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6E4" w:rsidRPr="0041710A" w:rsidRDefault="00B001AE" w:rsidP="008F4E02">
      <w:pPr>
        <w:pStyle w:val="Title"/>
        <w:spacing w:line="480" w:lineRule="auto"/>
        <w:jc w:val="both"/>
        <w:rPr>
          <w:rFonts w:ascii="Times New Roman" w:hAnsi="Times New Roman" w:cs="Times New Roman"/>
          <w:bCs w:val="0"/>
          <w:color w:val="000000" w:themeColor="text1"/>
          <w:lang w:val="en-US"/>
        </w:rPr>
      </w:pPr>
      <w:r>
        <w:rPr>
          <w:rFonts w:ascii="Times New Roman" w:hAnsi="Times New Roman" w:cs="Times New Roman"/>
          <w:bCs w:val="0"/>
          <w:color w:val="000000" w:themeColor="text1"/>
          <w:lang w:val="en-US"/>
        </w:rPr>
        <w:t>Increasing the oxidative stability of</w:t>
      </w:r>
      <w:r w:rsidR="0041710A" w:rsidRPr="0041710A">
        <w:rPr>
          <w:rFonts w:ascii="Times New Roman" w:hAnsi="Times New Roman" w:cs="Times New Roman"/>
          <w:bCs w:val="0"/>
          <w:color w:val="000000" w:themeColor="text1"/>
          <w:lang w:val="en-US"/>
        </w:rPr>
        <w:t xml:space="preserve"> </w:t>
      </w:r>
      <w:r w:rsidR="00CD1C00">
        <w:rPr>
          <w:rFonts w:ascii="Times New Roman" w:hAnsi="Times New Roman" w:cs="Times New Roman"/>
          <w:bCs w:val="0"/>
          <w:color w:val="000000" w:themeColor="text1"/>
          <w:lang w:val="en-US"/>
        </w:rPr>
        <w:t>soy</w:t>
      </w:r>
      <w:r w:rsidR="007C060E">
        <w:rPr>
          <w:rFonts w:ascii="Times New Roman" w:hAnsi="Times New Roman" w:cs="Times New Roman"/>
          <w:bCs w:val="0"/>
          <w:color w:val="000000" w:themeColor="text1"/>
          <w:lang w:val="en-US"/>
        </w:rPr>
        <w:t>bean</w:t>
      </w:r>
      <w:r w:rsidR="00CD1C00">
        <w:rPr>
          <w:rFonts w:ascii="Times New Roman" w:hAnsi="Times New Roman" w:cs="Times New Roman"/>
          <w:bCs w:val="0"/>
          <w:color w:val="000000" w:themeColor="text1"/>
          <w:lang w:val="en-US"/>
        </w:rPr>
        <w:t xml:space="preserve"> </w:t>
      </w:r>
      <w:r w:rsidR="0041710A" w:rsidRPr="0041710A">
        <w:rPr>
          <w:rStyle w:val="hit"/>
          <w:rFonts w:ascii="Times New Roman" w:hAnsi="Times New Roman" w:cs="Times New Roman"/>
          <w:bCs w:val="0"/>
          <w:color w:val="000000" w:themeColor="text1"/>
          <w:lang w:val="en-US"/>
        </w:rPr>
        <w:t>oil</w:t>
      </w:r>
      <w:r>
        <w:rPr>
          <w:rStyle w:val="hit"/>
          <w:rFonts w:ascii="Times New Roman" w:hAnsi="Times New Roman" w:cs="Times New Roman"/>
          <w:bCs w:val="0"/>
          <w:color w:val="000000" w:themeColor="text1"/>
          <w:lang w:val="en-US"/>
        </w:rPr>
        <w:t xml:space="preserve"> </w:t>
      </w:r>
      <w:r w:rsidR="00B22B61">
        <w:rPr>
          <w:rStyle w:val="hit"/>
          <w:rFonts w:ascii="Times New Roman" w:hAnsi="Times New Roman" w:cs="Times New Roman"/>
          <w:bCs w:val="0"/>
          <w:color w:val="000000" w:themeColor="text1"/>
          <w:lang w:val="en-US"/>
        </w:rPr>
        <w:t>through</w:t>
      </w:r>
      <w:r>
        <w:rPr>
          <w:rStyle w:val="hit"/>
          <w:rFonts w:ascii="Times New Roman" w:hAnsi="Times New Roman" w:cs="Times New Roman"/>
          <w:bCs w:val="0"/>
          <w:color w:val="000000" w:themeColor="text1"/>
          <w:lang w:val="en-US"/>
        </w:rPr>
        <w:t xml:space="preserve"> </w:t>
      </w:r>
      <w:r w:rsidR="00B22B61">
        <w:rPr>
          <w:rStyle w:val="hit"/>
          <w:rFonts w:ascii="Times New Roman" w:hAnsi="Times New Roman" w:cs="Times New Roman"/>
          <w:bCs w:val="0"/>
          <w:color w:val="000000" w:themeColor="text1"/>
          <w:lang w:val="en-US"/>
        </w:rPr>
        <w:t xml:space="preserve">fortification with </w:t>
      </w:r>
      <w:r>
        <w:rPr>
          <w:rStyle w:val="hit"/>
          <w:rFonts w:ascii="Times New Roman" w:hAnsi="Times New Roman" w:cs="Times New Roman"/>
          <w:bCs w:val="0"/>
          <w:color w:val="000000" w:themeColor="text1"/>
          <w:lang w:val="en-US"/>
        </w:rPr>
        <w:t>anti</w:t>
      </w:r>
      <w:r w:rsidR="007F69EA">
        <w:rPr>
          <w:rStyle w:val="hit"/>
          <w:rFonts w:ascii="Times New Roman" w:hAnsi="Times New Roman" w:cs="Times New Roman"/>
          <w:bCs w:val="0"/>
          <w:color w:val="000000" w:themeColor="text1"/>
          <w:lang w:val="en-US"/>
        </w:rPr>
        <w:t>o</w:t>
      </w:r>
      <w:r>
        <w:rPr>
          <w:rStyle w:val="hit"/>
          <w:rFonts w:ascii="Times New Roman" w:hAnsi="Times New Roman" w:cs="Times New Roman"/>
          <w:bCs w:val="0"/>
          <w:color w:val="000000" w:themeColor="text1"/>
          <w:lang w:val="en-US"/>
        </w:rPr>
        <w:t>xidant</w:t>
      </w:r>
      <w:r w:rsidR="00B22B61">
        <w:rPr>
          <w:rStyle w:val="hit"/>
          <w:rFonts w:ascii="Times New Roman" w:hAnsi="Times New Roman" w:cs="Times New Roman"/>
          <w:bCs w:val="0"/>
          <w:color w:val="000000" w:themeColor="text1"/>
          <w:lang w:val="en-US"/>
        </w:rPr>
        <w:t>s</w:t>
      </w:r>
    </w:p>
    <w:p w:rsidR="0041710A" w:rsidRPr="000148DF" w:rsidRDefault="0041710A" w:rsidP="008F4E02">
      <w:pPr>
        <w:pStyle w:val="Title"/>
        <w:spacing w:line="480" w:lineRule="auto"/>
        <w:jc w:val="both"/>
        <w:rPr>
          <w:rFonts w:ascii="Times New Roman" w:hAnsi="Times New Roman" w:cs="Times New Roman"/>
          <w:b w:val="0"/>
          <w:sz w:val="24"/>
          <w:szCs w:val="24"/>
          <w:lang w:val="en-US"/>
        </w:rPr>
      </w:pPr>
    </w:p>
    <w:p w:rsidR="00BB66E4" w:rsidRPr="00B206F6" w:rsidRDefault="0041710A" w:rsidP="008F4E02">
      <w:pPr>
        <w:pStyle w:val="BodyText"/>
        <w:spacing w:line="480" w:lineRule="auto"/>
        <w:rPr>
          <w:bCs/>
          <w:sz w:val="28"/>
          <w:szCs w:val="28"/>
          <w:lang w:val="en-US"/>
        </w:rPr>
      </w:pPr>
      <w:r>
        <w:rPr>
          <w:bCs/>
          <w:sz w:val="28"/>
          <w:szCs w:val="28"/>
          <w:lang w:val="en-US"/>
        </w:rPr>
        <w:t>Anwesha Sarka</w:t>
      </w:r>
      <w:r w:rsidR="0009098E">
        <w:rPr>
          <w:bCs/>
          <w:sz w:val="28"/>
          <w:szCs w:val="28"/>
          <w:lang w:val="en-US"/>
        </w:rPr>
        <w:t>r</w:t>
      </w:r>
      <w:r>
        <w:rPr>
          <w:bCs/>
          <w:sz w:val="28"/>
          <w:szCs w:val="28"/>
          <w:lang w:val="en-US"/>
        </w:rPr>
        <w:t xml:space="preserve">, </w:t>
      </w:r>
      <w:r w:rsidR="00430169">
        <w:rPr>
          <w:bCs/>
          <w:sz w:val="28"/>
          <w:szCs w:val="28"/>
          <w:lang w:val="en-US"/>
        </w:rPr>
        <w:t xml:space="preserve">Pierre-Alain </w:t>
      </w:r>
      <w:proofErr w:type="spellStart"/>
      <w:r w:rsidR="00430169">
        <w:rPr>
          <w:bCs/>
          <w:sz w:val="28"/>
          <w:szCs w:val="28"/>
          <w:lang w:val="en-US"/>
        </w:rPr>
        <w:t>Golay</w:t>
      </w:r>
      <w:proofErr w:type="spellEnd"/>
      <w:r w:rsidR="007628C7" w:rsidRPr="00B206F6">
        <w:rPr>
          <w:bCs/>
          <w:sz w:val="28"/>
          <w:szCs w:val="28"/>
          <w:lang w:val="en-US"/>
        </w:rPr>
        <w:t>*</w:t>
      </w:r>
      <w:r w:rsidR="00430169">
        <w:rPr>
          <w:bCs/>
          <w:sz w:val="28"/>
          <w:szCs w:val="28"/>
          <w:lang w:val="en-US"/>
        </w:rPr>
        <w:t xml:space="preserve">, </w:t>
      </w:r>
      <w:r w:rsidR="00FA2B92">
        <w:rPr>
          <w:bCs/>
          <w:sz w:val="28"/>
          <w:szCs w:val="28"/>
          <w:lang w:val="en-US"/>
        </w:rPr>
        <w:t xml:space="preserve">Simone </w:t>
      </w:r>
      <w:proofErr w:type="spellStart"/>
      <w:r w:rsidR="00FA2B92">
        <w:rPr>
          <w:bCs/>
          <w:sz w:val="28"/>
          <w:szCs w:val="28"/>
          <w:lang w:val="en-US"/>
        </w:rPr>
        <w:t>Acquistapace</w:t>
      </w:r>
      <w:proofErr w:type="spellEnd"/>
      <w:r w:rsidR="00FA2B92">
        <w:rPr>
          <w:bCs/>
          <w:sz w:val="28"/>
          <w:szCs w:val="28"/>
          <w:lang w:val="en-US"/>
        </w:rPr>
        <w:t xml:space="preserve">, </w:t>
      </w:r>
      <w:r w:rsidR="00BB66E4">
        <w:rPr>
          <w:bCs/>
          <w:sz w:val="28"/>
          <w:szCs w:val="28"/>
          <w:lang w:val="en-US"/>
        </w:rPr>
        <w:t xml:space="preserve">and </w:t>
      </w:r>
      <w:r w:rsidRPr="00B206F6">
        <w:rPr>
          <w:bCs/>
          <w:sz w:val="28"/>
          <w:szCs w:val="28"/>
          <w:lang w:val="en-US"/>
        </w:rPr>
        <w:t>Brian D. Craft</w:t>
      </w:r>
    </w:p>
    <w:p w:rsidR="00BB66E4" w:rsidRPr="00B206F6" w:rsidRDefault="00BB66E4" w:rsidP="008F4E02">
      <w:pPr>
        <w:pStyle w:val="BodyText"/>
        <w:spacing w:line="480" w:lineRule="auto"/>
        <w:rPr>
          <w:rFonts w:eastAsia="Arial Unicode MS"/>
          <w:i/>
          <w:vanish/>
          <w:lang w:val="en-US"/>
        </w:rPr>
      </w:pPr>
    </w:p>
    <w:p w:rsidR="00BB66E4" w:rsidRPr="00071838" w:rsidRDefault="009733E4" w:rsidP="008F4E02">
      <w:pPr>
        <w:pStyle w:val="BCAuthorAddress"/>
        <w:jc w:val="both"/>
        <w:rPr>
          <w:i/>
        </w:rPr>
      </w:pPr>
      <w:r w:rsidRPr="00071838">
        <w:rPr>
          <w:i/>
        </w:rPr>
        <w:t xml:space="preserve">Nestlé Research Center, </w:t>
      </w:r>
      <w:r w:rsidR="00BB66E4" w:rsidRPr="00071838">
        <w:rPr>
          <w:i/>
        </w:rPr>
        <w:t xml:space="preserve">Vers-chez-les-Blanc, Lausanne, </w:t>
      </w:r>
      <w:proofErr w:type="spellStart"/>
      <w:r w:rsidR="00BB66E4" w:rsidRPr="00071838">
        <w:rPr>
          <w:i/>
        </w:rPr>
        <w:t>Switzerland</w:t>
      </w:r>
      <w:proofErr w:type="spellEnd"/>
    </w:p>
    <w:p w:rsidR="00BB66E4" w:rsidRPr="00071838" w:rsidRDefault="00BB66E4" w:rsidP="008F4E02">
      <w:pPr>
        <w:pStyle w:val="BCAuthorAddress"/>
        <w:jc w:val="both"/>
      </w:pPr>
    </w:p>
    <w:p w:rsidR="00BB66E4" w:rsidRPr="00071838" w:rsidRDefault="00BB66E4" w:rsidP="008F4E02">
      <w:pPr>
        <w:pStyle w:val="BIEmailAddress"/>
        <w:spacing w:after="0"/>
        <w:rPr>
          <w:rFonts w:ascii="Times New Roman" w:hAnsi="Times New Roman"/>
          <w:szCs w:val="24"/>
          <w:lang w:val="fr-CH"/>
        </w:rPr>
      </w:pPr>
    </w:p>
    <w:p w:rsidR="00BB66E4" w:rsidRPr="00071838" w:rsidRDefault="00BB66E4" w:rsidP="008F4E02">
      <w:pPr>
        <w:spacing w:line="480" w:lineRule="auto"/>
        <w:rPr>
          <w:lang w:val="fr-CH"/>
        </w:rPr>
      </w:pPr>
    </w:p>
    <w:p w:rsidR="00BB66E4" w:rsidRPr="00071838" w:rsidRDefault="00BB66E4" w:rsidP="008F4E02">
      <w:pPr>
        <w:spacing w:line="480" w:lineRule="auto"/>
        <w:rPr>
          <w:lang w:val="fr-CH"/>
        </w:rPr>
      </w:pPr>
    </w:p>
    <w:p w:rsidR="00BB66E4" w:rsidRPr="00071838" w:rsidRDefault="00BB66E4" w:rsidP="008F4E02">
      <w:pPr>
        <w:spacing w:line="480" w:lineRule="auto"/>
        <w:rPr>
          <w:lang w:val="fr-CH"/>
        </w:rPr>
      </w:pPr>
    </w:p>
    <w:p w:rsidR="00BB66E4" w:rsidRPr="00071838" w:rsidRDefault="00BB66E4" w:rsidP="008F4E02">
      <w:pPr>
        <w:spacing w:line="480" w:lineRule="auto"/>
        <w:rPr>
          <w:lang w:val="fr-CH"/>
        </w:rPr>
      </w:pPr>
    </w:p>
    <w:p w:rsidR="00BB66E4" w:rsidRPr="00071838" w:rsidRDefault="00BB66E4" w:rsidP="008F4E02">
      <w:pPr>
        <w:spacing w:line="480" w:lineRule="auto"/>
        <w:rPr>
          <w:lang w:val="fr-CH"/>
        </w:rPr>
      </w:pPr>
    </w:p>
    <w:p w:rsidR="00BB66E4" w:rsidRPr="00071838" w:rsidRDefault="00BB66E4" w:rsidP="008F4E02">
      <w:pPr>
        <w:spacing w:line="480" w:lineRule="auto"/>
        <w:jc w:val="both"/>
        <w:rPr>
          <w:lang w:val="fr-CH"/>
        </w:rPr>
      </w:pPr>
    </w:p>
    <w:p w:rsidR="00530363" w:rsidRPr="00071838" w:rsidRDefault="00530363" w:rsidP="008F4E02">
      <w:pPr>
        <w:pStyle w:val="FACorrespondingAuthorFootnote"/>
        <w:spacing w:after="0"/>
        <w:jc w:val="left"/>
        <w:rPr>
          <w:rFonts w:ascii="Times New Roman" w:hAnsi="Times New Roman"/>
          <w:lang w:val="fr-CH"/>
        </w:rPr>
      </w:pPr>
      <w:r w:rsidRPr="00071838">
        <w:rPr>
          <w:rFonts w:ascii="Times New Roman" w:hAnsi="Times New Roman"/>
          <w:lang w:val="fr-CH"/>
        </w:rPr>
        <w:t xml:space="preserve">*CORRESPONDING AUTHOR </w:t>
      </w:r>
    </w:p>
    <w:p w:rsidR="00530363" w:rsidRPr="00071838" w:rsidRDefault="00530363" w:rsidP="008F4E02">
      <w:pPr>
        <w:pStyle w:val="FACorrespondingAuthorFootnote"/>
        <w:spacing w:after="0"/>
        <w:jc w:val="left"/>
        <w:rPr>
          <w:rFonts w:ascii="Times New Roman" w:hAnsi="Times New Roman"/>
          <w:lang w:val="fr-CH"/>
        </w:rPr>
      </w:pPr>
      <w:r w:rsidRPr="00071838">
        <w:rPr>
          <w:rFonts w:ascii="Times New Roman" w:hAnsi="Times New Roman"/>
          <w:lang w:val="fr-CH"/>
        </w:rPr>
        <w:t>Nestlé Research Center</w:t>
      </w:r>
    </w:p>
    <w:p w:rsidR="00530363" w:rsidRPr="00D83F69" w:rsidRDefault="00530363" w:rsidP="008F4E02">
      <w:pPr>
        <w:pStyle w:val="FACorrespondingAuthorFootnote"/>
        <w:spacing w:after="0"/>
        <w:jc w:val="left"/>
        <w:rPr>
          <w:rFonts w:ascii="Times New Roman" w:hAnsi="Times New Roman"/>
          <w:lang w:val="fr-CH"/>
        </w:rPr>
      </w:pPr>
      <w:r w:rsidRPr="00D83F69">
        <w:rPr>
          <w:rFonts w:ascii="Times New Roman" w:hAnsi="Times New Roman"/>
          <w:lang w:val="fr-CH"/>
        </w:rPr>
        <w:t xml:space="preserve">Vers-chez-les-Blanc, P.O. Box 44 </w:t>
      </w:r>
      <w:r w:rsidRPr="00D83F69">
        <w:rPr>
          <w:rFonts w:ascii="Times New Roman" w:hAnsi="Times New Roman"/>
          <w:lang w:val="fr-CH"/>
        </w:rPr>
        <w:br/>
        <w:t xml:space="preserve">1000 LAUSANNE 26, </w:t>
      </w:r>
      <w:proofErr w:type="spellStart"/>
      <w:r w:rsidRPr="00D83F69">
        <w:rPr>
          <w:rFonts w:ascii="Times New Roman" w:hAnsi="Times New Roman"/>
          <w:lang w:val="fr-CH"/>
        </w:rPr>
        <w:t>Switzerland</w:t>
      </w:r>
      <w:proofErr w:type="spellEnd"/>
      <w:r w:rsidRPr="00D83F69">
        <w:rPr>
          <w:rFonts w:ascii="Times New Roman" w:hAnsi="Times New Roman"/>
          <w:lang w:val="fr-CH"/>
        </w:rPr>
        <w:br/>
        <w:t xml:space="preserve">E-mail: </w:t>
      </w:r>
      <w:hyperlink r:id="rId7" w:history="1">
        <w:r w:rsidR="007F4944" w:rsidRPr="00393CD1">
          <w:rPr>
            <w:rStyle w:val="Hyperlink"/>
            <w:rFonts w:ascii="Times New Roman" w:hAnsi="Times New Roman"/>
            <w:lang w:val="fr-CH"/>
          </w:rPr>
          <w:t>pierre-alain.golay@rdls.nestle.com</w:t>
        </w:r>
      </w:hyperlink>
    </w:p>
    <w:p w:rsidR="00530363" w:rsidRPr="00B206F6" w:rsidRDefault="00530363" w:rsidP="008F4E02">
      <w:pPr>
        <w:pStyle w:val="FACorrespondingAuthorFootnote"/>
        <w:spacing w:after="0"/>
        <w:jc w:val="left"/>
        <w:rPr>
          <w:rFonts w:ascii="Times New Roman" w:hAnsi="Times New Roman"/>
          <w:lang w:val="en-US"/>
        </w:rPr>
      </w:pPr>
      <w:r w:rsidRPr="00B206F6">
        <w:rPr>
          <w:rFonts w:ascii="Times New Roman" w:hAnsi="Times New Roman"/>
          <w:lang w:val="en-US"/>
        </w:rPr>
        <w:t>Tel.: +41 (0) 21 785-</w:t>
      </w:r>
      <w:r w:rsidR="007F4944">
        <w:rPr>
          <w:rFonts w:ascii="Times New Roman" w:hAnsi="Times New Roman"/>
          <w:lang w:val="en-US"/>
        </w:rPr>
        <w:t>8399</w:t>
      </w:r>
    </w:p>
    <w:p w:rsidR="008F4E02" w:rsidRDefault="008F4E02" w:rsidP="008F4E02">
      <w:pPr>
        <w:spacing w:line="480" w:lineRule="auto"/>
        <w:rPr>
          <w:szCs w:val="20"/>
          <w:lang w:val="en-US"/>
        </w:rPr>
      </w:pPr>
    </w:p>
    <w:p w:rsidR="00142DE7" w:rsidRDefault="00142DE7" w:rsidP="008F4E02">
      <w:pPr>
        <w:spacing w:line="480" w:lineRule="auto"/>
        <w:rPr>
          <w:szCs w:val="20"/>
          <w:lang w:val="en-US"/>
        </w:rPr>
        <w:sectPr w:rsidR="00142DE7" w:rsidSect="009733E4">
          <w:pgSz w:w="11906" w:h="16838" w:code="9"/>
          <w:pgMar w:top="1418" w:right="1418" w:bottom="1418" w:left="1418" w:header="709" w:footer="709" w:gutter="0"/>
          <w:lnNumType w:countBy="1" w:restart="continuous"/>
          <w:cols w:space="708"/>
          <w:docGrid w:linePitch="360"/>
        </w:sectPr>
      </w:pPr>
    </w:p>
    <w:p w:rsidR="0041710A" w:rsidRPr="00722C5B" w:rsidRDefault="005771D2" w:rsidP="005C4A26">
      <w:pPr>
        <w:spacing w:line="480" w:lineRule="auto"/>
        <w:jc w:val="both"/>
        <w:rPr>
          <w:b/>
          <w:lang w:val="en-US"/>
        </w:rPr>
      </w:pPr>
      <w:r w:rsidRPr="00722C5B">
        <w:rPr>
          <w:b/>
          <w:lang w:val="en-US"/>
        </w:rPr>
        <w:lastRenderedPageBreak/>
        <w:t>Abstract</w:t>
      </w:r>
    </w:p>
    <w:p w:rsidR="00AD141E" w:rsidRPr="00722C5B" w:rsidRDefault="00784C99" w:rsidP="005C4A26">
      <w:pPr>
        <w:shd w:val="clear" w:color="auto" w:fill="FFFFFF"/>
        <w:spacing w:line="480" w:lineRule="auto"/>
        <w:jc w:val="both"/>
        <w:rPr>
          <w:rFonts w:eastAsia="Arial Unicode MS"/>
          <w:color w:val="000000" w:themeColor="text1"/>
          <w:lang w:val="en-US"/>
        </w:rPr>
      </w:pPr>
      <w:r>
        <w:rPr>
          <w:rFonts w:eastAsia="Arial Unicode MS"/>
          <w:color w:val="000000" w:themeColor="text1"/>
          <w:lang w:val="en-US"/>
        </w:rPr>
        <w:t>V</w:t>
      </w:r>
      <w:r w:rsidR="007E46B6" w:rsidRPr="00722C5B">
        <w:rPr>
          <w:rFonts w:eastAsia="Arial Unicode MS"/>
          <w:color w:val="000000" w:themeColor="text1"/>
          <w:lang w:val="en-US"/>
        </w:rPr>
        <w:t xml:space="preserve">egetable oils high in polyunsaturated fatty acids (PUFA), like soybean oil (SO), </w:t>
      </w:r>
      <w:r w:rsidR="003970CC" w:rsidRPr="00722C5B">
        <w:rPr>
          <w:rFonts w:eastAsia="Arial Unicode MS"/>
          <w:color w:val="000000" w:themeColor="text1"/>
          <w:lang w:val="en-US" w:eastAsia="fr-CH"/>
        </w:rPr>
        <w:t>is known for lowering the risk of consumers for contracting cardiovascular disease as well as improving cognitive health</w:t>
      </w:r>
      <w:r w:rsidR="003970CC">
        <w:rPr>
          <w:rFonts w:eastAsia="Arial Unicode MS"/>
          <w:color w:val="000000" w:themeColor="text1"/>
          <w:lang w:val="en-US"/>
        </w:rPr>
        <w:t xml:space="preserve">. However, they </w:t>
      </w:r>
      <w:r w:rsidR="007E46B6" w:rsidRPr="00722C5B">
        <w:rPr>
          <w:rFonts w:eastAsia="Arial Unicode MS"/>
          <w:color w:val="000000" w:themeColor="text1"/>
          <w:lang w:val="en-US"/>
        </w:rPr>
        <w:t xml:space="preserve">are more </w:t>
      </w:r>
      <w:r w:rsidR="00BA3708" w:rsidRPr="00722C5B">
        <w:rPr>
          <w:rFonts w:eastAsia="Arial Unicode MS"/>
          <w:color w:val="000000" w:themeColor="text1"/>
          <w:lang w:val="en-US"/>
        </w:rPr>
        <w:t>susceptible</w:t>
      </w:r>
      <w:r w:rsidR="007E46B6" w:rsidRPr="00722C5B">
        <w:rPr>
          <w:rFonts w:eastAsia="Arial Unicode MS"/>
          <w:color w:val="000000" w:themeColor="text1"/>
          <w:lang w:val="en-US"/>
        </w:rPr>
        <w:t xml:space="preserve"> to lipid oxidation than recently introduced high-oleic cultivars like high-oleic sunflower oil (HOSFO). Thus, </w:t>
      </w:r>
      <w:r w:rsidR="003970CC">
        <w:rPr>
          <w:rFonts w:eastAsia="Arial Unicode MS"/>
          <w:color w:val="000000" w:themeColor="text1"/>
          <w:lang w:val="en-US"/>
        </w:rPr>
        <w:t>the objective of this</w:t>
      </w:r>
      <w:r w:rsidR="007E46B6" w:rsidRPr="00722C5B">
        <w:rPr>
          <w:rFonts w:eastAsia="Arial Unicode MS"/>
          <w:color w:val="000000" w:themeColor="text1"/>
          <w:lang w:val="en-US"/>
        </w:rPr>
        <w:t xml:space="preserve"> </w:t>
      </w:r>
      <w:r w:rsidR="003970CC">
        <w:rPr>
          <w:rFonts w:eastAsia="Arial Unicode MS"/>
          <w:color w:val="000000" w:themeColor="text1"/>
          <w:lang w:val="en-US"/>
        </w:rPr>
        <w:t xml:space="preserve">study </w:t>
      </w:r>
      <w:r w:rsidR="004E4B87" w:rsidRPr="00722C5B">
        <w:rPr>
          <w:rFonts w:eastAsia="Arial Unicode MS"/>
          <w:color w:val="000000" w:themeColor="text1"/>
          <w:lang w:val="en-US"/>
        </w:rPr>
        <w:t xml:space="preserve">is </w:t>
      </w:r>
      <w:r w:rsidR="007E46B6" w:rsidRPr="00722C5B">
        <w:rPr>
          <w:rFonts w:eastAsia="Arial Unicode MS"/>
          <w:color w:val="000000" w:themeColor="text1"/>
          <w:lang w:val="en-US"/>
        </w:rPr>
        <w:t xml:space="preserve">to increase the stability of PUFA oils </w:t>
      </w:r>
      <w:r w:rsidR="003970CC">
        <w:rPr>
          <w:rFonts w:eastAsia="Arial Unicode MS"/>
          <w:color w:val="000000" w:themeColor="text1"/>
          <w:lang w:val="en-US"/>
        </w:rPr>
        <w:t xml:space="preserve">to maintain the aforementioned health benefits </w:t>
      </w:r>
      <w:r w:rsidR="004E4B87" w:rsidRPr="00722C5B">
        <w:rPr>
          <w:rFonts w:eastAsia="Arial Unicode MS"/>
          <w:color w:val="000000" w:themeColor="text1"/>
          <w:lang w:val="en-US"/>
        </w:rPr>
        <w:t xml:space="preserve">by </w:t>
      </w:r>
      <w:r w:rsidR="007E46B6" w:rsidRPr="00722C5B">
        <w:rPr>
          <w:rFonts w:eastAsia="Arial Unicode MS"/>
          <w:color w:val="000000" w:themeColor="text1"/>
          <w:lang w:val="en-US"/>
        </w:rPr>
        <w:t>supplement</w:t>
      </w:r>
      <w:r w:rsidR="004E4B87" w:rsidRPr="00722C5B">
        <w:rPr>
          <w:rFonts w:eastAsia="Arial Unicode MS"/>
          <w:color w:val="000000" w:themeColor="text1"/>
          <w:lang w:val="en-US"/>
        </w:rPr>
        <w:t>ing</w:t>
      </w:r>
      <w:r w:rsidR="007E46B6" w:rsidRPr="00722C5B">
        <w:rPr>
          <w:rFonts w:eastAsia="Arial Unicode MS"/>
          <w:color w:val="000000" w:themeColor="text1"/>
          <w:lang w:val="en-US"/>
        </w:rPr>
        <w:t xml:space="preserve"> them with</w:t>
      </w:r>
      <w:r w:rsidR="006C1F10">
        <w:rPr>
          <w:rFonts w:eastAsia="Arial Unicode MS"/>
          <w:color w:val="000000" w:themeColor="text1"/>
          <w:lang w:val="en-US"/>
        </w:rPr>
        <w:t xml:space="preserve"> industrially relevant</w:t>
      </w:r>
      <w:r w:rsidR="007E46B6" w:rsidRPr="00722C5B">
        <w:rPr>
          <w:rFonts w:eastAsia="Arial Unicode MS"/>
          <w:color w:val="000000" w:themeColor="text1"/>
          <w:lang w:val="en-US"/>
        </w:rPr>
        <w:t xml:space="preserve"> antioxidant compounds that prevent or delay oxidation during food production and storage</w:t>
      </w:r>
      <w:r w:rsidR="001A695F" w:rsidRPr="00722C5B">
        <w:rPr>
          <w:rFonts w:eastAsia="Arial Unicode MS"/>
          <w:color w:val="000000" w:themeColor="text1"/>
          <w:lang w:val="en-US"/>
        </w:rPr>
        <w:t xml:space="preserve">. </w:t>
      </w:r>
      <w:r w:rsidR="007E46B6" w:rsidRPr="00722C5B">
        <w:rPr>
          <w:rFonts w:eastAsia="Arial Unicode MS"/>
          <w:color w:val="000000" w:themeColor="text1"/>
          <w:lang w:val="en-US"/>
        </w:rPr>
        <w:t xml:space="preserve">Herein, </w:t>
      </w:r>
      <w:r w:rsidR="00ED6D73" w:rsidRPr="00722C5B">
        <w:rPr>
          <w:rFonts w:eastAsia="Arial Unicode MS"/>
          <w:color w:val="000000" w:themeColor="text1"/>
          <w:lang w:val="en-US"/>
        </w:rPr>
        <w:t>a variety of synthetic and natural antioxidants tested alone or in mixtures was</w:t>
      </w:r>
      <w:r w:rsidR="001A695F" w:rsidRPr="00722C5B">
        <w:rPr>
          <w:rFonts w:eastAsia="Arial Unicode MS"/>
          <w:color w:val="000000" w:themeColor="text1"/>
          <w:lang w:val="en-US"/>
        </w:rPr>
        <w:t xml:space="preserve"> </w:t>
      </w:r>
      <w:r w:rsidR="004E4B87" w:rsidRPr="00722C5B">
        <w:rPr>
          <w:rFonts w:eastAsia="Arial Unicode MS"/>
          <w:color w:val="000000" w:themeColor="text1"/>
          <w:lang w:val="en-US"/>
        </w:rPr>
        <w:t>screened</w:t>
      </w:r>
      <w:r w:rsidR="007E46B6" w:rsidRPr="00722C5B">
        <w:rPr>
          <w:rFonts w:eastAsia="Arial Unicode MS"/>
          <w:color w:val="000000" w:themeColor="text1"/>
          <w:lang w:val="en-US"/>
        </w:rPr>
        <w:t xml:space="preserve"> to bring the stability of SO </w:t>
      </w:r>
      <w:r w:rsidR="00ED6D73">
        <w:rPr>
          <w:rFonts w:eastAsia="Arial Unicode MS"/>
          <w:color w:val="000000" w:themeColor="text1"/>
          <w:lang w:val="en-US"/>
        </w:rPr>
        <w:t xml:space="preserve">closer </w:t>
      </w:r>
      <w:r w:rsidR="004E4B87" w:rsidRPr="00722C5B">
        <w:rPr>
          <w:rFonts w:eastAsia="Arial Unicode MS"/>
          <w:color w:val="000000" w:themeColor="text1"/>
          <w:lang w:val="en-US"/>
        </w:rPr>
        <w:t>to that of HOSFO</w:t>
      </w:r>
      <w:r w:rsidR="001A695F" w:rsidRPr="00722C5B">
        <w:rPr>
          <w:color w:val="000000" w:themeColor="text1"/>
          <w:lang w:val="en-US"/>
        </w:rPr>
        <w:t xml:space="preserve">. </w:t>
      </w:r>
      <w:r w:rsidR="00D80BF2">
        <w:rPr>
          <w:color w:val="000000" w:themeColor="text1"/>
          <w:lang w:val="en-US"/>
        </w:rPr>
        <w:t>O</w:t>
      </w:r>
      <w:r w:rsidR="004E4B87" w:rsidRPr="00722C5B">
        <w:rPr>
          <w:color w:val="000000" w:themeColor="text1"/>
          <w:lang w:val="en-US"/>
        </w:rPr>
        <w:t xml:space="preserve">ils were </w:t>
      </w:r>
      <w:r w:rsidR="00D80BF2">
        <w:rPr>
          <w:color w:val="000000" w:themeColor="text1"/>
          <w:lang w:val="en-US"/>
        </w:rPr>
        <w:t>stored</w:t>
      </w:r>
      <w:r w:rsidR="004E4B87" w:rsidRPr="00722C5B">
        <w:rPr>
          <w:color w:val="000000" w:themeColor="text1"/>
          <w:lang w:val="en-US"/>
        </w:rPr>
        <w:t xml:space="preserve"> under accelerated conditions (</w:t>
      </w:r>
      <w:r w:rsidR="005E2C7E" w:rsidRPr="00722C5B">
        <w:rPr>
          <w:rFonts w:eastAsia="Arial Unicode MS"/>
          <w:color w:val="000000" w:themeColor="text1"/>
          <w:lang w:val="en-US"/>
        </w:rPr>
        <w:t>35 </w:t>
      </w:r>
      <w:r w:rsidR="00691CA0" w:rsidRPr="00722C5B">
        <w:rPr>
          <w:rFonts w:eastAsia="Arial Unicode MS"/>
          <w:color w:val="000000" w:themeColor="text1"/>
          <w:lang w:val="en-US"/>
        </w:rPr>
        <w:t>°C</w:t>
      </w:r>
      <w:r w:rsidR="004E4B87" w:rsidRPr="00722C5B">
        <w:rPr>
          <w:rFonts w:eastAsia="Arial Unicode MS"/>
          <w:color w:val="000000" w:themeColor="text1"/>
          <w:lang w:val="en-US"/>
        </w:rPr>
        <w:t xml:space="preserve">) in the dark </w:t>
      </w:r>
      <w:r w:rsidR="00691CA0" w:rsidRPr="00722C5B">
        <w:rPr>
          <w:rFonts w:eastAsia="Arial Unicode MS"/>
          <w:color w:val="000000" w:themeColor="text1"/>
          <w:lang w:val="en-US"/>
        </w:rPr>
        <w:t xml:space="preserve">for </w:t>
      </w:r>
      <w:r w:rsidR="00FA2B92">
        <w:rPr>
          <w:rFonts w:eastAsia="Arial Unicode MS"/>
          <w:color w:val="000000" w:themeColor="text1"/>
          <w:lang w:val="en-US"/>
        </w:rPr>
        <w:t>28</w:t>
      </w:r>
      <w:r w:rsidR="00691CA0" w:rsidRPr="00722C5B">
        <w:rPr>
          <w:rFonts w:eastAsia="Arial Unicode MS"/>
          <w:color w:val="000000" w:themeColor="text1"/>
          <w:lang w:val="en-US"/>
        </w:rPr>
        <w:t xml:space="preserve"> weeks and </w:t>
      </w:r>
      <w:r w:rsidR="004E4B87" w:rsidRPr="00722C5B">
        <w:rPr>
          <w:rFonts w:eastAsia="Arial Unicode MS"/>
          <w:color w:val="000000" w:themeColor="text1"/>
          <w:lang w:val="en-US"/>
        </w:rPr>
        <w:t>the evolution of primary (</w:t>
      </w:r>
      <w:proofErr w:type="spellStart"/>
      <w:r w:rsidR="004E4B87" w:rsidRPr="00722C5B">
        <w:rPr>
          <w:rFonts w:eastAsia="Arial Unicode MS"/>
          <w:color w:val="000000" w:themeColor="text1"/>
          <w:lang w:val="en-US"/>
        </w:rPr>
        <w:t>hydroperoxides</w:t>
      </w:r>
      <w:proofErr w:type="spellEnd"/>
      <w:r w:rsidR="004E4B87" w:rsidRPr="00722C5B">
        <w:rPr>
          <w:rFonts w:eastAsia="Arial Unicode MS"/>
          <w:color w:val="000000" w:themeColor="text1"/>
          <w:lang w:val="en-US"/>
        </w:rPr>
        <w:t>) and secondary (</w:t>
      </w:r>
      <w:proofErr w:type="spellStart"/>
      <w:r w:rsidR="004E4B87" w:rsidRPr="00722C5B">
        <w:rPr>
          <w:rFonts w:eastAsia="Arial Unicode MS"/>
          <w:color w:val="000000" w:themeColor="text1"/>
          <w:lang w:val="en-US"/>
        </w:rPr>
        <w:t>hexanal</w:t>
      </w:r>
      <w:proofErr w:type="spellEnd"/>
      <w:r w:rsidR="004E4B87" w:rsidRPr="00722C5B">
        <w:rPr>
          <w:rFonts w:eastAsia="Arial Unicode MS"/>
          <w:color w:val="000000" w:themeColor="text1"/>
          <w:lang w:val="en-US"/>
        </w:rPr>
        <w:t xml:space="preserve">) lipid oxidation products </w:t>
      </w:r>
      <w:r>
        <w:rPr>
          <w:rFonts w:eastAsia="Arial Unicode MS"/>
          <w:color w:val="000000" w:themeColor="text1"/>
          <w:lang w:val="en-US"/>
        </w:rPr>
        <w:t>was</w:t>
      </w:r>
      <w:r w:rsidR="004E4B87" w:rsidRPr="00722C5B">
        <w:rPr>
          <w:rFonts w:eastAsia="Arial Unicode MS"/>
          <w:color w:val="000000" w:themeColor="text1"/>
          <w:lang w:val="en-US"/>
        </w:rPr>
        <w:t xml:space="preserve"> monitored.</w:t>
      </w:r>
      <w:r w:rsidR="00F779C9" w:rsidRPr="00722C5B">
        <w:rPr>
          <w:rFonts w:eastAsia="Arial Unicode MS"/>
          <w:color w:val="000000" w:themeColor="text1"/>
          <w:lang w:val="en-US"/>
        </w:rPr>
        <w:t xml:space="preserve"> </w:t>
      </w:r>
      <w:r w:rsidR="00C7621F" w:rsidRPr="00722C5B">
        <w:rPr>
          <w:rFonts w:eastAsia="Arial Unicode MS"/>
          <w:color w:val="000000" w:themeColor="text1"/>
          <w:lang w:val="en-US"/>
        </w:rPr>
        <w:t xml:space="preserve">Oxidative stability index data showed that </w:t>
      </w:r>
      <w:r w:rsidR="00A75ABE">
        <w:rPr>
          <w:rFonts w:eastAsia="Arial Unicode MS"/>
          <w:color w:val="000000" w:themeColor="text1"/>
          <w:lang w:val="en-US"/>
        </w:rPr>
        <w:t xml:space="preserve">addition of 300 ppm of </w:t>
      </w:r>
      <w:proofErr w:type="spellStart"/>
      <w:r w:rsidR="00C7621F" w:rsidRPr="00722C5B">
        <w:rPr>
          <w:rFonts w:eastAsia="Arial Unicode MS"/>
          <w:color w:val="000000" w:themeColor="text1"/>
          <w:lang w:val="en-US"/>
        </w:rPr>
        <w:t>ascorbyl</w:t>
      </w:r>
      <w:proofErr w:type="spellEnd"/>
      <w:r w:rsidR="00C7621F" w:rsidRPr="00722C5B">
        <w:rPr>
          <w:rFonts w:eastAsia="Arial Unicode MS"/>
          <w:color w:val="000000" w:themeColor="text1"/>
          <w:lang w:val="en-US"/>
        </w:rPr>
        <w:t xml:space="preserve"> </w:t>
      </w:r>
      <w:proofErr w:type="spellStart"/>
      <w:r w:rsidR="00C7621F" w:rsidRPr="00722C5B">
        <w:rPr>
          <w:rFonts w:eastAsia="Arial Unicode MS"/>
          <w:color w:val="000000" w:themeColor="text1"/>
          <w:lang w:val="en-US"/>
        </w:rPr>
        <w:t>palmitate</w:t>
      </w:r>
      <w:proofErr w:type="spellEnd"/>
      <w:r w:rsidR="00C7621F" w:rsidRPr="00722C5B">
        <w:rPr>
          <w:rFonts w:eastAsia="Arial Unicode MS"/>
          <w:color w:val="000000" w:themeColor="text1"/>
          <w:lang w:val="en-US"/>
        </w:rPr>
        <w:t xml:space="preserve"> (AP) stabilized SO </w:t>
      </w:r>
      <w:r w:rsidR="002D643B" w:rsidRPr="00722C5B">
        <w:rPr>
          <w:rFonts w:eastAsia="Arial Unicode MS"/>
          <w:color w:val="000000" w:themeColor="text1"/>
          <w:lang w:val="en-US"/>
        </w:rPr>
        <w:t xml:space="preserve">to </w:t>
      </w:r>
      <w:r w:rsidR="00C7621F" w:rsidRPr="00722C5B">
        <w:rPr>
          <w:rFonts w:eastAsia="Arial Unicode MS"/>
          <w:color w:val="000000" w:themeColor="text1"/>
          <w:lang w:val="en-US"/>
        </w:rPr>
        <w:t xml:space="preserve">the </w:t>
      </w:r>
      <w:r w:rsidR="00AD2EB4" w:rsidRPr="00722C5B">
        <w:rPr>
          <w:rFonts w:eastAsia="Arial Unicode MS"/>
          <w:color w:val="000000" w:themeColor="text1"/>
          <w:lang w:val="en-US"/>
        </w:rPr>
        <w:t>greatest magnitude</w:t>
      </w:r>
      <w:r w:rsidR="00C7621F" w:rsidRPr="00722C5B">
        <w:rPr>
          <w:rFonts w:eastAsia="Arial Unicode MS"/>
          <w:color w:val="000000" w:themeColor="text1"/>
          <w:lang w:val="en-US"/>
        </w:rPr>
        <w:t xml:space="preserve">. Further, </w:t>
      </w:r>
      <w:r w:rsidR="00E967F8" w:rsidRPr="00722C5B">
        <w:rPr>
          <w:rFonts w:eastAsia="Arial Unicode MS"/>
          <w:color w:val="000000" w:themeColor="text1"/>
          <w:lang w:val="en-US"/>
        </w:rPr>
        <w:t xml:space="preserve">a combination of </w:t>
      </w:r>
      <w:r w:rsidR="00C7621F" w:rsidRPr="00722C5B">
        <w:rPr>
          <w:rFonts w:eastAsia="Arial Unicode MS"/>
          <w:color w:val="000000" w:themeColor="text1"/>
          <w:lang w:val="en-US"/>
        </w:rPr>
        <w:t xml:space="preserve">AP </w:t>
      </w:r>
      <w:r w:rsidR="00A75ABE">
        <w:rPr>
          <w:rFonts w:eastAsia="Arial Unicode MS"/>
          <w:color w:val="000000" w:themeColor="text1"/>
          <w:lang w:val="en-US"/>
        </w:rPr>
        <w:t xml:space="preserve">(300 ppm) </w:t>
      </w:r>
      <w:r w:rsidR="00C7621F" w:rsidRPr="00722C5B">
        <w:rPr>
          <w:rFonts w:eastAsia="Arial Unicode MS"/>
          <w:color w:val="000000" w:themeColor="text1"/>
          <w:lang w:val="en-US"/>
        </w:rPr>
        <w:t xml:space="preserve">and M-TOC </w:t>
      </w:r>
      <w:r w:rsidR="00A75ABE">
        <w:rPr>
          <w:rFonts w:eastAsia="Arial Unicode MS"/>
          <w:color w:val="000000" w:themeColor="text1"/>
          <w:lang w:val="en-US"/>
        </w:rPr>
        <w:t xml:space="preserve">(1000 ppm) </w:t>
      </w:r>
      <w:r w:rsidR="00C7621F" w:rsidRPr="00722C5B">
        <w:rPr>
          <w:rFonts w:eastAsia="Arial Unicode MS"/>
          <w:color w:val="000000" w:themeColor="text1"/>
          <w:lang w:val="en-US"/>
        </w:rPr>
        <w:t xml:space="preserve">was able to limit </w:t>
      </w:r>
      <w:proofErr w:type="spellStart"/>
      <w:r w:rsidR="00C7621F" w:rsidRPr="00722C5B">
        <w:rPr>
          <w:rFonts w:eastAsia="Arial Unicode MS"/>
          <w:color w:val="000000" w:themeColor="text1"/>
          <w:lang w:val="en-US"/>
        </w:rPr>
        <w:t>hydroperoxide</w:t>
      </w:r>
      <w:proofErr w:type="spellEnd"/>
      <w:r w:rsidR="00C7621F" w:rsidRPr="00722C5B">
        <w:rPr>
          <w:rFonts w:eastAsia="Arial Unicode MS"/>
          <w:color w:val="000000" w:themeColor="text1"/>
          <w:lang w:val="en-US"/>
        </w:rPr>
        <w:t xml:space="preserve"> and </w:t>
      </w:r>
      <w:proofErr w:type="spellStart"/>
      <w:r w:rsidR="00C7621F" w:rsidRPr="00722C5B">
        <w:rPr>
          <w:rFonts w:eastAsia="Arial Unicode MS"/>
          <w:color w:val="000000" w:themeColor="text1"/>
          <w:lang w:val="en-US"/>
        </w:rPr>
        <w:t>hexanal</w:t>
      </w:r>
      <w:proofErr w:type="spellEnd"/>
      <w:r w:rsidR="00C7621F" w:rsidRPr="00722C5B">
        <w:rPr>
          <w:rFonts w:eastAsia="Arial Unicode MS"/>
          <w:color w:val="000000" w:themeColor="text1"/>
          <w:lang w:val="en-US"/>
        </w:rPr>
        <w:t xml:space="preserve"> </w:t>
      </w:r>
      <w:r w:rsidR="00E967F8" w:rsidRPr="00722C5B">
        <w:rPr>
          <w:rFonts w:eastAsia="Arial Unicode MS"/>
          <w:color w:val="000000" w:themeColor="text1"/>
          <w:lang w:val="en-US"/>
        </w:rPr>
        <w:t xml:space="preserve">formation </w:t>
      </w:r>
      <w:r w:rsidR="00C7621F" w:rsidRPr="00722C5B">
        <w:rPr>
          <w:rFonts w:eastAsia="Arial Unicode MS"/>
          <w:color w:val="000000" w:themeColor="text1"/>
          <w:lang w:val="en-US"/>
        </w:rPr>
        <w:t xml:space="preserve">in SO </w:t>
      </w:r>
      <w:r w:rsidR="00E967F8" w:rsidRPr="00722C5B">
        <w:rPr>
          <w:rFonts w:eastAsia="Arial Unicode MS"/>
          <w:color w:val="000000" w:themeColor="text1"/>
          <w:lang w:val="en-US"/>
        </w:rPr>
        <w:t xml:space="preserve">at 35 °C </w:t>
      </w:r>
      <w:r w:rsidR="00C7621F" w:rsidRPr="00722C5B">
        <w:rPr>
          <w:rFonts w:eastAsia="Arial Unicode MS"/>
          <w:color w:val="000000" w:themeColor="text1"/>
          <w:lang w:val="en-US"/>
        </w:rPr>
        <w:t>for 12</w:t>
      </w:r>
      <w:r w:rsidR="00F779C9" w:rsidRPr="00722C5B">
        <w:rPr>
          <w:rFonts w:eastAsia="Arial Unicode MS"/>
          <w:color w:val="000000" w:themeColor="text1"/>
          <w:lang w:val="en-US"/>
        </w:rPr>
        <w:t xml:space="preserve"> </w:t>
      </w:r>
      <w:r w:rsidR="00BA3708" w:rsidRPr="00722C5B">
        <w:rPr>
          <w:rFonts w:eastAsia="Arial Unicode MS"/>
          <w:color w:val="000000" w:themeColor="text1"/>
          <w:lang w:val="en-US"/>
        </w:rPr>
        <w:t>weeks</w:t>
      </w:r>
      <w:r w:rsidR="00C7621F" w:rsidRPr="00722C5B">
        <w:rPr>
          <w:rFonts w:eastAsia="Arial Unicode MS"/>
          <w:color w:val="000000" w:themeColor="text1"/>
          <w:lang w:val="en-US"/>
        </w:rPr>
        <w:t>.</w:t>
      </w:r>
      <w:r w:rsidR="00D80545">
        <w:rPr>
          <w:rFonts w:eastAsia="Arial Unicode MS"/>
          <w:color w:val="000000" w:themeColor="text1"/>
          <w:lang w:val="en-US"/>
        </w:rPr>
        <w:t xml:space="preserve"> It was demonstrated that assessing multiple quality parameters for lipid stability are a necessary undertaking.</w:t>
      </w:r>
    </w:p>
    <w:p w:rsidR="00017A73" w:rsidRPr="00722C5B" w:rsidRDefault="00017A73" w:rsidP="005C4A26">
      <w:pPr>
        <w:shd w:val="clear" w:color="auto" w:fill="FFFFFF"/>
        <w:spacing w:line="480" w:lineRule="auto"/>
        <w:jc w:val="both"/>
        <w:rPr>
          <w:rFonts w:eastAsia="Arial Unicode MS"/>
          <w:color w:val="000000" w:themeColor="text1"/>
          <w:lang w:val="en-US"/>
        </w:rPr>
      </w:pPr>
    </w:p>
    <w:p w:rsidR="0041710A" w:rsidRPr="00722C5B" w:rsidRDefault="0041710A" w:rsidP="005C4A26">
      <w:pPr>
        <w:spacing w:line="480" w:lineRule="auto"/>
        <w:jc w:val="both"/>
        <w:rPr>
          <w:rFonts w:eastAsia="Arial Unicode MS"/>
          <w:b/>
          <w:lang w:val="en-US"/>
        </w:rPr>
      </w:pPr>
      <w:r w:rsidRPr="00722C5B">
        <w:rPr>
          <w:rFonts w:eastAsia="Arial Unicode MS"/>
          <w:b/>
          <w:lang w:val="en-US"/>
        </w:rPr>
        <w:t>Keywords</w:t>
      </w:r>
    </w:p>
    <w:p w:rsidR="00AD141E" w:rsidRPr="00722C5B" w:rsidRDefault="00AD141E" w:rsidP="005C4A26">
      <w:pPr>
        <w:spacing w:line="480" w:lineRule="auto"/>
        <w:jc w:val="both"/>
        <w:rPr>
          <w:color w:val="000000" w:themeColor="text1"/>
          <w:lang w:val="en-US"/>
        </w:rPr>
      </w:pPr>
      <w:r w:rsidRPr="00722C5B">
        <w:rPr>
          <w:color w:val="000000" w:themeColor="text1"/>
          <w:lang w:val="en-US"/>
        </w:rPr>
        <w:t xml:space="preserve">High-oleic sunflower oil, soybean oil, </w:t>
      </w:r>
      <w:r w:rsidR="00E967F8" w:rsidRPr="00722C5B">
        <w:rPr>
          <w:color w:val="000000" w:themeColor="text1"/>
          <w:lang w:val="en-US"/>
        </w:rPr>
        <w:t>oxidative stability</w:t>
      </w:r>
      <w:r w:rsidRPr="00722C5B">
        <w:rPr>
          <w:color w:val="000000" w:themeColor="text1"/>
          <w:lang w:val="en-US"/>
        </w:rPr>
        <w:t>, antioxidant</w:t>
      </w:r>
      <w:r w:rsidR="001C3764" w:rsidRPr="00722C5B">
        <w:rPr>
          <w:color w:val="000000" w:themeColor="text1"/>
          <w:lang w:val="en-US"/>
        </w:rPr>
        <w:t>s</w:t>
      </w:r>
      <w:r w:rsidRPr="00722C5B">
        <w:rPr>
          <w:color w:val="000000" w:themeColor="text1"/>
          <w:lang w:val="en-US"/>
        </w:rPr>
        <w:t>, oil stability index</w:t>
      </w:r>
      <w:r w:rsidR="00FE0220">
        <w:rPr>
          <w:color w:val="000000" w:themeColor="text1"/>
          <w:lang w:val="en-US"/>
        </w:rPr>
        <w:t xml:space="preserve"> (</w:t>
      </w:r>
      <w:proofErr w:type="spellStart"/>
      <w:r w:rsidR="00FE0220">
        <w:rPr>
          <w:color w:val="000000" w:themeColor="text1"/>
          <w:lang w:val="en-US"/>
        </w:rPr>
        <w:t>rancimat</w:t>
      </w:r>
      <w:proofErr w:type="spellEnd"/>
      <w:r w:rsidR="00FE0220">
        <w:rPr>
          <w:color w:val="000000" w:themeColor="text1"/>
          <w:lang w:val="en-US"/>
        </w:rPr>
        <w:t xml:space="preserve">), </w:t>
      </w:r>
      <w:proofErr w:type="spellStart"/>
      <w:r w:rsidR="00FE0220">
        <w:rPr>
          <w:color w:val="000000" w:themeColor="text1"/>
          <w:lang w:val="en-US"/>
        </w:rPr>
        <w:t>hexanal</w:t>
      </w:r>
      <w:proofErr w:type="spellEnd"/>
    </w:p>
    <w:p w:rsidR="00AD141E" w:rsidRPr="00722C5B" w:rsidRDefault="00AD141E" w:rsidP="005C4A26">
      <w:pPr>
        <w:spacing w:line="480" w:lineRule="auto"/>
        <w:jc w:val="both"/>
        <w:rPr>
          <w:b/>
          <w:lang w:val="en-US"/>
        </w:rPr>
      </w:pPr>
    </w:p>
    <w:p w:rsidR="00142DE7" w:rsidRPr="00722C5B" w:rsidRDefault="00142DE7" w:rsidP="005C4A26">
      <w:pPr>
        <w:spacing w:line="480" w:lineRule="auto"/>
        <w:jc w:val="both"/>
        <w:rPr>
          <w:b/>
          <w:lang w:val="en-US"/>
        </w:rPr>
        <w:sectPr w:rsidR="00142DE7" w:rsidRPr="00722C5B" w:rsidSect="009733E4">
          <w:pgSz w:w="11906" w:h="16838" w:code="9"/>
          <w:pgMar w:top="1418" w:right="1418" w:bottom="1418" w:left="1418" w:header="709" w:footer="709" w:gutter="0"/>
          <w:lnNumType w:countBy="1" w:restart="continuous"/>
          <w:cols w:space="708"/>
          <w:docGrid w:linePitch="360"/>
        </w:sectPr>
      </w:pPr>
    </w:p>
    <w:p w:rsidR="0041710A" w:rsidRPr="00722C5B" w:rsidRDefault="0041710A" w:rsidP="005C4A26">
      <w:pPr>
        <w:spacing w:line="480" w:lineRule="auto"/>
        <w:jc w:val="both"/>
        <w:rPr>
          <w:b/>
          <w:lang w:val="en-US"/>
        </w:rPr>
      </w:pPr>
      <w:r w:rsidRPr="00722C5B">
        <w:rPr>
          <w:b/>
          <w:lang w:val="en-US"/>
        </w:rPr>
        <w:lastRenderedPageBreak/>
        <w:t>Introduction</w:t>
      </w:r>
    </w:p>
    <w:p w:rsidR="009062AD" w:rsidRPr="00722C5B" w:rsidRDefault="00C74DE4" w:rsidP="005C4A26">
      <w:pPr>
        <w:shd w:val="clear" w:color="auto" w:fill="FFFFFF"/>
        <w:spacing w:line="480" w:lineRule="auto"/>
        <w:jc w:val="both"/>
        <w:rPr>
          <w:rFonts w:eastAsia="Arial Unicode MS"/>
          <w:color w:val="000000" w:themeColor="text1"/>
          <w:lang w:val="en-US" w:eastAsia="fr-CH"/>
        </w:rPr>
      </w:pPr>
      <w:r w:rsidRPr="00722C5B">
        <w:rPr>
          <w:rFonts w:eastAsia="Arial Unicode MS"/>
          <w:color w:val="000000" w:themeColor="text1"/>
          <w:lang w:val="en-US" w:eastAsia="fr-CH"/>
        </w:rPr>
        <w:t>Edible v</w:t>
      </w:r>
      <w:r w:rsidR="00F423AF" w:rsidRPr="00722C5B">
        <w:rPr>
          <w:rFonts w:eastAsia="Arial Unicode MS"/>
          <w:color w:val="000000" w:themeColor="text1"/>
          <w:lang w:val="en-US" w:eastAsia="fr-CH"/>
        </w:rPr>
        <w:t>egeta</w:t>
      </w:r>
      <w:r w:rsidR="00C23739" w:rsidRPr="00722C5B">
        <w:rPr>
          <w:rFonts w:eastAsia="Arial Unicode MS"/>
          <w:color w:val="000000" w:themeColor="text1"/>
          <w:lang w:val="en-US" w:eastAsia="fr-CH"/>
        </w:rPr>
        <w:t xml:space="preserve">ble oils like </w:t>
      </w:r>
      <w:r w:rsidR="00F423AF" w:rsidRPr="00722C5B">
        <w:rPr>
          <w:rFonts w:eastAsia="Arial Unicode MS"/>
          <w:color w:val="000000" w:themeColor="text1"/>
          <w:lang w:val="en-US" w:eastAsia="fr-CH"/>
        </w:rPr>
        <w:t xml:space="preserve">soybean oil </w:t>
      </w:r>
      <w:r w:rsidR="00B001AE" w:rsidRPr="00722C5B">
        <w:rPr>
          <w:rFonts w:eastAsia="Arial Unicode MS"/>
          <w:color w:val="000000" w:themeColor="text1"/>
          <w:lang w:val="en-US" w:eastAsia="fr-CH"/>
        </w:rPr>
        <w:t xml:space="preserve">(SO) </w:t>
      </w:r>
      <w:r w:rsidR="00F423AF" w:rsidRPr="00722C5B">
        <w:rPr>
          <w:rFonts w:eastAsia="Arial Unicode MS"/>
          <w:color w:val="000000" w:themeColor="text1"/>
          <w:lang w:val="en-US" w:eastAsia="fr-CH"/>
        </w:rPr>
        <w:t xml:space="preserve">are rich in </w:t>
      </w:r>
      <w:r w:rsidR="00C23739" w:rsidRPr="00722C5B">
        <w:rPr>
          <w:rFonts w:eastAsia="Arial Unicode MS"/>
          <w:color w:val="000000" w:themeColor="text1"/>
          <w:lang w:val="en-US" w:eastAsia="fr-CH"/>
        </w:rPr>
        <w:t xml:space="preserve">polyunsaturated fatty acids (PUFA) such as </w:t>
      </w:r>
      <w:r w:rsidR="00F423AF" w:rsidRPr="00722C5B">
        <w:rPr>
          <w:rFonts w:eastAsia="Arial Unicode MS"/>
          <w:color w:val="000000" w:themeColor="text1"/>
          <w:lang w:val="en-US" w:eastAsia="fr-CH"/>
        </w:rPr>
        <w:t xml:space="preserve">linoleic (18:2) and </w:t>
      </w:r>
      <w:r w:rsidR="00F423AF" w:rsidRPr="00722C5B">
        <w:rPr>
          <w:rFonts w:ascii="Symbol" w:eastAsia="Arial Unicode MS" w:hAnsi="Symbol"/>
          <w:color w:val="000000" w:themeColor="text1"/>
          <w:lang w:val="en-US" w:eastAsia="fr-CH"/>
        </w:rPr>
        <w:t></w:t>
      </w:r>
      <w:r w:rsidR="00F423AF" w:rsidRPr="00722C5B">
        <w:rPr>
          <w:rFonts w:eastAsia="Arial Unicode MS"/>
          <w:color w:val="000000" w:themeColor="text1"/>
          <w:lang w:val="en-US" w:eastAsia="fr-CH"/>
        </w:rPr>
        <w:t>-</w:t>
      </w:r>
      <w:proofErr w:type="spellStart"/>
      <w:r w:rsidR="00F423AF" w:rsidRPr="00722C5B">
        <w:rPr>
          <w:rFonts w:eastAsia="Arial Unicode MS"/>
          <w:color w:val="000000" w:themeColor="text1"/>
          <w:lang w:val="en-US" w:eastAsia="fr-CH"/>
        </w:rPr>
        <w:t>linolenic</w:t>
      </w:r>
      <w:proofErr w:type="spellEnd"/>
      <w:r w:rsidR="00F423AF" w:rsidRPr="00722C5B">
        <w:rPr>
          <w:rFonts w:eastAsia="Arial Unicode MS"/>
          <w:color w:val="000000" w:themeColor="text1"/>
          <w:lang w:val="en-US" w:eastAsia="fr-CH"/>
        </w:rPr>
        <w:t xml:space="preserve"> (18:3) acids. These two fatty acids are essential to human health and development. Further, </w:t>
      </w:r>
      <w:r w:rsidR="00036405" w:rsidRPr="00722C5B">
        <w:rPr>
          <w:rFonts w:ascii="Symbol" w:eastAsia="Arial Unicode MS" w:hAnsi="Symbol"/>
          <w:color w:val="000000" w:themeColor="text1"/>
          <w:lang w:val="en-US" w:eastAsia="fr-CH"/>
        </w:rPr>
        <w:t></w:t>
      </w:r>
      <w:r w:rsidR="00036405" w:rsidRPr="00722C5B">
        <w:rPr>
          <w:rFonts w:eastAsia="Arial Unicode MS"/>
          <w:color w:val="000000" w:themeColor="text1"/>
          <w:lang w:val="en-US" w:eastAsia="fr-CH"/>
        </w:rPr>
        <w:t>-</w:t>
      </w:r>
      <w:proofErr w:type="spellStart"/>
      <w:r w:rsidR="00F423AF" w:rsidRPr="00722C5B">
        <w:rPr>
          <w:rFonts w:eastAsia="Arial Unicode MS"/>
          <w:color w:val="000000" w:themeColor="text1"/>
          <w:lang w:val="en-US" w:eastAsia="fr-CH"/>
        </w:rPr>
        <w:t>l</w:t>
      </w:r>
      <w:r w:rsidR="002C4DC2" w:rsidRPr="00722C5B">
        <w:rPr>
          <w:rFonts w:eastAsia="Arial Unicode MS"/>
          <w:color w:val="000000" w:themeColor="text1"/>
          <w:lang w:val="en-US" w:eastAsia="fr-CH"/>
        </w:rPr>
        <w:t>inolenic</w:t>
      </w:r>
      <w:proofErr w:type="spellEnd"/>
      <w:r w:rsidR="002C4DC2" w:rsidRPr="00722C5B">
        <w:rPr>
          <w:rFonts w:eastAsia="Arial Unicode MS"/>
          <w:color w:val="000000" w:themeColor="text1"/>
          <w:lang w:val="en-US" w:eastAsia="fr-CH"/>
        </w:rPr>
        <w:t xml:space="preserve"> acid </w:t>
      </w:r>
      <w:r w:rsidR="00CD1C00" w:rsidRPr="00722C5B">
        <w:rPr>
          <w:rFonts w:eastAsia="Arial Unicode MS"/>
          <w:color w:val="000000" w:themeColor="text1"/>
          <w:lang w:val="en-US" w:eastAsia="fr-CH"/>
        </w:rPr>
        <w:t>(</w:t>
      </w:r>
      <w:r w:rsidR="002C4DC2" w:rsidRPr="00722C5B">
        <w:rPr>
          <w:rFonts w:eastAsia="Arial Unicode MS"/>
          <w:color w:val="000000" w:themeColor="text1"/>
          <w:lang w:val="en-US" w:eastAsia="fr-CH"/>
        </w:rPr>
        <w:t>18:3</w:t>
      </w:r>
      <w:r w:rsidR="009062AD" w:rsidRPr="00722C5B">
        <w:rPr>
          <w:rFonts w:eastAsia="Arial Unicode MS"/>
          <w:color w:val="000000" w:themeColor="text1"/>
          <w:lang w:val="en-US" w:eastAsia="fr-CH"/>
        </w:rPr>
        <w:t xml:space="preserve">) </w:t>
      </w:r>
      <w:r w:rsidR="00F423AF" w:rsidRPr="00722C5B">
        <w:rPr>
          <w:rFonts w:eastAsia="Arial Unicode MS"/>
          <w:color w:val="000000" w:themeColor="text1"/>
          <w:lang w:val="en-US" w:eastAsia="fr-CH"/>
        </w:rPr>
        <w:t xml:space="preserve">belongs to the </w:t>
      </w:r>
      <w:r w:rsidR="002C4DC2" w:rsidRPr="00722C5B">
        <w:rPr>
          <w:rFonts w:eastAsia="Arial Unicode MS"/>
          <w:color w:val="000000" w:themeColor="text1"/>
          <w:lang w:val="en-US" w:eastAsia="fr-CH"/>
        </w:rPr>
        <w:t>omega-3 family</w:t>
      </w:r>
      <w:r w:rsidR="00F423AF" w:rsidRPr="00722C5B">
        <w:rPr>
          <w:rFonts w:eastAsia="Arial Unicode MS"/>
          <w:color w:val="000000" w:themeColor="text1"/>
          <w:lang w:val="en-US" w:eastAsia="fr-CH"/>
        </w:rPr>
        <w:t xml:space="preserve"> and</w:t>
      </w:r>
      <w:r w:rsidR="002C4DC2" w:rsidRPr="00722C5B">
        <w:rPr>
          <w:rFonts w:eastAsia="Arial Unicode MS"/>
          <w:color w:val="000000" w:themeColor="text1"/>
          <w:lang w:val="en-US" w:eastAsia="fr-CH"/>
        </w:rPr>
        <w:t xml:space="preserve"> can be converted into </w:t>
      </w:r>
      <w:proofErr w:type="spellStart"/>
      <w:r w:rsidR="002C4DC2" w:rsidRPr="00722C5B">
        <w:rPr>
          <w:rFonts w:eastAsia="Arial Unicode MS"/>
          <w:color w:val="000000" w:themeColor="text1"/>
          <w:lang w:val="en-US" w:eastAsia="fr-CH"/>
        </w:rPr>
        <w:t>eicosapentaenoic</w:t>
      </w:r>
      <w:proofErr w:type="spellEnd"/>
      <w:r w:rsidR="002C4DC2" w:rsidRPr="00722C5B">
        <w:rPr>
          <w:rFonts w:eastAsia="Arial Unicode MS"/>
          <w:color w:val="000000" w:themeColor="text1"/>
          <w:lang w:val="en-US" w:eastAsia="fr-CH"/>
        </w:rPr>
        <w:t xml:space="preserve"> </w:t>
      </w:r>
      <w:r w:rsidRPr="00722C5B">
        <w:rPr>
          <w:rFonts w:eastAsia="Arial Unicode MS"/>
          <w:color w:val="000000" w:themeColor="text1"/>
          <w:lang w:val="en-US" w:eastAsia="fr-CH"/>
        </w:rPr>
        <w:t xml:space="preserve">acid (20:5) </w:t>
      </w:r>
      <w:r w:rsidR="002C4DC2" w:rsidRPr="00722C5B">
        <w:rPr>
          <w:rFonts w:eastAsia="Arial Unicode MS"/>
          <w:color w:val="000000" w:themeColor="text1"/>
          <w:lang w:val="en-US" w:eastAsia="fr-CH"/>
        </w:rPr>
        <w:t xml:space="preserve">and </w:t>
      </w:r>
      <w:proofErr w:type="spellStart"/>
      <w:r w:rsidR="002C4DC2" w:rsidRPr="00722C5B">
        <w:rPr>
          <w:rFonts w:eastAsia="Arial Unicode MS"/>
          <w:color w:val="000000" w:themeColor="text1"/>
          <w:lang w:val="en-US" w:eastAsia="fr-CH"/>
        </w:rPr>
        <w:t>docosahexaenoic</w:t>
      </w:r>
      <w:proofErr w:type="spellEnd"/>
      <w:r w:rsidR="002C4DC2" w:rsidRPr="00722C5B">
        <w:rPr>
          <w:rFonts w:eastAsia="Arial Unicode MS"/>
          <w:color w:val="000000" w:themeColor="text1"/>
          <w:lang w:val="en-US" w:eastAsia="fr-CH"/>
        </w:rPr>
        <w:t xml:space="preserve"> acid </w:t>
      </w:r>
      <w:r w:rsidRPr="00722C5B">
        <w:rPr>
          <w:rFonts w:eastAsia="Arial Unicode MS"/>
          <w:color w:val="000000" w:themeColor="text1"/>
          <w:lang w:val="en-US" w:eastAsia="fr-CH"/>
        </w:rPr>
        <w:t xml:space="preserve">(22:6) </w:t>
      </w:r>
      <w:r w:rsidR="00F423AF" w:rsidRPr="00722C5B">
        <w:rPr>
          <w:rFonts w:eastAsia="Arial Unicode MS"/>
          <w:color w:val="000000" w:themeColor="text1"/>
          <w:lang w:val="en-US" w:eastAsia="fr-CH"/>
        </w:rPr>
        <w:t>with</w:t>
      </w:r>
      <w:r w:rsidR="002C4DC2" w:rsidRPr="00722C5B">
        <w:rPr>
          <w:rFonts w:eastAsia="Arial Unicode MS"/>
          <w:color w:val="000000" w:themeColor="text1"/>
          <w:lang w:val="en-US" w:eastAsia="fr-CH"/>
        </w:rPr>
        <w:t xml:space="preserve">in the human body. </w:t>
      </w:r>
      <w:r w:rsidR="007F0FC7" w:rsidRPr="00722C5B">
        <w:rPr>
          <w:rFonts w:ascii="Symbol" w:eastAsia="Arial Unicode MS" w:hAnsi="Symbol"/>
          <w:color w:val="000000" w:themeColor="text1"/>
          <w:lang w:val="en-US" w:eastAsia="fr-CH"/>
        </w:rPr>
        <w:t></w:t>
      </w:r>
      <w:r w:rsidR="007F0FC7" w:rsidRPr="00722C5B">
        <w:rPr>
          <w:rFonts w:eastAsia="Arial Unicode MS"/>
          <w:color w:val="000000" w:themeColor="text1"/>
          <w:lang w:val="en-US" w:eastAsia="fr-CH"/>
        </w:rPr>
        <w:t>-</w:t>
      </w:r>
      <w:proofErr w:type="spellStart"/>
      <w:r w:rsidR="007F0FC7" w:rsidRPr="00722C5B">
        <w:rPr>
          <w:rFonts w:eastAsia="Arial Unicode MS"/>
          <w:color w:val="000000" w:themeColor="text1"/>
          <w:lang w:val="en-US" w:eastAsia="fr-CH"/>
        </w:rPr>
        <w:t>Linolenic</w:t>
      </w:r>
      <w:proofErr w:type="spellEnd"/>
      <w:r w:rsidR="007F0FC7" w:rsidRPr="00722C5B">
        <w:rPr>
          <w:rFonts w:eastAsia="Arial Unicode MS"/>
          <w:color w:val="000000" w:themeColor="text1"/>
          <w:lang w:val="en-US" w:eastAsia="fr-CH"/>
        </w:rPr>
        <w:t xml:space="preserve"> acid, like other PUFA in the omega-3 family, is </w:t>
      </w:r>
      <w:r w:rsidR="002C4DC2" w:rsidRPr="00722C5B">
        <w:rPr>
          <w:rFonts w:eastAsia="Arial Unicode MS"/>
          <w:color w:val="000000" w:themeColor="text1"/>
          <w:lang w:val="en-US" w:eastAsia="fr-CH"/>
        </w:rPr>
        <w:t xml:space="preserve">known </w:t>
      </w:r>
      <w:r w:rsidRPr="00722C5B">
        <w:rPr>
          <w:rFonts w:eastAsia="Arial Unicode MS"/>
          <w:color w:val="000000" w:themeColor="text1"/>
          <w:lang w:val="en-US" w:eastAsia="fr-CH"/>
        </w:rPr>
        <w:t>for</w:t>
      </w:r>
      <w:r w:rsidR="002C4DC2" w:rsidRPr="00722C5B">
        <w:rPr>
          <w:rFonts w:eastAsia="Arial Unicode MS"/>
          <w:color w:val="000000" w:themeColor="text1"/>
          <w:lang w:val="en-US" w:eastAsia="fr-CH"/>
        </w:rPr>
        <w:t xml:space="preserve"> </w:t>
      </w:r>
      <w:r w:rsidR="009062AD" w:rsidRPr="00722C5B">
        <w:rPr>
          <w:rFonts w:eastAsia="Arial Unicode MS"/>
          <w:color w:val="000000" w:themeColor="text1"/>
          <w:lang w:val="en-US" w:eastAsia="fr-CH"/>
        </w:rPr>
        <w:t>l</w:t>
      </w:r>
      <w:r w:rsidR="00751F89" w:rsidRPr="00722C5B">
        <w:rPr>
          <w:rFonts w:eastAsia="Arial Unicode MS"/>
          <w:color w:val="000000" w:themeColor="text1"/>
          <w:lang w:val="en-US" w:eastAsia="fr-CH"/>
        </w:rPr>
        <w:t>owering</w:t>
      </w:r>
      <w:r w:rsidR="002C4DC2" w:rsidRPr="00722C5B">
        <w:rPr>
          <w:rFonts w:eastAsia="Arial Unicode MS"/>
          <w:color w:val="000000" w:themeColor="text1"/>
          <w:lang w:val="en-US" w:eastAsia="fr-CH"/>
        </w:rPr>
        <w:t xml:space="preserve"> </w:t>
      </w:r>
      <w:r w:rsidR="009062AD" w:rsidRPr="00722C5B">
        <w:rPr>
          <w:rFonts w:eastAsia="Arial Unicode MS"/>
          <w:color w:val="000000" w:themeColor="text1"/>
          <w:lang w:val="en-US" w:eastAsia="fr-CH"/>
        </w:rPr>
        <w:t xml:space="preserve">the risk of </w:t>
      </w:r>
      <w:r w:rsidRPr="00722C5B">
        <w:rPr>
          <w:rFonts w:eastAsia="Arial Unicode MS"/>
          <w:color w:val="000000" w:themeColor="text1"/>
          <w:lang w:val="en-US" w:eastAsia="fr-CH"/>
        </w:rPr>
        <w:t xml:space="preserve">consumers for contracting cardiovascular disease as well as </w:t>
      </w:r>
      <w:r w:rsidR="00751F89" w:rsidRPr="00722C5B">
        <w:rPr>
          <w:rFonts w:eastAsia="Arial Unicode MS"/>
          <w:color w:val="000000" w:themeColor="text1"/>
          <w:lang w:val="en-US" w:eastAsia="fr-CH"/>
        </w:rPr>
        <w:t xml:space="preserve">improving </w:t>
      </w:r>
      <w:r w:rsidR="002C4DC2" w:rsidRPr="00722C5B">
        <w:rPr>
          <w:rFonts w:eastAsia="Arial Unicode MS"/>
          <w:color w:val="000000" w:themeColor="text1"/>
          <w:lang w:val="en-US" w:eastAsia="fr-CH"/>
        </w:rPr>
        <w:t xml:space="preserve">cognitive </w:t>
      </w:r>
      <w:r w:rsidR="00751F89" w:rsidRPr="00722C5B">
        <w:rPr>
          <w:rFonts w:eastAsia="Arial Unicode MS"/>
          <w:color w:val="000000" w:themeColor="text1"/>
          <w:lang w:val="en-US" w:eastAsia="fr-CH"/>
        </w:rPr>
        <w:t>health</w:t>
      </w:r>
      <w:r w:rsidR="007666BA" w:rsidRPr="00722C5B">
        <w:rPr>
          <w:rFonts w:eastAsia="Arial Unicode MS"/>
          <w:color w:val="000000" w:themeColor="text1"/>
          <w:lang w:val="en-US" w:eastAsia="fr-CH"/>
        </w:rPr>
        <w:t xml:space="preserve"> </w:t>
      </w:r>
      <w:r w:rsidR="00422750" w:rsidRPr="00722C5B">
        <w:rPr>
          <w:rFonts w:eastAsia="Arial Unicode MS"/>
          <w:color w:val="000000" w:themeColor="text1"/>
          <w:lang w:val="en-US" w:eastAsia="fr-CH"/>
        </w:rPr>
        <w:t>(Connor, 1999).</w:t>
      </w:r>
      <w:r w:rsidR="002C4DC2" w:rsidRPr="00722C5B">
        <w:rPr>
          <w:rFonts w:eastAsia="Arial Unicode MS"/>
          <w:color w:val="000000" w:themeColor="text1"/>
          <w:lang w:val="en-US" w:eastAsia="fr-CH"/>
        </w:rPr>
        <w:t xml:space="preserve"> </w:t>
      </w:r>
      <w:r w:rsidR="007F0FC7" w:rsidRPr="00722C5B">
        <w:rPr>
          <w:rFonts w:eastAsia="Arial Unicode MS"/>
          <w:color w:val="000000" w:themeColor="text1"/>
          <w:lang w:val="en-US" w:eastAsia="fr-CH"/>
        </w:rPr>
        <w:t xml:space="preserve">It follows from this that </w:t>
      </w:r>
      <w:r w:rsidR="00036405" w:rsidRPr="00722C5B">
        <w:rPr>
          <w:rFonts w:eastAsia="Arial Unicode MS"/>
          <w:color w:val="000000" w:themeColor="text1"/>
          <w:lang w:val="en-US" w:eastAsia="fr-CH"/>
        </w:rPr>
        <w:t xml:space="preserve">consuming </w:t>
      </w:r>
      <w:r w:rsidRPr="00722C5B">
        <w:rPr>
          <w:rFonts w:eastAsia="Arial Unicode MS"/>
          <w:color w:val="000000" w:themeColor="text1"/>
          <w:lang w:val="en-US" w:eastAsia="fr-CH"/>
        </w:rPr>
        <w:t>foods</w:t>
      </w:r>
      <w:r w:rsidR="009062AD" w:rsidRPr="00722C5B">
        <w:rPr>
          <w:rFonts w:eastAsia="Arial Unicode MS"/>
          <w:color w:val="000000" w:themeColor="text1"/>
          <w:lang w:val="en-US" w:eastAsia="fr-CH"/>
        </w:rPr>
        <w:t xml:space="preserve"> </w:t>
      </w:r>
      <w:r w:rsidR="00036405" w:rsidRPr="00722C5B">
        <w:rPr>
          <w:rFonts w:eastAsia="Arial Unicode MS"/>
          <w:color w:val="000000" w:themeColor="text1"/>
          <w:lang w:val="en-US" w:eastAsia="fr-CH"/>
        </w:rPr>
        <w:t xml:space="preserve">rich in </w:t>
      </w:r>
      <w:proofErr w:type="spellStart"/>
      <w:r w:rsidR="002C4DC2" w:rsidRPr="00722C5B">
        <w:rPr>
          <w:rFonts w:eastAsia="Arial Unicode MS"/>
          <w:color w:val="000000" w:themeColor="text1"/>
          <w:lang w:val="en-US" w:eastAsia="fr-CH"/>
        </w:rPr>
        <w:t>linolenic</w:t>
      </w:r>
      <w:proofErr w:type="spellEnd"/>
      <w:r w:rsidR="002C4DC2" w:rsidRPr="00722C5B">
        <w:rPr>
          <w:rFonts w:eastAsia="Arial Unicode MS"/>
          <w:color w:val="000000" w:themeColor="text1"/>
          <w:lang w:val="en-US" w:eastAsia="fr-CH"/>
        </w:rPr>
        <w:t xml:space="preserve"> acid</w:t>
      </w:r>
      <w:r w:rsidRPr="00722C5B">
        <w:rPr>
          <w:rFonts w:eastAsia="Arial Unicode MS"/>
          <w:color w:val="000000" w:themeColor="text1"/>
          <w:lang w:val="en-US" w:eastAsia="fr-CH"/>
        </w:rPr>
        <w:t xml:space="preserve">, </w:t>
      </w:r>
      <w:r w:rsidR="00E714F1" w:rsidRPr="00722C5B">
        <w:rPr>
          <w:rFonts w:eastAsia="Arial Unicode MS"/>
          <w:color w:val="000000" w:themeColor="text1"/>
          <w:lang w:val="en-US" w:eastAsia="fr-CH"/>
        </w:rPr>
        <w:t xml:space="preserve">like </w:t>
      </w:r>
      <w:r w:rsidR="00B001AE" w:rsidRPr="00722C5B">
        <w:rPr>
          <w:rFonts w:eastAsia="Arial Unicode MS"/>
          <w:color w:val="000000" w:themeColor="text1"/>
          <w:lang w:val="en-US" w:eastAsia="fr-CH"/>
        </w:rPr>
        <w:t>SO</w:t>
      </w:r>
      <w:r w:rsidRPr="00722C5B">
        <w:rPr>
          <w:rFonts w:eastAsia="Arial Unicode MS"/>
          <w:color w:val="000000" w:themeColor="text1"/>
          <w:lang w:val="en-US" w:eastAsia="fr-CH"/>
        </w:rPr>
        <w:t>,</w:t>
      </w:r>
      <w:r w:rsidR="002C4DC2" w:rsidRPr="00722C5B">
        <w:rPr>
          <w:rFonts w:eastAsia="Arial Unicode MS"/>
          <w:color w:val="000000" w:themeColor="text1"/>
          <w:lang w:val="en-US" w:eastAsia="fr-CH"/>
        </w:rPr>
        <w:t xml:space="preserve"> </w:t>
      </w:r>
      <w:r w:rsidR="007F0FC7" w:rsidRPr="00722C5B">
        <w:rPr>
          <w:rFonts w:eastAsia="Arial Unicode MS"/>
          <w:color w:val="000000" w:themeColor="text1"/>
          <w:lang w:val="en-US" w:eastAsia="fr-CH"/>
        </w:rPr>
        <w:t>may</w:t>
      </w:r>
      <w:r w:rsidR="002C4DC2" w:rsidRPr="00722C5B">
        <w:rPr>
          <w:rFonts w:eastAsia="Arial Unicode MS"/>
          <w:color w:val="000000" w:themeColor="text1"/>
          <w:lang w:val="en-US" w:eastAsia="fr-CH"/>
        </w:rPr>
        <w:t xml:space="preserve"> b</w:t>
      </w:r>
      <w:r w:rsidR="00036405" w:rsidRPr="00722C5B">
        <w:rPr>
          <w:rFonts w:eastAsia="Arial Unicode MS"/>
          <w:color w:val="000000" w:themeColor="text1"/>
          <w:lang w:val="en-US" w:eastAsia="fr-CH"/>
        </w:rPr>
        <w:t>ring</w:t>
      </w:r>
      <w:r w:rsidR="002C4DC2" w:rsidRPr="00722C5B">
        <w:rPr>
          <w:rFonts w:eastAsia="Arial Unicode MS"/>
          <w:color w:val="000000" w:themeColor="text1"/>
          <w:lang w:val="en-US" w:eastAsia="fr-CH"/>
        </w:rPr>
        <w:t xml:space="preserve"> </w:t>
      </w:r>
      <w:r w:rsidR="00F87A4F" w:rsidRPr="00722C5B">
        <w:rPr>
          <w:rFonts w:eastAsia="Arial Unicode MS"/>
          <w:color w:val="000000" w:themeColor="text1"/>
          <w:lang w:val="en-US" w:eastAsia="fr-CH"/>
        </w:rPr>
        <w:t xml:space="preserve">health </w:t>
      </w:r>
      <w:r w:rsidR="00E714F1" w:rsidRPr="00722C5B">
        <w:rPr>
          <w:rFonts w:eastAsia="Arial Unicode MS"/>
          <w:color w:val="000000" w:themeColor="text1"/>
          <w:lang w:val="en-US" w:eastAsia="fr-CH"/>
        </w:rPr>
        <w:t xml:space="preserve">benefits </w:t>
      </w:r>
      <w:r w:rsidR="00036405" w:rsidRPr="00722C5B">
        <w:rPr>
          <w:rFonts w:eastAsia="Arial Unicode MS"/>
          <w:color w:val="000000" w:themeColor="text1"/>
          <w:lang w:val="en-US" w:eastAsia="fr-CH"/>
        </w:rPr>
        <w:t xml:space="preserve">to </w:t>
      </w:r>
      <w:r w:rsidR="00F87A4F" w:rsidRPr="00722C5B">
        <w:rPr>
          <w:rFonts w:eastAsia="Arial Unicode MS"/>
          <w:color w:val="000000" w:themeColor="text1"/>
          <w:lang w:val="en-US" w:eastAsia="fr-CH"/>
        </w:rPr>
        <w:t>consumers</w:t>
      </w:r>
      <w:r w:rsidR="002C4DC2" w:rsidRPr="00722C5B">
        <w:rPr>
          <w:rFonts w:eastAsia="Arial Unicode MS"/>
          <w:color w:val="000000" w:themeColor="text1"/>
          <w:lang w:val="en-US" w:eastAsia="fr-CH"/>
        </w:rPr>
        <w:t>.</w:t>
      </w:r>
    </w:p>
    <w:p w:rsidR="00D031A7" w:rsidRPr="00722C5B" w:rsidRDefault="00C74DE4" w:rsidP="005C4A26">
      <w:pPr>
        <w:shd w:val="clear" w:color="auto" w:fill="FFFFFF"/>
        <w:spacing w:line="480" w:lineRule="auto"/>
        <w:ind w:firstLine="284"/>
        <w:jc w:val="both"/>
        <w:rPr>
          <w:rFonts w:eastAsia="Arial Unicode MS"/>
          <w:color w:val="000000" w:themeColor="text1"/>
          <w:lang w:val="en-US" w:eastAsia="fr-CH"/>
        </w:rPr>
      </w:pPr>
      <w:r w:rsidRPr="00722C5B">
        <w:rPr>
          <w:rFonts w:eastAsia="Arial Unicode MS"/>
          <w:color w:val="000000" w:themeColor="text1"/>
          <w:lang w:val="en-US" w:eastAsia="fr-CH"/>
        </w:rPr>
        <w:t xml:space="preserve">Unfortunately, </w:t>
      </w:r>
      <w:r w:rsidR="00C23739" w:rsidRPr="00722C5B">
        <w:rPr>
          <w:rFonts w:eastAsia="Arial Unicode MS"/>
          <w:color w:val="000000" w:themeColor="text1"/>
          <w:lang w:val="en-US" w:eastAsia="fr-CH"/>
        </w:rPr>
        <w:t xml:space="preserve">incorporating large amounts of </w:t>
      </w:r>
      <w:r w:rsidR="00B001AE" w:rsidRPr="00722C5B">
        <w:rPr>
          <w:rFonts w:eastAsia="Arial Unicode MS"/>
          <w:color w:val="000000" w:themeColor="text1"/>
          <w:lang w:val="en-US" w:eastAsia="fr-CH"/>
        </w:rPr>
        <w:t xml:space="preserve">SO </w:t>
      </w:r>
      <w:r w:rsidR="00C23739" w:rsidRPr="00722C5B">
        <w:rPr>
          <w:rFonts w:eastAsia="Arial Unicode MS"/>
          <w:color w:val="000000" w:themeColor="text1"/>
          <w:lang w:val="en-US" w:eastAsia="fr-CH"/>
        </w:rPr>
        <w:t xml:space="preserve">into foods can lead to stability concerns due to susceptibility of PUFA to </w:t>
      </w:r>
      <w:r w:rsidR="00991273" w:rsidRPr="00722C5B">
        <w:rPr>
          <w:rFonts w:eastAsia="AdvTimes"/>
          <w:color w:val="000000" w:themeColor="text1"/>
          <w:lang w:val="en-US" w:eastAsia="fr-CH"/>
        </w:rPr>
        <w:t>oxidative deterioration</w:t>
      </w:r>
      <w:r w:rsidR="00422750" w:rsidRPr="00722C5B">
        <w:rPr>
          <w:rFonts w:eastAsia="AdvTimes"/>
          <w:color w:val="000000" w:themeColor="text1"/>
          <w:lang w:val="en-US" w:eastAsia="fr-CH"/>
        </w:rPr>
        <w:t xml:space="preserve"> (Frankel, </w:t>
      </w:r>
      <w:r w:rsidR="00A40297" w:rsidRPr="00722C5B">
        <w:rPr>
          <w:rFonts w:eastAsia="AdvTimes"/>
          <w:color w:val="000000" w:themeColor="text1"/>
          <w:lang w:val="en-US" w:eastAsia="fr-CH"/>
        </w:rPr>
        <w:t>2005</w:t>
      </w:r>
      <w:r w:rsidR="00422750" w:rsidRPr="00722C5B">
        <w:rPr>
          <w:rFonts w:eastAsia="AdvTimes"/>
          <w:color w:val="000000" w:themeColor="text1"/>
          <w:lang w:val="en-US" w:eastAsia="fr-CH"/>
        </w:rPr>
        <w:t>).</w:t>
      </w:r>
      <w:r w:rsidR="00991273" w:rsidRPr="00722C5B">
        <w:rPr>
          <w:rFonts w:eastAsia="AdvTimes"/>
          <w:color w:val="000000" w:themeColor="text1"/>
          <w:lang w:val="en-US" w:eastAsia="fr-CH"/>
        </w:rPr>
        <w:t xml:space="preserve"> </w:t>
      </w:r>
      <w:r w:rsidR="00C23739" w:rsidRPr="00722C5B">
        <w:rPr>
          <w:rFonts w:eastAsia="AdvTimes"/>
          <w:color w:val="000000" w:themeColor="text1"/>
          <w:lang w:val="en-US" w:eastAsia="fr-CH"/>
        </w:rPr>
        <w:t>PUFA oxidation can be catalyzed by a variety of means such as exposure to light, heat, and transition metals</w:t>
      </w:r>
      <w:r w:rsidR="0092545A" w:rsidRPr="00722C5B">
        <w:rPr>
          <w:rFonts w:eastAsia="AdvTimes"/>
          <w:color w:val="000000" w:themeColor="text1"/>
          <w:lang w:val="en-US" w:eastAsia="fr-CH"/>
        </w:rPr>
        <w:t>, to name a few,</w:t>
      </w:r>
      <w:r w:rsidR="00C23739" w:rsidRPr="00722C5B">
        <w:rPr>
          <w:rFonts w:eastAsia="AdvTimes"/>
          <w:color w:val="000000" w:themeColor="text1"/>
          <w:lang w:val="en-US" w:eastAsia="fr-CH"/>
        </w:rPr>
        <w:t xml:space="preserve"> and results in the generation of </w:t>
      </w:r>
      <w:r w:rsidR="005D03B0" w:rsidRPr="00722C5B">
        <w:rPr>
          <w:rFonts w:eastAsia="AdvTimes"/>
          <w:color w:val="000000" w:themeColor="text1"/>
          <w:lang w:val="en-US" w:eastAsia="fr-CH"/>
        </w:rPr>
        <w:t>free radicals that</w:t>
      </w:r>
      <w:r w:rsidR="00991273" w:rsidRPr="00722C5B">
        <w:rPr>
          <w:rFonts w:eastAsia="AdvTimes"/>
          <w:color w:val="000000" w:themeColor="text1"/>
          <w:lang w:val="en-US" w:eastAsia="fr-CH"/>
        </w:rPr>
        <w:t xml:space="preserve"> can result in a </w:t>
      </w:r>
      <w:r w:rsidR="003F5FD8" w:rsidRPr="00722C5B">
        <w:rPr>
          <w:rFonts w:eastAsia="AdvTimes"/>
          <w:color w:val="000000" w:themeColor="text1"/>
          <w:lang w:val="en-US" w:eastAsia="fr-CH"/>
        </w:rPr>
        <w:t xml:space="preserve">deleterious </w:t>
      </w:r>
      <w:r w:rsidR="00991273" w:rsidRPr="00722C5B">
        <w:rPr>
          <w:rFonts w:eastAsia="AdvTimes"/>
          <w:color w:val="000000" w:themeColor="text1"/>
          <w:lang w:val="en-US" w:eastAsia="fr-CH"/>
        </w:rPr>
        <w:t>chain reaction.</w:t>
      </w:r>
      <w:r w:rsidR="00991273" w:rsidRPr="00722C5B">
        <w:rPr>
          <w:color w:val="000000" w:themeColor="text1"/>
          <w:lang w:val="en-US" w:eastAsia="fr-CH"/>
        </w:rPr>
        <w:t xml:space="preserve"> Lipid </w:t>
      </w:r>
      <w:proofErr w:type="spellStart"/>
      <w:r w:rsidR="00991273" w:rsidRPr="00722C5B">
        <w:rPr>
          <w:color w:val="000000" w:themeColor="text1"/>
          <w:lang w:val="en-US" w:eastAsia="fr-CH"/>
        </w:rPr>
        <w:t>hydroperoxides</w:t>
      </w:r>
      <w:proofErr w:type="spellEnd"/>
      <w:r w:rsidR="00991273" w:rsidRPr="00722C5B">
        <w:rPr>
          <w:color w:val="000000" w:themeColor="text1"/>
          <w:lang w:val="en-US" w:eastAsia="fr-CH"/>
        </w:rPr>
        <w:t xml:space="preserve"> are generally identified as </w:t>
      </w:r>
      <w:r w:rsidR="00C23739" w:rsidRPr="00722C5B">
        <w:rPr>
          <w:color w:val="000000" w:themeColor="text1"/>
          <w:lang w:val="en-US" w:eastAsia="fr-CH"/>
        </w:rPr>
        <w:t xml:space="preserve">the </w:t>
      </w:r>
      <w:r w:rsidR="00991273" w:rsidRPr="00722C5B">
        <w:rPr>
          <w:color w:val="000000" w:themeColor="text1"/>
          <w:lang w:val="en-US" w:eastAsia="fr-CH"/>
        </w:rPr>
        <w:t xml:space="preserve">primary products of </w:t>
      </w:r>
      <w:r w:rsidR="00C23739" w:rsidRPr="00722C5B">
        <w:rPr>
          <w:color w:val="000000" w:themeColor="text1"/>
          <w:lang w:val="en-US" w:eastAsia="fr-CH"/>
        </w:rPr>
        <w:t>aut</w:t>
      </w:r>
      <w:r w:rsidR="00991273" w:rsidRPr="00722C5B">
        <w:rPr>
          <w:color w:val="000000" w:themeColor="text1"/>
          <w:lang w:val="en-US" w:eastAsia="fr-CH"/>
        </w:rPr>
        <w:t>oxidation and further decomposition of this class of compounds can yield</w:t>
      </w:r>
      <w:r w:rsidR="00C23739" w:rsidRPr="00722C5B">
        <w:rPr>
          <w:color w:val="000000" w:themeColor="text1"/>
          <w:lang w:val="en-US" w:eastAsia="fr-CH"/>
        </w:rPr>
        <w:t xml:space="preserve"> so-called </w:t>
      </w:r>
      <w:r w:rsidR="0092545A" w:rsidRPr="00722C5B">
        <w:rPr>
          <w:color w:val="000000" w:themeColor="text1"/>
          <w:lang w:val="en-US" w:eastAsia="fr-CH"/>
        </w:rPr>
        <w:t>‘</w:t>
      </w:r>
      <w:r w:rsidR="00C23739" w:rsidRPr="00722C5B">
        <w:rPr>
          <w:color w:val="000000" w:themeColor="text1"/>
          <w:lang w:val="en-US" w:eastAsia="fr-CH"/>
        </w:rPr>
        <w:t>secondary</w:t>
      </w:r>
      <w:r w:rsidR="0092545A" w:rsidRPr="00722C5B">
        <w:rPr>
          <w:color w:val="000000" w:themeColor="text1"/>
          <w:lang w:val="en-US" w:eastAsia="fr-CH"/>
        </w:rPr>
        <w:t>’</w:t>
      </w:r>
      <w:r w:rsidR="00C23739" w:rsidRPr="00722C5B">
        <w:rPr>
          <w:color w:val="000000" w:themeColor="text1"/>
          <w:lang w:val="en-US" w:eastAsia="fr-CH"/>
        </w:rPr>
        <w:t xml:space="preserve"> oxidation products like volatile </w:t>
      </w:r>
      <w:r w:rsidR="00991273" w:rsidRPr="00722C5B">
        <w:rPr>
          <w:color w:val="000000" w:themeColor="text1"/>
          <w:lang w:val="en-US" w:eastAsia="fr-CH"/>
        </w:rPr>
        <w:t>aldehydes</w:t>
      </w:r>
      <w:r w:rsidR="003F5FD8" w:rsidRPr="00722C5B">
        <w:rPr>
          <w:color w:val="000000" w:themeColor="text1"/>
          <w:lang w:val="en-US" w:eastAsia="fr-CH"/>
        </w:rPr>
        <w:t xml:space="preserve"> (e.g. </w:t>
      </w:r>
      <w:proofErr w:type="spellStart"/>
      <w:r w:rsidR="003F5FD8" w:rsidRPr="00722C5B">
        <w:rPr>
          <w:color w:val="000000" w:themeColor="text1"/>
          <w:lang w:val="en-US" w:eastAsia="fr-CH"/>
        </w:rPr>
        <w:t>hexanal</w:t>
      </w:r>
      <w:proofErr w:type="spellEnd"/>
      <w:r w:rsidR="003F5FD8" w:rsidRPr="00722C5B">
        <w:rPr>
          <w:color w:val="000000" w:themeColor="text1"/>
          <w:lang w:val="en-US" w:eastAsia="fr-CH"/>
        </w:rPr>
        <w:t xml:space="preserve">), </w:t>
      </w:r>
      <w:r w:rsidR="00991273" w:rsidRPr="00722C5B">
        <w:rPr>
          <w:color w:val="000000" w:themeColor="text1"/>
          <w:lang w:val="en-US" w:eastAsia="fr-CH"/>
        </w:rPr>
        <w:t xml:space="preserve">ketones, alcohols, </w:t>
      </w:r>
      <w:r w:rsidR="00C23739" w:rsidRPr="00722C5B">
        <w:rPr>
          <w:color w:val="000000" w:themeColor="text1"/>
          <w:lang w:val="en-US" w:eastAsia="fr-CH"/>
        </w:rPr>
        <w:t xml:space="preserve">and </w:t>
      </w:r>
      <w:r w:rsidR="00991273" w:rsidRPr="00722C5B">
        <w:rPr>
          <w:color w:val="000000" w:themeColor="text1"/>
          <w:lang w:val="en-US" w:eastAsia="fr-CH"/>
        </w:rPr>
        <w:t>organic acids</w:t>
      </w:r>
      <w:r w:rsidR="003C3BB7" w:rsidRPr="00722C5B">
        <w:rPr>
          <w:color w:val="000000" w:themeColor="text1"/>
          <w:lang w:val="en-US" w:eastAsia="fr-CH"/>
        </w:rPr>
        <w:t xml:space="preserve"> (</w:t>
      </w:r>
      <w:proofErr w:type="spellStart"/>
      <w:r w:rsidR="003C3BB7" w:rsidRPr="00722C5B">
        <w:rPr>
          <w:color w:val="000000" w:themeColor="text1"/>
          <w:lang w:val="en-US" w:eastAsia="fr-CH"/>
        </w:rPr>
        <w:t>Shahidi</w:t>
      </w:r>
      <w:proofErr w:type="spellEnd"/>
      <w:r w:rsidR="003C3BB7" w:rsidRPr="00722C5B">
        <w:rPr>
          <w:color w:val="000000" w:themeColor="text1"/>
          <w:lang w:val="en-US" w:eastAsia="fr-CH"/>
        </w:rPr>
        <w:t xml:space="preserve"> &amp; </w:t>
      </w:r>
      <w:proofErr w:type="spellStart"/>
      <w:r w:rsidR="003C3BB7" w:rsidRPr="00722C5B">
        <w:rPr>
          <w:color w:val="000000" w:themeColor="text1"/>
          <w:lang w:val="en-US" w:eastAsia="fr-CH"/>
        </w:rPr>
        <w:t>Wanasundara</w:t>
      </w:r>
      <w:proofErr w:type="spellEnd"/>
      <w:r w:rsidR="003C3BB7" w:rsidRPr="00722C5B">
        <w:rPr>
          <w:color w:val="000000" w:themeColor="text1"/>
          <w:lang w:val="en-US" w:eastAsia="fr-CH"/>
        </w:rPr>
        <w:t>, 2008)</w:t>
      </w:r>
      <w:r w:rsidR="00991273" w:rsidRPr="00722C5B">
        <w:rPr>
          <w:color w:val="000000" w:themeColor="text1"/>
          <w:lang w:val="en-US" w:eastAsia="fr-CH"/>
        </w:rPr>
        <w:t xml:space="preserve">. </w:t>
      </w:r>
      <w:r w:rsidR="003F5FD8" w:rsidRPr="00722C5B">
        <w:rPr>
          <w:color w:val="000000" w:themeColor="text1"/>
          <w:lang w:val="en-US" w:eastAsia="fr-CH"/>
        </w:rPr>
        <w:t xml:space="preserve">These </w:t>
      </w:r>
      <w:r w:rsidR="00B37013" w:rsidRPr="00722C5B">
        <w:rPr>
          <w:color w:val="000000" w:themeColor="text1"/>
          <w:lang w:val="en-US" w:eastAsia="fr-CH"/>
        </w:rPr>
        <w:t xml:space="preserve">resultant </w:t>
      </w:r>
      <w:r w:rsidR="003F5FD8" w:rsidRPr="00722C5B">
        <w:rPr>
          <w:color w:val="000000" w:themeColor="text1"/>
          <w:lang w:val="en-US" w:eastAsia="fr-CH"/>
        </w:rPr>
        <w:t>end-products of lipid oxidation are of great concern in food industry because they can re</w:t>
      </w:r>
      <w:r w:rsidR="00D031A7" w:rsidRPr="00722C5B">
        <w:rPr>
          <w:rFonts w:eastAsia="Arial Unicode MS"/>
          <w:color w:val="000000" w:themeColor="text1"/>
          <w:lang w:val="en-US" w:eastAsia="fr-CH"/>
        </w:rPr>
        <w:t>sult</w:t>
      </w:r>
      <w:r w:rsidR="003F5FD8" w:rsidRPr="00722C5B">
        <w:rPr>
          <w:rFonts w:eastAsia="Arial Unicode MS"/>
          <w:color w:val="000000" w:themeColor="text1"/>
          <w:lang w:val="en-US" w:eastAsia="fr-CH"/>
        </w:rPr>
        <w:t xml:space="preserve"> in</w:t>
      </w:r>
      <w:r w:rsidR="00D031A7" w:rsidRPr="00722C5B">
        <w:rPr>
          <w:rFonts w:eastAsia="Arial Unicode MS"/>
          <w:color w:val="000000" w:themeColor="text1"/>
          <w:lang w:val="en-US" w:eastAsia="fr-CH"/>
        </w:rPr>
        <w:t xml:space="preserve"> </w:t>
      </w:r>
      <w:r w:rsidR="003F5FD8" w:rsidRPr="00722C5B">
        <w:rPr>
          <w:rFonts w:eastAsia="Arial Unicode MS"/>
          <w:color w:val="000000" w:themeColor="text1"/>
          <w:lang w:val="en-US" w:eastAsia="fr-CH"/>
        </w:rPr>
        <w:t xml:space="preserve">the </w:t>
      </w:r>
      <w:r w:rsidR="00D031A7" w:rsidRPr="00722C5B">
        <w:rPr>
          <w:rFonts w:eastAsia="Arial Unicode MS"/>
          <w:color w:val="000000" w:themeColor="text1"/>
          <w:lang w:val="en-US" w:eastAsia="fr-CH"/>
        </w:rPr>
        <w:t>devel</w:t>
      </w:r>
      <w:r w:rsidR="00AA795A" w:rsidRPr="00722C5B">
        <w:rPr>
          <w:rFonts w:eastAsia="Arial Unicode MS"/>
          <w:color w:val="000000" w:themeColor="text1"/>
          <w:lang w:val="en-US" w:eastAsia="fr-CH"/>
        </w:rPr>
        <w:t>opment of undesirable off-flavors, odors</w:t>
      </w:r>
      <w:r w:rsidR="00280352">
        <w:rPr>
          <w:rFonts w:eastAsia="Arial Unicode MS"/>
          <w:color w:val="000000" w:themeColor="text1"/>
          <w:lang w:val="en-US" w:eastAsia="fr-CH"/>
        </w:rPr>
        <w:t xml:space="preserve"> (</w:t>
      </w:r>
      <w:r w:rsidR="00280352" w:rsidRPr="00280352">
        <w:rPr>
          <w:rFonts w:eastAsia="Arial Unicode MS"/>
          <w:i/>
          <w:color w:val="000000" w:themeColor="text1"/>
          <w:lang w:val="en-US" w:eastAsia="fr-CH"/>
        </w:rPr>
        <w:t>e.g.</w:t>
      </w:r>
      <w:r w:rsidR="00280352">
        <w:rPr>
          <w:rFonts w:eastAsia="Arial Unicode MS"/>
          <w:color w:val="000000" w:themeColor="text1"/>
          <w:lang w:val="en-US" w:eastAsia="fr-CH"/>
        </w:rPr>
        <w:t xml:space="preserve"> rancid)</w:t>
      </w:r>
      <w:r w:rsidR="00AA795A" w:rsidRPr="00722C5B">
        <w:rPr>
          <w:rFonts w:eastAsia="Arial Unicode MS"/>
          <w:color w:val="000000" w:themeColor="text1"/>
          <w:lang w:val="en-US" w:eastAsia="fr-CH"/>
        </w:rPr>
        <w:t>, colo</w:t>
      </w:r>
      <w:r w:rsidR="00D031A7" w:rsidRPr="00722C5B">
        <w:rPr>
          <w:rFonts w:eastAsia="Arial Unicode MS"/>
          <w:color w:val="000000" w:themeColor="text1"/>
          <w:lang w:val="en-US" w:eastAsia="fr-CH"/>
        </w:rPr>
        <w:t xml:space="preserve">rs and potentially toxic </w:t>
      </w:r>
      <w:r w:rsidR="003F5FD8" w:rsidRPr="00722C5B">
        <w:rPr>
          <w:rFonts w:eastAsia="Arial Unicode MS"/>
          <w:color w:val="000000" w:themeColor="text1"/>
          <w:lang w:val="en-US" w:eastAsia="fr-CH"/>
        </w:rPr>
        <w:t>compounds</w:t>
      </w:r>
      <w:r w:rsidR="00422750" w:rsidRPr="00722C5B">
        <w:rPr>
          <w:rFonts w:eastAsia="Arial Unicode MS"/>
          <w:color w:val="000000" w:themeColor="text1"/>
          <w:lang w:val="en-US" w:eastAsia="fr-CH"/>
        </w:rPr>
        <w:t xml:space="preserve"> </w:t>
      </w:r>
      <w:r w:rsidR="003F5FD8" w:rsidRPr="00722C5B">
        <w:rPr>
          <w:rFonts w:eastAsia="Arial Unicode MS"/>
          <w:color w:val="000000" w:themeColor="text1"/>
          <w:lang w:val="en-US" w:eastAsia="fr-CH"/>
        </w:rPr>
        <w:t>in food products</w:t>
      </w:r>
      <w:r w:rsidR="00422750" w:rsidRPr="00722C5B">
        <w:rPr>
          <w:rFonts w:eastAsia="Arial Unicode MS"/>
          <w:color w:val="000000" w:themeColor="text1"/>
          <w:lang w:val="en-US" w:eastAsia="fr-CH"/>
        </w:rPr>
        <w:t>.</w:t>
      </w:r>
    </w:p>
    <w:p w:rsidR="00060E5B" w:rsidRPr="00722C5B" w:rsidRDefault="006A4D0D" w:rsidP="005C4A26">
      <w:pPr>
        <w:spacing w:line="480" w:lineRule="auto"/>
        <w:ind w:firstLine="284"/>
        <w:jc w:val="both"/>
        <w:rPr>
          <w:rFonts w:eastAsia="Arial Unicode MS"/>
          <w:color w:val="000000" w:themeColor="text1"/>
          <w:lang w:val="en-US"/>
        </w:rPr>
      </w:pPr>
      <w:r w:rsidRPr="00722C5B">
        <w:rPr>
          <w:rFonts w:eastAsia="Arial Unicode MS"/>
          <w:color w:val="000000" w:themeColor="text1"/>
          <w:lang w:val="en-US"/>
        </w:rPr>
        <w:t>Recently, h</w:t>
      </w:r>
      <w:r w:rsidR="00751F89" w:rsidRPr="00722C5B">
        <w:rPr>
          <w:rFonts w:eastAsia="Arial Unicode MS"/>
          <w:color w:val="000000" w:themeColor="text1"/>
          <w:lang w:val="en-US"/>
        </w:rPr>
        <w:t>igh</w:t>
      </w:r>
      <w:r w:rsidR="0092545A" w:rsidRPr="00722C5B">
        <w:rPr>
          <w:rFonts w:eastAsia="Arial Unicode MS"/>
          <w:color w:val="000000" w:themeColor="text1"/>
          <w:lang w:val="en-US"/>
        </w:rPr>
        <w:t>-</w:t>
      </w:r>
      <w:r w:rsidR="00751F89" w:rsidRPr="00722C5B">
        <w:rPr>
          <w:rFonts w:eastAsia="Arial Unicode MS"/>
          <w:color w:val="000000" w:themeColor="text1"/>
          <w:lang w:val="en-US"/>
        </w:rPr>
        <w:t xml:space="preserve">oleic </w:t>
      </w:r>
      <w:r w:rsidR="0092545A" w:rsidRPr="00722C5B">
        <w:rPr>
          <w:rFonts w:eastAsia="Arial Unicode MS"/>
          <w:color w:val="000000" w:themeColor="text1"/>
          <w:lang w:val="en-US"/>
        </w:rPr>
        <w:t>(</w:t>
      </w:r>
      <w:proofErr w:type="gramStart"/>
      <w:r w:rsidR="0092545A" w:rsidRPr="00722C5B">
        <w:rPr>
          <w:rFonts w:eastAsia="Arial Unicode MS"/>
          <w:color w:val="000000" w:themeColor="text1"/>
          <w:lang w:val="en-US"/>
        </w:rPr>
        <w:t>18:1,</w:t>
      </w:r>
      <w:proofErr w:type="gramEnd"/>
      <w:r w:rsidR="0092545A" w:rsidRPr="00722C5B">
        <w:rPr>
          <w:rFonts w:eastAsia="Arial Unicode MS"/>
          <w:color w:val="000000" w:themeColor="text1"/>
          <w:lang w:val="en-US"/>
        </w:rPr>
        <w:t xml:space="preserve"> or mono-unsaturated fatty acid [MUFA]) cultivars of typical edible oil crops such as </w:t>
      </w:r>
      <w:r w:rsidR="00751F89" w:rsidRPr="00722C5B">
        <w:rPr>
          <w:rFonts w:eastAsia="Arial Unicode MS"/>
          <w:color w:val="000000" w:themeColor="text1"/>
          <w:lang w:val="en-US"/>
        </w:rPr>
        <w:t xml:space="preserve">sunflower oil </w:t>
      </w:r>
      <w:r w:rsidR="00B001AE" w:rsidRPr="00722C5B">
        <w:rPr>
          <w:rFonts w:eastAsia="Arial Unicode MS"/>
          <w:color w:val="000000" w:themeColor="text1"/>
          <w:lang w:val="en-US"/>
        </w:rPr>
        <w:t xml:space="preserve">(HOSFO) </w:t>
      </w:r>
      <w:r w:rsidR="0092545A" w:rsidRPr="00722C5B">
        <w:rPr>
          <w:rFonts w:eastAsia="Arial Unicode MS"/>
          <w:color w:val="000000" w:themeColor="text1"/>
          <w:lang w:val="en-US"/>
        </w:rPr>
        <w:t xml:space="preserve">have seen widespread use in food industry due to their greater oxidative stability than </w:t>
      </w:r>
      <w:r w:rsidR="00B001AE" w:rsidRPr="00722C5B">
        <w:rPr>
          <w:rFonts w:eastAsia="Arial Unicode MS"/>
          <w:color w:val="000000" w:themeColor="text1"/>
          <w:lang w:val="en-US"/>
        </w:rPr>
        <w:t xml:space="preserve">traditional </w:t>
      </w:r>
      <w:r w:rsidR="0092545A" w:rsidRPr="00722C5B">
        <w:rPr>
          <w:rFonts w:eastAsia="Arial Unicode MS"/>
          <w:color w:val="000000" w:themeColor="text1"/>
          <w:lang w:val="en-US"/>
        </w:rPr>
        <w:t xml:space="preserve">oils </w:t>
      </w:r>
      <w:r w:rsidR="00B001AE" w:rsidRPr="00722C5B">
        <w:rPr>
          <w:rFonts w:eastAsia="Arial Unicode MS"/>
          <w:color w:val="000000" w:themeColor="text1"/>
          <w:lang w:val="en-US"/>
        </w:rPr>
        <w:t>like SO</w:t>
      </w:r>
      <w:r w:rsidR="00AA7D3B" w:rsidRPr="00722C5B">
        <w:rPr>
          <w:rFonts w:eastAsia="Arial Unicode MS"/>
          <w:color w:val="000000" w:themeColor="text1"/>
          <w:lang w:val="en-US"/>
        </w:rPr>
        <w:t>.</w:t>
      </w:r>
      <w:r w:rsidR="00361861" w:rsidRPr="00722C5B">
        <w:rPr>
          <w:rFonts w:eastAsia="Arial Unicode MS"/>
          <w:color w:val="000000" w:themeColor="text1"/>
          <w:lang w:val="en-US"/>
        </w:rPr>
        <w:t xml:space="preserve"> </w:t>
      </w:r>
      <w:r w:rsidR="0092545A" w:rsidRPr="00722C5B">
        <w:rPr>
          <w:rFonts w:eastAsia="Arial Unicode MS"/>
          <w:color w:val="000000" w:themeColor="text1"/>
          <w:lang w:val="en-US"/>
        </w:rPr>
        <w:t xml:space="preserve">However, these high-oleic oils like </w:t>
      </w:r>
      <w:r w:rsidR="005E4085" w:rsidRPr="00722C5B">
        <w:rPr>
          <w:rFonts w:eastAsia="Arial Unicode MS"/>
          <w:color w:val="000000" w:themeColor="text1"/>
          <w:lang w:val="en-US"/>
        </w:rPr>
        <w:t>HOSFO</w:t>
      </w:r>
      <w:r w:rsidR="00361861" w:rsidRPr="00722C5B">
        <w:rPr>
          <w:rFonts w:eastAsia="Arial Unicode MS"/>
          <w:color w:val="000000" w:themeColor="text1"/>
          <w:lang w:val="en-US"/>
        </w:rPr>
        <w:t xml:space="preserve"> </w:t>
      </w:r>
      <w:r w:rsidR="00280352">
        <w:rPr>
          <w:rFonts w:eastAsia="Arial Unicode MS"/>
          <w:color w:val="000000" w:themeColor="text1"/>
          <w:lang w:val="en-US"/>
        </w:rPr>
        <w:t xml:space="preserve">(in addition to being more expensive) </w:t>
      </w:r>
      <w:r w:rsidR="0092545A" w:rsidRPr="00722C5B">
        <w:rPr>
          <w:rFonts w:eastAsia="Arial Unicode MS"/>
          <w:color w:val="000000" w:themeColor="text1"/>
          <w:lang w:val="en-US"/>
        </w:rPr>
        <w:t>often contain only small amounts of PUFA</w:t>
      </w:r>
      <w:r w:rsidR="003F5FD8" w:rsidRPr="00722C5B">
        <w:rPr>
          <w:rFonts w:eastAsia="Arial Unicode MS"/>
          <w:color w:val="000000" w:themeColor="text1"/>
          <w:lang w:val="en-US"/>
        </w:rPr>
        <w:t xml:space="preserve">, and thus, they lack the </w:t>
      </w:r>
      <w:r w:rsidR="00C11672" w:rsidRPr="00722C5B">
        <w:rPr>
          <w:rFonts w:eastAsia="Arial Unicode MS"/>
          <w:color w:val="000000" w:themeColor="text1"/>
          <w:lang w:val="en-US"/>
        </w:rPr>
        <w:t>aforementioned</w:t>
      </w:r>
      <w:r w:rsidR="003F5FD8" w:rsidRPr="00722C5B">
        <w:rPr>
          <w:rFonts w:eastAsia="Arial Unicode MS"/>
          <w:color w:val="000000" w:themeColor="text1"/>
          <w:lang w:val="en-US"/>
        </w:rPr>
        <w:t xml:space="preserve"> health benefits for consumers.</w:t>
      </w:r>
      <w:r w:rsidR="00E05D41" w:rsidRPr="00722C5B">
        <w:rPr>
          <w:rFonts w:eastAsia="Arial Unicode MS"/>
          <w:color w:val="000000" w:themeColor="text1"/>
          <w:lang w:val="en-US"/>
        </w:rPr>
        <w:t xml:space="preserve"> </w:t>
      </w:r>
      <w:r w:rsidR="00825F8E" w:rsidRPr="00722C5B">
        <w:rPr>
          <w:rFonts w:eastAsia="Arial Unicode MS"/>
          <w:color w:val="000000" w:themeColor="text1"/>
          <w:lang w:val="en-US"/>
        </w:rPr>
        <w:t>I</w:t>
      </w:r>
      <w:r w:rsidR="00E05D41" w:rsidRPr="00722C5B">
        <w:rPr>
          <w:rFonts w:eastAsia="Arial Unicode MS"/>
          <w:color w:val="000000" w:themeColor="text1"/>
          <w:lang w:val="en-US"/>
        </w:rPr>
        <w:t xml:space="preserve">n order to </w:t>
      </w:r>
      <w:r w:rsidR="0092545A" w:rsidRPr="00722C5B">
        <w:rPr>
          <w:rFonts w:eastAsia="Arial Unicode MS"/>
          <w:color w:val="000000" w:themeColor="text1"/>
          <w:lang w:val="en-US"/>
        </w:rPr>
        <w:t xml:space="preserve">make </w:t>
      </w:r>
      <w:r w:rsidR="0092545A" w:rsidRPr="00722C5B">
        <w:rPr>
          <w:rFonts w:eastAsia="Arial Unicode MS"/>
          <w:color w:val="000000" w:themeColor="text1"/>
          <w:lang w:val="en-US"/>
        </w:rPr>
        <w:lastRenderedPageBreak/>
        <w:t xml:space="preserve">a compromise </w:t>
      </w:r>
      <w:r w:rsidR="00E05D41" w:rsidRPr="00722C5B">
        <w:rPr>
          <w:rFonts w:eastAsia="Arial Unicode MS"/>
          <w:color w:val="000000" w:themeColor="text1"/>
          <w:lang w:val="en-US"/>
        </w:rPr>
        <w:t xml:space="preserve">and bring both the health benefits of PUFA as well as the stability of high-oleic oils, it is common practice to </w:t>
      </w:r>
      <w:r w:rsidR="0092545A" w:rsidRPr="00722C5B">
        <w:rPr>
          <w:rFonts w:eastAsia="Arial Unicode MS"/>
          <w:color w:val="000000" w:themeColor="text1"/>
          <w:lang w:val="en-US"/>
        </w:rPr>
        <w:t>supplement soybean oil (SO) with antioxidant compounds that prevent or delay the oxidation process. Currently</w:t>
      </w:r>
      <w:r w:rsidR="00B001AE" w:rsidRPr="00722C5B">
        <w:rPr>
          <w:rFonts w:eastAsia="Arial Unicode MS"/>
          <w:color w:val="000000" w:themeColor="text1"/>
          <w:lang w:val="en-US"/>
        </w:rPr>
        <w:t>,</w:t>
      </w:r>
      <w:r w:rsidR="0092545A" w:rsidRPr="00722C5B">
        <w:rPr>
          <w:rFonts w:eastAsia="Arial Unicode MS"/>
          <w:color w:val="000000" w:themeColor="text1"/>
          <w:lang w:val="en-US"/>
        </w:rPr>
        <w:t xml:space="preserve"> various s</w:t>
      </w:r>
      <w:r w:rsidR="00BF3CF4" w:rsidRPr="00722C5B">
        <w:rPr>
          <w:rFonts w:eastAsia="Arial Unicode MS"/>
          <w:color w:val="000000" w:themeColor="text1"/>
          <w:lang w:val="en-US"/>
        </w:rPr>
        <w:t xml:space="preserve">ynthetic </w:t>
      </w:r>
      <w:r w:rsidR="0092545A" w:rsidRPr="00722C5B">
        <w:rPr>
          <w:rFonts w:eastAsia="Arial Unicode MS"/>
          <w:color w:val="000000" w:themeColor="text1"/>
          <w:lang w:val="en-US"/>
        </w:rPr>
        <w:t>and natural antioxidant compounds are available in the marketplace</w:t>
      </w:r>
      <w:r w:rsidR="00671263" w:rsidRPr="00722C5B">
        <w:rPr>
          <w:rFonts w:eastAsia="Arial Unicode MS"/>
          <w:color w:val="000000" w:themeColor="text1"/>
          <w:lang w:val="en-US"/>
        </w:rPr>
        <w:t xml:space="preserve"> and can be used to help in the stabilization of fats and oils</w:t>
      </w:r>
      <w:r w:rsidR="00060E5B" w:rsidRPr="00722C5B">
        <w:rPr>
          <w:rFonts w:eastAsia="Arial Unicode MS"/>
          <w:color w:val="000000" w:themeColor="text1"/>
          <w:lang w:val="en-US"/>
        </w:rPr>
        <w:t>.</w:t>
      </w:r>
    </w:p>
    <w:p w:rsidR="00AA7D3B" w:rsidRPr="00722C5B" w:rsidRDefault="00060E5B" w:rsidP="005C4A26">
      <w:pPr>
        <w:spacing w:line="480" w:lineRule="auto"/>
        <w:ind w:firstLine="284"/>
        <w:jc w:val="both"/>
        <w:rPr>
          <w:rFonts w:eastAsia="Arial Unicode MS"/>
          <w:color w:val="000000" w:themeColor="text1"/>
          <w:lang w:val="en-US"/>
        </w:rPr>
      </w:pPr>
      <w:r w:rsidRPr="00722C5B">
        <w:rPr>
          <w:rFonts w:eastAsia="Arial Unicode MS"/>
          <w:color w:val="000000" w:themeColor="text1"/>
          <w:lang w:val="en-US"/>
        </w:rPr>
        <w:t xml:space="preserve">Synthetic </w:t>
      </w:r>
      <w:r w:rsidR="00D740AC" w:rsidRPr="00722C5B">
        <w:rPr>
          <w:rFonts w:eastAsia="Arial Unicode MS"/>
          <w:color w:val="000000" w:themeColor="text1"/>
          <w:lang w:val="en-US"/>
        </w:rPr>
        <w:t xml:space="preserve">antioxidant </w:t>
      </w:r>
      <w:r w:rsidRPr="00722C5B">
        <w:rPr>
          <w:rFonts w:eastAsia="Arial Unicode MS"/>
          <w:color w:val="000000" w:themeColor="text1"/>
          <w:lang w:val="en-US"/>
        </w:rPr>
        <w:t xml:space="preserve">compounds </w:t>
      </w:r>
      <w:r w:rsidR="00D740AC" w:rsidRPr="00722C5B">
        <w:rPr>
          <w:rFonts w:eastAsia="Arial Unicode MS"/>
          <w:color w:val="000000" w:themeColor="text1"/>
          <w:lang w:val="en-US"/>
        </w:rPr>
        <w:t>like</w:t>
      </w:r>
      <w:r w:rsidRPr="00722C5B">
        <w:rPr>
          <w:rFonts w:eastAsia="Arial Unicode MS"/>
          <w:color w:val="000000" w:themeColor="text1"/>
          <w:lang w:val="en-US"/>
        </w:rPr>
        <w:t xml:space="preserve"> </w:t>
      </w:r>
      <w:proofErr w:type="spellStart"/>
      <w:r w:rsidR="00D740AC" w:rsidRPr="00722C5B">
        <w:rPr>
          <w:rFonts w:eastAsia="Arial Unicode MS"/>
          <w:color w:val="000000" w:themeColor="text1"/>
          <w:lang w:val="en-US"/>
        </w:rPr>
        <w:t>butylated</w:t>
      </w:r>
      <w:proofErr w:type="spellEnd"/>
      <w:r w:rsidR="00D740AC" w:rsidRPr="00722C5B">
        <w:rPr>
          <w:rFonts w:eastAsia="Arial Unicode MS"/>
          <w:color w:val="000000" w:themeColor="text1"/>
          <w:lang w:val="en-US"/>
        </w:rPr>
        <w:t xml:space="preserve"> </w:t>
      </w:r>
      <w:proofErr w:type="spellStart"/>
      <w:r w:rsidR="00D740AC" w:rsidRPr="00722C5B">
        <w:rPr>
          <w:rFonts w:eastAsia="Arial Unicode MS"/>
          <w:color w:val="000000" w:themeColor="text1"/>
          <w:lang w:val="en-US"/>
        </w:rPr>
        <w:t>hydroxyanisole</w:t>
      </w:r>
      <w:proofErr w:type="spellEnd"/>
      <w:r w:rsidR="00D740AC" w:rsidRPr="00722C5B">
        <w:rPr>
          <w:rFonts w:eastAsia="Arial Unicode MS"/>
          <w:color w:val="000000" w:themeColor="text1"/>
          <w:lang w:val="en-US"/>
        </w:rPr>
        <w:t xml:space="preserve"> (</w:t>
      </w:r>
      <w:r w:rsidRPr="00722C5B">
        <w:rPr>
          <w:rFonts w:eastAsia="Arial Unicode MS"/>
          <w:color w:val="000000" w:themeColor="text1"/>
          <w:lang w:val="en-US"/>
        </w:rPr>
        <w:t>BHA</w:t>
      </w:r>
      <w:r w:rsidR="00D740AC" w:rsidRPr="00722C5B">
        <w:rPr>
          <w:rFonts w:eastAsia="Arial Unicode MS"/>
          <w:color w:val="000000" w:themeColor="text1"/>
          <w:lang w:val="en-US"/>
        </w:rPr>
        <w:t xml:space="preserve">) </w:t>
      </w:r>
      <w:r w:rsidRPr="00722C5B">
        <w:rPr>
          <w:rFonts w:eastAsia="Arial Unicode MS"/>
          <w:color w:val="000000" w:themeColor="text1"/>
          <w:lang w:val="en-US"/>
        </w:rPr>
        <w:t xml:space="preserve">and </w:t>
      </w:r>
      <w:proofErr w:type="spellStart"/>
      <w:r w:rsidR="00D740AC" w:rsidRPr="00722C5B">
        <w:rPr>
          <w:rFonts w:eastAsia="Arial Unicode MS"/>
          <w:color w:val="000000" w:themeColor="text1"/>
          <w:lang w:val="en-US"/>
        </w:rPr>
        <w:t>butylated</w:t>
      </w:r>
      <w:proofErr w:type="spellEnd"/>
      <w:r w:rsidR="00D740AC" w:rsidRPr="00722C5B">
        <w:rPr>
          <w:rFonts w:eastAsia="Arial Unicode MS"/>
          <w:color w:val="000000" w:themeColor="text1"/>
          <w:lang w:val="en-US"/>
        </w:rPr>
        <w:t xml:space="preserve"> </w:t>
      </w:r>
      <w:proofErr w:type="spellStart"/>
      <w:r w:rsidR="00D740AC" w:rsidRPr="00722C5B">
        <w:rPr>
          <w:rFonts w:eastAsia="Arial Unicode MS"/>
          <w:color w:val="000000" w:themeColor="text1"/>
          <w:lang w:val="en-US"/>
        </w:rPr>
        <w:t>hydroxytoluene</w:t>
      </w:r>
      <w:proofErr w:type="spellEnd"/>
      <w:r w:rsidR="00D740AC" w:rsidRPr="00722C5B">
        <w:rPr>
          <w:rFonts w:eastAsia="Arial Unicode MS"/>
          <w:color w:val="000000" w:themeColor="text1"/>
          <w:lang w:val="en-US"/>
        </w:rPr>
        <w:t xml:space="preserve"> (</w:t>
      </w:r>
      <w:r w:rsidRPr="00722C5B">
        <w:rPr>
          <w:rFonts w:eastAsia="Arial Unicode MS"/>
          <w:color w:val="000000" w:themeColor="text1"/>
          <w:lang w:val="en-US"/>
        </w:rPr>
        <w:t>BHT</w:t>
      </w:r>
      <w:r w:rsidR="00D740AC" w:rsidRPr="00722C5B">
        <w:rPr>
          <w:rFonts w:eastAsia="Arial Unicode MS"/>
          <w:color w:val="000000" w:themeColor="text1"/>
          <w:lang w:val="en-US"/>
        </w:rPr>
        <w:t>)</w:t>
      </w:r>
      <w:r w:rsidRPr="00722C5B">
        <w:rPr>
          <w:rFonts w:eastAsia="Arial Unicode MS"/>
          <w:color w:val="000000" w:themeColor="text1"/>
          <w:lang w:val="en-US"/>
        </w:rPr>
        <w:t xml:space="preserve"> are often used due to their </w:t>
      </w:r>
      <w:r w:rsidR="00BF3CF4" w:rsidRPr="00722C5B">
        <w:rPr>
          <w:rFonts w:eastAsia="Arial Unicode MS"/>
          <w:color w:val="000000" w:themeColor="text1"/>
          <w:lang w:val="en-US"/>
        </w:rPr>
        <w:t xml:space="preserve">processing stability, </w:t>
      </w:r>
      <w:r w:rsidRPr="00722C5B">
        <w:rPr>
          <w:rFonts w:eastAsia="Arial Unicode MS"/>
          <w:color w:val="000000" w:themeColor="text1"/>
          <w:lang w:val="en-US"/>
        </w:rPr>
        <w:t>high antioxidant activity</w:t>
      </w:r>
      <w:r w:rsidR="00BF3CF4" w:rsidRPr="00722C5B">
        <w:rPr>
          <w:rFonts w:eastAsia="Arial Unicode MS"/>
          <w:color w:val="000000" w:themeColor="text1"/>
          <w:lang w:val="en-US"/>
        </w:rPr>
        <w:t xml:space="preserve">, low </w:t>
      </w:r>
      <w:r w:rsidRPr="00722C5B">
        <w:rPr>
          <w:rFonts w:eastAsia="Arial Unicode MS"/>
          <w:color w:val="000000" w:themeColor="text1"/>
          <w:lang w:val="en-US"/>
        </w:rPr>
        <w:t xml:space="preserve">cost and widespread </w:t>
      </w:r>
      <w:r w:rsidR="00BF3CF4" w:rsidRPr="00722C5B">
        <w:rPr>
          <w:rFonts w:eastAsia="Arial Unicode MS"/>
          <w:color w:val="000000" w:themeColor="text1"/>
          <w:lang w:val="en-US"/>
        </w:rPr>
        <w:t xml:space="preserve">availability. However, the safety of these synthetic antioxidants </w:t>
      </w:r>
      <w:r w:rsidR="00FA2B92">
        <w:rPr>
          <w:rFonts w:eastAsia="Arial Unicode MS"/>
          <w:color w:val="000000" w:themeColor="text1"/>
          <w:lang w:val="en-US"/>
        </w:rPr>
        <w:t xml:space="preserve">has </w:t>
      </w:r>
      <w:r w:rsidR="00BF3CF4" w:rsidRPr="00722C5B">
        <w:rPr>
          <w:rFonts w:eastAsia="Arial Unicode MS"/>
          <w:color w:val="000000" w:themeColor="text1"/>
          <w:lang w:val="en-US"/>
        </w:rPr>
        <w:t>often</w:t>
      </w:r>
      <w:r w:rsidR="00AA7D3B" w:rsidRPr="00722C5B">
        <w:rPr>
          <w:rFonts w:eastAsia="Arial Unicode MS"/>
          <w:color w:val="000000" w:themeColor="text1"/>
          <w:lang w:val="en-US"/>
        </w:rPr>
        <w:t xml:space="preserve"> been questioned </w:t>
      </w:r>
      <w:r w:rsidR="00BF3CF4" w:rsidRPr="00722C5B">
        <w:rPr>
          <w:rFonts w:eastAsia="Arial Unicode MS"/>
          <w:color w:val="000000" w:themeColor="text1"/>
          <w:lang w:val="en-US"/>
        </w:rPr>
        <w:t>due to</w:t>
      </w:r>
      <w:r w:rsidR="00AA7D3B" w:rsidRPr="00722C5B">
        <w:rPr>
          <w:rFonts w:eastAsia="Arial Unicode MS"/>
          <w:color w:val="000000" w:themeColor="text1"/>
          <w:lang w:val="en-US"/>
        </w:rPr>
        <w:t xml:space="preserve"> potential toxicological concerns</w:t>
      </w:r>
      <w:r w:rsidR="00671263" w:rsidRPr="00722C5B">
        <w:rPr>
          <w:rFonts w:eastAsia="Arial Unicode MS"/>
          <w:color w:val="000000" w:themeColor="text1"/>
          <w:lang w:val="en-US"/>
        </w:rPr>
        <w:t xml:space="preserve"> </w:t>
      </w:r>
      <w:r w:rsidR="00422750" w:rsidRPr="00722C5B">
        <w:rPr>
          <w:rFonts w:eastAsia="Arial Unicode MS"/>
          <w:color w:val="000000" w:themeColor="text1"/>
          <w:lang w:val="en-US"/>
        </w:rPr>
        <w:t xml:space="preserve">(Yang </w:t>
      </w:r>
      <w:r w:rsidR="00422750" w:rsidRPr="00722C5B">
        <w:rPr>
          <w:rFonts w:eastAsia="Arial Unicode MS"/>
          <w:i/>
          <w:color w:val="000000" w:themeColor="text1"/>
          <w:lang w:val="en-US"/>
        </w:rPr>
        <w:t>et al.</w:t>
      </w:r>
      <w:r w:rsidR="00422750" w:rsidRPr="00722C5B">
        <w:rPr>
          <w:rFonts w:eastAsia="Arial Unicode MS"/>
          <w:color w:val="000000" w:themeColor="text1"/>
          <w:lang w:val="en-US"/>
        </w:rPr>
        <w:t>, 2002).</w:t>
      </w:r>
      <w:r w:rsidRPr="00722C5B">
        <w:rPr>
          <w:rFonts w:eastAsia="Arial Unicode MS"/>
          <w:color w:val="000000" w:themeColor="text1"/>
          <w:lang w:val="en-US"/>
        </w:rPr>
        <w:t xml:space="preserve"> </w:t>
      </w:r>
      <w:proofErr w:type="spellStart"/>
      <w:r w:rsidR="00BF3CF4" w:rsidRPr="00722C5B">
        <w:rPr>
          <w:rFonts w:eastAsia="Arial Unicode MS" w:cs="Arial"/>
          <w:color w:val="000000"/>
          <w:lang w:val="en-US"/>
        </w:rPr>
        <w:t>Ascorbyl</w:t>
      </w:r>
      <w:proofErr w:type="spellEnd"/>
      <w:r w:rsidR="00BF3CF4" w:rsidRPr="00722C5B">
        <w:rPr>
          <w:rFonts w:eastAsia="Arial Unicode MS" w:cs="Arial"/>
          <w:color w:val="000000"/>
          <w:lang w:val="en-US"/>
        </w:rPr>
        <w:t xml:space="preserve"> </w:t>
      </w:r>
      <w:proofErr w:type="spellStart"/>
      <w:r w:rsidR="00BF3CF4" w:rsidRPr="00722C5B">
        <w:rPr>
          <w:rFonts w:eastAsia="Arial Unicode MS" w:cs="Arial"/>
          <w:color w:val="000000"/>
          <w:lang w:val="en-US"/>
        </w:rPr>
        <w:t>palmitate</w:t>
      </w:r>
      <w:proofErr w:type="spellEnd"/>
      <w:r w:rsidR="00BF3CF4" w:rsidRPr="00722C5B">
        <w:rPr>
          <w:rFonts w:eastAsia="Arial Unicode MS" w:cs="Arial"/>
          <w:color w:val="000000"/>
          <w:lang w:val="en-US"/>
        </w:rPr>
        <w:t xml:space="preserve"> (AP) is a</w:t>
      </w:r>
      <w:r w:rsidR="00671263" w:rsidRPr="00722C5B">
        <w:rPr>
          <w:rFonts w:eastAsia="Arial Unicode MS" w:cs="Arial"/>
          <w:color w:val="000000"/>
          <w:lang w:val="en-US"/>
        </w:rPr>
        <w:t xml:space="preserve"> </w:t>
      </w:r>
      <w:r w:rsidR="00BF3CF4" w:rsidRPr="00722C5B">
        <w:rPr>
          <w:rFonts w:eastAsia="Arial Unicode MS" w:cs="Arial"/>
          <w:color w:val="000000"/>
          <w:lang w:val="en-US"/>
        </w:rPr>
        <w:t>synthetic oil-soluble ester of ascorbic acid</w:t>
      </w:r>
      <w:r w:rsidR="00422750" w:rsidRPr="00722C5B">
        <w:rPr>
          <w:rFonts w:eastAsia="Arial Unicode MS" w:cs="Arial"/>
          <w:color w:val="000000"/>
          <w:lang w:val="en-US"/>
        </w:rPr>
        <w:t xml:space="preserve"> that </w:t>
      </w:r>
      <w:r w:rsidRPr="00722C5B">
        <w:rPr>
          <w:rFonts w:eastAsia="Arial Unicode MS" w:cs="Arial"/>
          <w:color w:val="000000"/>
          <w:lang w:val="en-US"/>
        </w:rPr>
        <w:t xml:space="preserve">has been proven to </w:t>
      </w:r>
      <w:r w:rsidR="00422750" w:rsidRPr="00722C5B">
        <w:rPr>
          <w:rFonts w:eastAsia="Arial Unicode MS" w:cs="Arial"/>
          <w:color w:val="000000"/>
          <w:lang w:val="en-US"/>
        </w:rPr>
        <w:t>delay</w:t>
      </w:r>
      <w:r w:rsidRPr="00722C5B">
        <w:rPr>
          <w:rFonts w:eastAsia="Arial Unicode MS" w:cs="Arial"/>
          <w:color w:val="000000"/>
          <w:lang w:val="en-US"/>
        </w:rPr>
        <w:t xml:space="preserve"> the</w:t>
      </w:r>
      <w:r w:rsidR="00422750" w:rsidRPr="00722C5B">
        <w:rPr>
          <w:rFonts w:eastAsia="Arial Unicode MS" w:cs="Arial"/>
          <w:color w:val="000000"/>
          <w:lang w:val="en-US"/>
        </w:rPr>
        <w:t xml:space="preserve"> onset of rancidity</w:t>
      </w:r>
      <w:r w:rsidR="00825F8E" w:rsidRPr="00722C5B">
        <w:rPr>
          <w:rFonts w:eastAsia="Arial Unicode MS" w:cs="Arial"/>
          <w:color w:val="000000"/>
          <w:lang w:val="en-US"/>
        </w:rPr>
        <w:t xml:space="preserve"> in edible oils </w:t>
      </w:r>
      <w:r w:rsidR="00422750" w:rsidRPr="00722C5B">
        <w:rPr>
          <w:rFonts w:eastAsia="Arial Unicode MS" w:cs="Arial"/>
          <w:color w:val="000000"/>
          <w:lang w:val="en-US"/>
        </w:rPr>
        <w:t>(</w:t>
      </w:r>
      <w:r w:rsidR="00825F8E" w:rsidRPr="00722C5B">
        <w:rPr>
          <w:rFonts w:eastAsia="Arial Unicode MS" w:cs="Arial"/>
          <w:color w:val="000000"/>
          <w:lang w:val="en-US"/>
        </w:rPr>
        <w:t xml:space="preserve">McMullen </w:t>
      </w:r>
      <w:r w:rsidR="00825F8E" w:rsidRPr="00722C5B">
        <w:rPr>
          <w:rFonts w:eastAsia="Arial Unicode MS" w:cs="Arial"/>
          <w:i/>
          <w:color w:val="000000"/>
          <w:lang w:val="en-US"/>
        </w:rPr>
        <w:t>et al.</w:t>
      </w:r>
      <w:r w:rsidR="00825F8E" w:rsidRPr="00722C5B">
        <w:rPr>
          <w:rFonts w:eastAsia="Arial Unicode MS" w:cs="Arial"/>
          <w:color w:val="000000"/>
          <w:lang w:val="en-US"/>
        </w:rPr>
        <w:t>, 1991</w:t>
      </w:r>
      <w:r w:rsidR="00422750" w:rsidRPr="00722C5B">
        <w:rPr>
          <w:rFonts w:eastAsia="Arial Unicode MS" w:cs="Arial"/>
          <w:color w:val="000000"/>
          <w:lang w:val="en-US"/>
        </w:rPr>
        <w:t>).</w:t>
      </w:r>
      <w:r w:rsidR="00BF3CF4" w:rsidRPr="00722C5B">
        <w:rPr>
          <w:rFonts w:eastAsia="Arial Unicode MS" w:cs="Arial"/>
          <w:color w:val="000000"/>
          <w:lang w:val="en-US"/>
        </w:rPr>
        <w:t xml:space="preserve"> </w:t>
      </w:r>
      <w:r w:rsidR="00825F8E" w:rsidRPr="00722C5B">
        <w:rPr>
          <w:rFonts w:eastAsia="Arial Unicode MS" w:cs="Arial"/>
          <w:color w:val="000000"/>
          <w:lang w:val="en-US"/>
        </w:rPr>
        <w:t xml:space="preserve">AP has also been proven to act as a </w:t>
      </w:r>
      <w:r w:rsidR="00BF3CF4" w:rsidRPr="00722C5B">
        <w:rPr>
          <w:rFonts w:eastAsia="Arial Unicode MS" w:cs="Arial"/>
          <w:color w:val="000000"/>
          <w:lang w:val="en-US"/>
        </w:rPr>
        <w:t xml:space="preserve">synergist with </w:t>
      </w:r>
      <w:proofErr w:type="spellStart"/>
      <w:r w:rsidR="00BF3CF4" w:rsidRPr="00722C5B">
        <w:rPr>
          <w:rFonts w:eastAsia="Arial Unicode MS" w:cs="Arial"/>
          <w:color w:val="000000"/>
          <w:lang w:val="en-US"/>
        </w:rPr>
        <w:t>tocopherol</w:t>
      </w:r>
      <w:proofErr w:type="spellEnd"/>
      <w:r w:rsidR="00422750" w:rsidRPr="00722C5B">
        <w:rPr>
          <w:rFonts w:eastAsia="Arial Unicode MS"/>
          <w:color w:val="000000"/>
          <w:lang w:val="en-US"/>
        </w:rPr>
        <w:t xml:space="preserve"> </w:t>
      </w:r>
      <w:r w:rsidR="00825F8E" w:rsidRPr="00722C5B">
        <w:rPr>
          <w:rFonts w:eastAsia="Arial Unicode MS"/>
          <w:color w:val="000000"/>
          <w:lang w:val="en-US"/>
        </w:rPr>
        <w:t xml:space="preserve">preserving its antioxidant efficacy </w:t>
      </w:r>
      <w:r w:rsidR="00422750" w:rsidRPr="00722C5B">
        <w:rPr>
          <w:rFonts w:eastAsia="Arial Unicode MS"/>
          <w:color w:val="000000"/>
          <w:lang w:val="en-US"/>
        </w:rPr>
        <w:t>(</w:t>
      </w:r>
      <w:proofErr w:type="spellStart"/>
      <w:r w:rsidR="00422750" w:rsidRPr="00722C5B">
        <w:rPr>
          <w:rFonts w:eastAsia="Arial Unicode MS"/>
          <w:color w:val="000000"/>
          <w:lang w:val="en-US"/>
        </w:rPr>
        <w:t>Beddows</w:t>
      </w:r>
      <w:proofErr w:type="spellEnd"/>
      <w:r w:rsidR="00422750" w:rsidRPr="00722C5B">
        <w:rPr>
          <w:rFonts w:eastAsia="Arial Unicode MS"/>
          <w:color w:val="000000"/>
          <w:lang w:val="en-US"/>
        </w:rPr>
        <w:t xml:space="preserve"> </w:t>
      </w:r>
      <w:r w:rsidR="00422750" w:rsidRPr="00722C5B">
        <w:rPr>
          <w:rFonts w:eastAsia="Arial Unicode MS"/>
          <w:i/>
          <w:color w:val="000000"/>
          <w:lang w:val="en-US"/>
        </w:rPr>
        <w:t>et al.</w:t>
      </w:r>
      <w:r w:rsidR="00422750" w:rsidRPr="00722C5B">
        <w:rPr>
          <w:rFonts w:eastAsia="Arial Unicode MS"/>
          <w:color w:val="000000"/>
          <w:lang w:val="en-US"/>
        </w:rPr>
        <w:t>, 2001).</w:t>
      </w:r>
      <w:r w:rsidR="00BF3CF4" w:rsidRPr="00722C5B">
        <w:rPr>
          <w:color w:val="000000"/>
          <w:lang w:val="en-US"/>
        </w:rPr>
        <w:t xml:space="preserve"> </w:t>
      </w:r>
      <w:r w:rsidR="00825F8E" w:rsidRPr="00722C5B">
        <w:rPr>
          <w:color w:val="000000"/>
          <w:lang w:val="en-US"/>
        </w:rPr>
        <w:t xml:space="preserve">Nowadays, </w:t>
      </w:r>
      <w:proofErr w:type="spellStart"/>
      <w:r w:rsidR="00825F8E" w:rsidRPr="00722C5B">
        <w:rPr>
          <w:color w:val="000000"/>
          <w:lang w:val="en-US"/>
        </w:rPr>
        <w:t>t</w:t>
      </w:r>
      <w:r w:rsidRPr="00722C5B">
        <w:rPr>
          <w:rFonts w:cs="Arial"/>
          <w:color w:val="000000"/>
          <w:lang w:val="en-US"/>
        </w:rPr>
        <w:t>ocopherols</w:t>
      </w:r>
      <w:proofErr w:type="spellEnd"/>
      <w:r w:rsidRPr="00722C5B">
        <w:rPr>
          <w:rFonts w:cs="Arial"/>
          <w:color w:val="000000"/>
          <w:lang w:val="en-US"/>
        </w:rPr>
        <w:t xml:space="preserve"> are </w:t>
      </w:r>
      <w:r w:rsidR="00D740AC" w:rsidRPr="00722C5B">
        <w:rPr>
          <w:rFonts w:cs="Arial"/>
          <w:color w:val="000000"/>
          <w:lang w:val="en-US"/>
        </w:rPr>
        <w:t xml:space="preserve">the most-used </w:t>
      </w:r>
      <w:r w:rsidRPr="00722C5B">
        <w:rPr>
          <w:rFonts w:cs="Arial"/>
          <w:color w:val="000000"/>
          <w:lang w:val="en-US"/>
        </w:rPr>
        <w:t xml:space="preserve">natural </w:t>
      </w:r>
      <w:r w:rsidRPr="00722C5B">
        <w:rPr>
          <w:rFonts w:eastAsia="Arial Unicode MS" w:cs="Arial"/>
          <w:color w:val="000000"/>
          <w:lang w:val="en-US"/>
        </w:rPr>
        <w:t xml:space="preserve">antioxidants </w:t>
      </w:r>
      <w:r w:rsidR="00D740AC" w:rsidRPr="00722C5B">
        <w:rPr>
          <w:rFonts w:eastAsia="Arial Unicode MS" w:cs="Arial"/>
          <w:color w:val="000000"/>
          <w:lang w:val="en-US"/>
        </w:rPr>
        <w:t xml:space="preserve">in the </w:t>
      </w:r>
      <w:r w:rsidR="00671263" w:rsidRPr="00722C5B">
        <w:rPr>
          <w:rFonts w:eastAsia="Arial Unicode MS" w:cs="Arial"/>
          <w:color w:val="000000"/>
          <w:lang w:val="en-US"/>
        </w:rPr>
        <w:t>food industry</w:t>
      </w:r>
      <w:r w:rsidR="00280352">
        <w:rPr>
          <w:rFonts w:eastAsia="Arial Unicode MS" w:cs="Arial"/>
          <w:color w:val="000000"/>
          <w:lang w:val="en-US"/>
        </w:rPr>
        <w:t xml:space="preserve"> also for labeling reasons</w:t>
      </w:r>
      <w:r w:rsidR="00D740AC" w:rsidRPr="00722C5B">
        <w:rPr>
          <w:rFonts w:eastAsia="Arial Unicode MS" w:cs="Arial"/>
          <w:color w:val="000000"/>
          <w:lang w:val="en-US"/>
        </w:rPr>
        <w:t>. They are often added as mixed isomers (i.e. or</w:t>
      </w:r>
      <w:r w:rsidR="00825F8E" w:rsidRPr="00722C5B">
        <w:rPr>
          <w:rFonts w:eastAsia="Arial Unicode MS" w:cs="Arial"/>
          <w:color w:val="000000"/>
          <w:lang w:val="en-US"/>
        </w:rPr>
        <w:t xml:space="preserve"> mixed </w:t>
      </w:r>
      <w:proofErr w:type="spellStart"/>
      <w:r w:rsidR="00825F8E" w:rsidRPr="00722C5B">
        <w:rPr>
          <w:rFonts w:eastAsia="Arial Unicode MS" w:cs="Arial"/>
          <w:color w:val="000000"/>
          <w:lang w:val="en-US"/>
        </w:rPr>
        <w:t>tocopherols</w:t>
      </w:r>
      <w:proofErr w:type="spellEnd"/>
      <w:r w:rsidR="00825F8E" w:rsidRPr="00722C5B">
        <w:rPr>
          <w:rFonts w:eastAsia="Arial Unicode MS" w:cs="Arial"/>
          <w:color w:val="000000"/>
          <w:lang w:val="en-US"/>
        </w:rPr>
        <w:t xml:space="preserve"> [M-TOC]) whose main </w:t>
      </w:r>
      <w:r w:rsidRPr="00722C5B">
        <w:rPr>
          <w:rFonts w:eastAsia="Arial Unicode MS" w:cs="Arial"/>
          <w:color w:val="000000"/>
          <w:lang w:val="en-US"/>
        </w:rPr>
        <w:t>function</w:t>
      </w:r>
      <w:r w:rsidR="00D740AC" w:rsidRPr="00722C5B">
        <w:rPr>
          <w:rFonts w:eastAsia="Arial Unicode MS" w:cs="Arial"/>
          <w:color w:val="000000"/>
          <w:lang w:val="en-US"/>
        </w:rPr>
        <w:t xml:space="preserve"> </w:t>
      </w:r>
      <w:r w:rsidR="00825F8E" w:rsidRPr="00722C5B">
        <w:rPr>
          <w:rFonts w:eastAsia="Arial Unicode MS" w:cs="Arial"/>
          <w:color w:val="000000"/>
          <w:lang w:val="en-US"/>
        </w:rPr>
        <w:t xml:space="preserve">is </w:t>
      </w:r>
      <w:r w:rsidRPr="00722C5B">
        <w:rPr>
          <w:rFonts w:eastAsia="Arial Unicode MS" w:cs="Arial"/>
          <w:color w:val="000000"/>
          <w:lang w:val="en-US"/>
        </w:rPr>
        <w:t>terminati</w:t>
      </w:r>
      <w:r w:rsidR="00825F8E" w:rsidRPr="00722C5B">
        <w:rPr>
          <w:rFonts w:eastAsia="Arial Unicode MS" w:cs="Arial"/>
          <w:color w:val="000000"/>
          <w:lang w:val="en-US"/>
        </w:rPr>
        <w:t>on of f</w:t>
      </w:r>
      <w:r w:rsidRPr="00722C5B">
        <w:rPr>
          <w:rFonts w:eastAsia="Arial Unicode MS" w:cs="Arial"/>
          <w:color w:val="000000"/>
          <w:lang w:val="en-US"/>
        </w:rPr>
        <w:t xml:space="preserve">ree-radical catalyzed </w:t>
      </w:r>
      <w:r w:rsidR="00825F8E" w:rsidRPr="00722C5B">
        <w:rPr>
          <w:rFonts w:eastAsia="Arial Unicode MS" w:cs="Arial"/>
          <w:color w:val="000000"/>
          <w:lang w:val="en-US"/>
        </w:rPr>
        <w:t xml:space="preserve">oxidation </w:t>
      </w:r>
      <w:r w:rsidRPr="00722C5B">
        <w:rPr>
          <w:rFonts w:eastAsia="Arial Unicode MS" w:cs="Arial"/>
          <w:color w:val="000000"/>
          <w:lang w:val="en-US"/>
        </w:rPr>
        <w:t xml:space="preserve">reactions (Frankel, </w:t>
      </w:r>
      <w:r w:rsidR="00A40297" w:rsidRPr="00722C5B">
        <w:rPr>
          <w:rFonts w:eastAsia="Arial Unicode MS" w:cs="Arial"/>
          <w:color w:val="000000"/>
          <w:lang w:val="en-US"/>
        </w:rPr>
        <w:t>2005</w:t>
      </w:r>
      <w:r w:rsidRPr="00722C5B">
        <w:rPr>
          <w:rFonts w:eastAsia="Arial Unicode MS" w:cs="Arial"/>
          <w:color w:val="000000"/>
          <w:lang w:val="en-US"/>
        </w:rPr>
        <w:t xml:space="preserve">). </w:t>
      </w:r>
      <w:r w:rsidR="00D740AC" w:rsidRPr="00722C5B">
        <w:rPr>
          <w:rFonts w:eastAsia="Arial Unicode MS" w:cs="Arial"/>
          <w:color w:val="000000"/>
          <w:lang w:val="en-US"/>
        </w:rPr>
        <w:t>Citric acid</w:t>
      </w:r>
      <w:r w:rsidR="00BF3CF4" w:rsidRPr="00722C5B">
        <w:rPr>
          <w:rFonts w:eastAsia="Arial Unicode MS"/>
          <w:color w:val="000000" w:themeColor="text1"/>
          <w:lang w:val="en-US"/>
        </w:rPr>
        <w:t xml:space="preserve"> (CA) is </w:t>
      </w:r>
      <w:r w:rsidR="00D740AC" w:rsidRPr="00722C5B">
        <w:rPr>
          <w:rFonts w:eastAsia="Arial Unicode MS"/>
          <w:color w:val="000000" w:themeColor="text1"/>
          <w:lang w:val="en-US"/>
        </w:rPr>
        <w:t>another well-known</w:t>
      </w:r>
      <w:r w:rsidR="00BF3CF4" w:rsidRPr="00722C5B">
        <w:rPr>
          <w:rFonts w:eastAsia="Arial Unicode MS"/>
          <w:color w:val="000000" w:themeColor="text1"/>
          <w:lang w:val="en-US"/>
        </w:rPr>
        <w:t xml:space="preserve"> </w:t>
      </w:r>
      <w:r w:rsidR="00D740AC" w:rsidRPr="00722C5B">
        <w:rPr>
          <w:rFonts w:eastAsia="Arial Unicode MS"/>
          <w:color w:val="000000" w:themeColor="text1"/>
          <w:lang w:val="en-US"/>
        </w:rPr>
        <w:t xml:space="preserve">antioxidant used in food products that aids </w:t>
      </w:r>
      <w:r w:rsidR="00BF3CF4" w:rsidRPr="00722C5B">
        <w:rPr>
          <w:rFonts w:eastAsia="Arial Unicode MS"/>
          <w:color w:val="000000" w:themeColor="text1"/>
          <w:lang w:val="en-US"/>
        </w:rPr>
        <w:t xml:space="preserve">retarding the oxidative deterioration of lipids </w:t>
      </w:r>
      <w:r w:rsidR="00D740AC" w:rsidRPr="00722C5B">
        <w:rPr>
          <w:rFonts w:eastAsia="Arial Unicode MS"/>
          <w:color w:val="000000" w:themeColor="text1"/>
          <w:lang w:val="en-US"/>
        </w:rPr>
        <w:t xml:space="preserve">by </w:t>
      </w:r>
      <w:r w:rsidR="00BF3CF4" w:rsidRPr="00722C5B">
        <w:rPr>
          <w:rFonts w:eastAsia="Arial Unicode MS"/>
          <w:color w:val="000000" w:themeColor="text1"/>
          <w:lang w:val="en-US"/>
        </w:rPr>
        <w:t>chelating metal ions</w:t>
      </w:r>
      <w:r w:rsidR="00422750" w:rsidRPr="00722C5B">
        <w:rPr>
          <w:rFonts w:eastAsia="Arial Unicode MS"/>
          <w:color w:val="000000" w:themeColor="text1"/>
          <w:lang w:val="en-US"/>
        </w:rPr>
        <w:t xml:space="preserve"> (</w:t>
      </w:r>
      <w:proofErr w:type="spellStart"/>
      <w:r w:rsidR="003D6323">
        <w:rPr>
          <w:rFonts w:eastAsia="Arial Unicode MS"/>
          <w:color w:val="000000" w:themeColor="text1"/>
          <w:lang w:val="en-US"/>
        </w:rPr>
        <w:t>Kirimura</w:t>
      </w:r>
      <w:proofErr w:type="spellEnd"/>
      <w:r w:rsidR="003D6323">
        <w:rPr>
          <w:rFonts w:eastAsia="Arial Unicode MS"/>
          <w:color w:val="000000" w:themeColor="text1"/>
          <w:lang w:val="en-US"/>
        </w:rPr>
        <w:t xml:space="preserve"> </w:t>
      </w:r>
      <w:r w:rsidR="003D6323" w:rsidRPr="00722C5B">
        <w:rPr>
          <w:rFonts w:eastAsia="Arial Unicode MS"/>
          <w:i/>
          <w:color w:val="000000" w:themeColor="text1"/>
          <w:lang w:val="en-US"/>
        </w:rPr>
        <w:t>et al.</w:t>
      </w:r>
      <w:proofErr w:type="gramStart"/>
      <w:r w:rsidR="003D6323" w:rsidRPr="00722C5B">
        <w:rPr>
          <w:rFonts w:eastAsia="Arial Unicode MS"/>
          <w:color w:val="000000" w:themeColor="text1"/>
          <w:lang w:val="en-US"/>
        </w:rPr>
        <w:t>,</w:t>
      </w:r>
      <w:r w:rsidR="00422750" w:rsidRPr="00722C5B">
        <w:rPr>
          <w:rFonts w:eastAsia="Arial Unicode MS"/>
          <w:color w:val="000000" w:themeColor="text1"/>
          <w:lang w:val="en-US"/>
        </w:rPr>
        <w:t>,</w:t>
      </w:r>
      <w:proofErr w:type="gramEnd"/>
      <w:r w:rsidR="00422750" w:rsidRPr="00722C5B">
        <w:rPr>
          <w:rFonts w:eastAsia="Arial Unicode MS"/>
          <w:color w:val="000000" w:themeColor="text1"/>
          <w:lang w:val="en-US"/>
        </w:rPr>
        <w:t xml:space="preserve"> </w:t>
      </w:r>
      <w:r w:rsidR="003D6323">
        <w:rPr>
          <w:rFonts w:eastAsia="Arial Unicode MS"/>
          <w:color w:val="000000" w:themeColor="text1"/>
          <w:lang w:val="en-US"/>
        </w:rPr>
        <w:t>2011</w:t>
      </w:r>
      <w:r w:rsidR="00422750" w:rsidRPr="00722C5B">
        <w:rPr>
          <w:rFonts w:eastAsia="Arial Unicode MS"/>
          <w:color w:val="000000" w:themeColor="text1"/>
          <w:lang w:val="en-US"/>
        </w:rPr>
        <w:t>).</w:t>
      </w:r>
      <w:r w:rsidR="00D740AC" w:rsidRPr="00722C5B">
        <w:rPr>
          <w:rFonts w:eastAsia="Arial Unicode MS"/>
          <w:color w:val="000000" w:themeColor="text1"/>
          <w:lang w:val="en-US"/>
        </w:rPr>
        <w:t xml:space="preserve"> Lastly, </w:t>
      </w:r>
      <w:r w:rsidR="00AA7D3B" w:rsidRPr="00722C5B">
        <w:rPr>
          <w:rFonts w:eastAsia="Arial Unicode MS"/>
          <w:color w:val="000000" w:themeColor="text1"/>
          <w:lang w:val="en-US"/>
        </w:rPr>
        <w:t>n</w:t>
      </w:r>
      <w:r w:rsidR="00D740AC" w:rsidRPr="00722C5B">
        <w:rPr>
          <w:rFonts w:eastAsia="Arial Unicode MS"/>
          <w:color w:val="000000" w:themeColor="text1"/>
          <w:lang w:val="en-US"/>
        </w:rPr>
        <w:t xml:space="preserve">atural antioxidant extracts </w:t>
      </w:r>
      <w:r w:rsidR="00FA2B92">
        <w:rPr>
          <w:rFonts w:eastAsia="Arial Unicode MS"/>
          <w:color w:val="000000" w:themeColor="text1"/>
          <w:lang w:val="en-US"/>
        </w:rPr>
        <w:t>and preparations from spices and herbs such as rosemary (</w:t>
      </w:r>
      <w:r w:rsidR="00FA2B92">
        <w:rPr>
          <w:rFonts w:eastAsia="Arial Unicode MS"/>
          <w:i/>
          <w:color w:val="000000" w:themeColor="text1"/>
          <w:lang w:val="en-US"/>
        </w:rPr>
        <w:t xml:space="preserve">e.g. </w:t>
      </w:r>
      <w:r w:rsidR="00FA2B92">
        <w:rPr>
          <w:rFonts w:eastAsia="Arial Unicode MS"/>
          <w:color w:val="000000" w:themeColor="text1"/>
          <w:lang w:val="en-US"/>
        </w:rPr>
        <w:t xml:space="preserve">rosemary oil [RO]) </w:t>
      </w:r>
      <w:r w:rsidR="00AA7D3B" w:rsidRPr="00722C5B">
        <w:rPr>
          <w:rFonts w:eastAsia="Arial Unicode MS"/>
          <w:color w:val="000000" w:themeColor="text1"/>
          <w:lang w:val="en-US"/>
        </w:rPr>
        <w:t xml:space="preserve">are </w:t>
      </w:r>
      <w:r w:rsidR="00FA2B92">
        <w:rPr>
          <w:rFonts w:eastAsia="Arial Unicode MS"/>
          <w:color w:val="000000" w:themeColor="text1"/>
          <w:lang w:val="en-US"/>
        </w:rPr>
        <w:t>being used in food products. Rosemary extract, has in fact recently gotten approval for use as a food additive in the European Union (E#392; EU, 2010)</w:t>
      </w:r>
      <w:r w:rsidR="00AA7D3B" w:rsidRPr="00722C5B">
        <w:rPr>
          <w:rFonts w:eastAsia="Arial Unicode MS"/>
          <w:color w:val="000000" w:themeColor="text1"/>
          <w:lang w:val="en-US"/>
        </w:rPr>
        <w:t>.</w:t>
      </w:r>
    </w:p>
    <w:p w:rsidR="006C1F10" w:rsidRDefault="003970CC" w:rsidP="00333264">
      <w:pPr>
        <w:spacing w:line="480" w:lineRule="auto"/>
        <w:ind w:firstLine="284"/>
        <w:jc w:val="both"/>
        <w:rPr>
          <w:rFonts w:eastAsia="Arial Unicode MS"/>
          <w:color w:val="000000" w:themeColor="text1"/>
          <w:lang w:val="en-US"/>
        </w:rPr>
      </w:pPr>
      <w:r>
        <w:rPr>
          <w:rFonts w:eastAsia="Arial Unicode MS"/>
          <w:color w:val="000000" w:themeColor="text1"/>
          <w:lang w:val="en-US"/>
        </w:rPr>
        <w:t>In a previous study, t</w:t>
      </w:r>
      <w:r w:rsidRPr="003970CC">
        <w:rPr>
          <w:rFonts w:eastAsia="Arial Unicode MS"/>
          <w:color w:val="000000" w:themeColor="text1"/>
          <w:lang w:val="en-US"/>
        </w:rPr>
        <w:t xml:space="preserve">he oxidative stability of conventional and high-oleic varieties of commercial vegetable oils, with and without added antioxidants, was </w:t>
      </w:r>
      <w:r w:rsidR="00333264">
        <w:rPr>
          <w:rFonts w:eastAsia="Arial Unicode MS"/>
          <w:color w:val="000000" w:themeColor="text1"/>
          <w:lang w:val="en-US"/>
        </w:rPr>
        <w:t>studied</w:t>
      </w:r>
      <w:r w:rsidRPr="003970CC">
        <w:rPr>
          <w:rFonts w:eastAsia="Arial Unicode MS"/>
          <w:color w:val="000000" w:themeColor="text1"/>
          <w:lang w:val="en-US"/>
        </w:rPr>
        <w:t xml:space="preserve"> using the oil stability index (OSI)</w:t>
      </w:r>
      <w:r>
        <w:rPr>
          <w:rFonts w:eastAsia="Arial Unicode MS"/>
          <w:color w:val="000000" w:themeColor="text1"/>
          <w:lang w:val="en-US"/>
        </w:rPr>
        <w:t xml:space="preserve"> (Merrill et al., 2008</w:t>
      </w:r>
      <w:r w:rsidR="00333264">
        <w:rPr>
          <w:rFonts w:eastAsia="Arial Unicode MS"/>
          <w:color w:val="000000" w:themeColor="text1"/>
          <w:lang w:val="en-US"/>
        </w:rPr>
        <w:t>)</w:t>
      </w:r>
      <w:r w:rsidRPr="003970CC">
        <w:rPr>
          <w:rFonts w:eastAsia="Arial Unicode MS"/>
          <w:color w:val="000000" w:themeColor="text1"/>
          <w:lang w:val="en-US"/>
        </w:rPr>
        <w:t xml:space="preserve">. </w:t>
      </w:r>
      <w:r>
        <w:rPr>
          <w:rFonts w:eastAsia="Arial Unicode MS"/>
          <w:color w:val="000000" w:themeColor="text1"/>
          <w:lang w:val="en-US"/>
        </w:rPr>
        <w:t>Authors reported that a</w:t>
      </w:r>
      <w:r w:rsidRPr="003970CC">
        <w:rPr>
          <w:rFonts w:eastAsia="Arial Unicode MS"/>
          <w:color w:val="000000" w:themeColor="text1"/>
          <w:lang w:val="en-US"/>
        </w:rPr>
        <w:t>ddition of TBHQ</w:t>
      </w:r>
      <w:r w:rsidR="00333264">
        <w:rPr>
          <w:rFonts w:eastAsia="Arial Unicode MS"/>
          <w:color w:val="000000" w:themeColor="text1"/>
          <w:lang w:val="en-US"/>
        </w:rPr>
        <w:t xml:space="preserve"> (</w:t>
      </w:r>
      <w:r w:rsidR="00333264" w:rsidRPr="00333264">
        <w:rPr>
          <w:rFonts w:eastAsia="Arial Unicode MS"/>
          <w:color w:val="000000" w:themeColor="text1"/>
          <w:lang w:val="en-US"/>
        </w:rPr>
        <w:t>tertiary-</w:t>
      </w:r>
      <w:proofErr w:type="spellStart"/>
      <w:r w:rsidR="00333264" w:rsidRPr="00333264">
        <w:rPr>
          <w:rFonts w:eastAsia="Arial Unicode MS"/>
          <w:color w:val="000000" w:themeColor="text1"/>
          <w:lang w:val="en-US"/>
        </w:rPr>
        <w:t>butylhydroquinone</w:t>
      </w:r>
      <w:proofErr w:type="spellEnd"/>
      <w:r w:rsidR="00333264">
        <w:rPr>
          <w:rFonts w:eastAsia="Arial Unicode MS"/>
          <w:color w:val="000000" w:themeColor="text1"/>
          <w:lang w:val="en-US"/>
        </w:rPr>
        <w:t>)</w:t>
      </w:r>
      <w:r w:rsidRPr="003970CC">
        <w:rPr>
          <w:rFonts w:eastAsia="Arial Unicode MS"/>
          <w:color w:val="000000" w:themeColor="text1"/>
          <w:lang w:val="en-US"/>
        </w:rPr>
        <w:t>, alone and in combination with other antioxidants</w:t>
      </w:r>
      <w:r>
        <w:rPr>
          <w:rFonts w:eastAsia="Arial Unicode MS"/>
          <w:color w:val="000000" w:themeColor="text1"/>
          <w:lang w:val="en-US"/>
        </w:rPr>
        <w:t xml:space="preserve"> such as </w:t>
      </w:r>
      <w:proofErr w:type="spellStart"/>
      <w:r>
        <w:rPr>
          <w:rFonts w:eastAsia="Arial Unicode MS"/>
          <w:color w:val="000000" w:themeColor="text1"/>
          <w:lang w:val="en-US"/>
        </w:rPr>
        <w:t>ascorbyl</w:t>
      </w:r>
      <w:proofErr w:type="spellEnd"/>
      <w:r>
        <w:rPr>
          <w:rFonts w:eastAsia="Arial Unicode MS"/>
          <w:color w:val="000000" w:themeColor="text1"/>
          <w:lang w:val="en-US"/>
        </w:rPr>
        <w:t xml:space="preserve"> </w:t>
      </w:r>
      <w:proofErr w:type="spellStart"/>
      <w:r>
        <w:rPr>
          <w:rFonts w:eastAsia="Arial Unicode MS"/>
          <w:color w:val="000000" w:themeColor="text1"/>
          <w:lang w:val="en-US"/>
        </w:rPr>
        <w:lastRenderedPageBreak/>
        <w:t>p</w:t>
      </w:r>
      <w:r w:rsidR="00333264">
        <w:rPr>
          <w:rFonts w:eastAsia="Arial Unicode MS"/>
          <w:color w:val="000000" w:themeColor="text1"/>
          <w:lang w:val="en-US"/>
        </w:rPr>
        <w:t>alm</w:t>
      </w:r>
      <w:r>
        <w:rPr>
          <w:rFonts w:eastAsia="Arial Unicode MS"/>
          <w:color w:val="000000" w:themeColor="text1"/>
          <w:lang w:val="en-US"/>
        </w:rPr>
        <w:t>itate</w:t>
      </w:r>
      <w:proofErr w:type="spellEnd"/>
      <w:r w:rsidRPr="003970CC">
        <w:rPr>
          <w:rFonts w:eastAsia="Arial Unicode MS"/>
          <w:color w:val="000000" w:themeColor="text1"/>
          <w:lang w:val="en-US"/>
        </w:rPr>
        <w:t xml:space="preserve">, resulted in the </w:t>
      </w:r>
      <w:r w:rsidR="00333264">
        <w:rPr>
          <w:rFonts w:eastAsia="Arial Unicode MS"/>
          <w:color w:val="000000" w:themeColor="text1"/>
          <w:lang w:val="en-US"/>
        </w:rPr>
        <w:t>significant</w:t>
      </w:r>
      <w:r w:rsidRPr="003970CC">
        <w:rPr>
          <w:rFonts w:eastAsia="Arial Unicode MS"/>
          <w:color w:val="000000" w:themeColor="text1"/>
          <w:lang w:val="en-US"/>
        </w:rPr>
        <w:t xml:space="preserve"> in oxidative stability of high-oleic oils. </w:t>
      </w:r>
      <w:r>
        <w:rPr>
          <w:rFonts w:eastAsia="Arial Unicode MS"/>
          <w:color w:val="000000" w:themeColor="text1"/>
          <w:lang w:val="en-US"/>
        </w:rPr>
        <w:t xml:space="preserve">Considering </w:t>
      </w:r>
      <w:r w:rsidR="00333264">
        <w:rPr>
          <w:rFonts w:eastAsia="Arial Unicode MS"/>
          <w:color w:val="000000" w:themeColor="text1"/>
          <w:lang w:val="en-US"/>
        </w:rPr>
        <w:t xml:space="preserve">the questionable regulatory status of TBHQ in many markets, it is critical for industries to evaluate other relevant antioxidants which can improve the oxidative stability of PUFA rich oils. </w:t>
      </w:r>
      <w:r w:rsidR="00BF3CF4" w:rsidRPr="00722C5B">
        <w:rPr>
          <w:rFonts w:eastAsia="Arial Unicode MS"/>
          <w:color w:val="000000" w:themeColor="text1"/>
          <w:lang w:val="en-US"/>
        </w:rPr>
        <w:t>As</w:t>
      </w:r>
      <w:r w:rsidR="00AF4EF0" w:rsidRPr="00722C5B">
        <w:rPr>
          <w:rFonts w:eastAsia="Arial Unicode MS"/>
          <w:color w:val="000000" w:themeColor="text1"/>
          <w:lang w:val="en-US"/>
        </w:rPr>
        <w:t xml:space="preserve"> </w:t>
      </w:r>
      <w:r w:rsidR="004840F0" w:rsidRPr="00722C5B">
        <w:rPr>
          <w:rFonts w:eastAsia="Arial Unicode MS"/>
          <w:color w:val="000000" w:themeColor="text1"/>
          <w:lang w:val="en-US"/>
        </w:rPr>
        <w:t xml:space="preserve">lipid </w:t>
      </w:r>
      <w:r w:rsidR="00AF4EF0" w:rsidRPr="00722C5B">
        <w:rPr>
          <w:rFonts w:eastAsia="Arial Unicode MS"/>
          <w:color w:val="000000" w:themeColor="text1"/>
          <w:lang w:val="en-US"/>
        </w:rPr>
        <w:t xml:space="preserve">oxidation </w:t>
      </w:r>
      <w:r w:rsidR="00D740AC" w:rsidRPr="00722C5B">
        <w:rPr>
          <w:rFonts w:eastAsia="Arial Unicode MS"/>
          <w:color w:val="000000" w:themeColor="text1"/>
          <w:lang w:val="en-US"/>
        </w:rPr>
        <w:t xml:space="preserve">often involves a complex </w:t>
      </w:r>
      <w:r w:rsidR="004840F0" w:rsidRPr="00722C5B">
        <w:rPr>
          <w:rFonts w:eastAsia="Arial Unicode MS"/>
          <w:color w:val="000000" w:themeColor="text1"/>
          <w:lang w:val="en-US"/>
        </w:rPr>
        <w:t xml:space="preserve">series of </w:t>
      </w:r>
      <w:r w:rsidR="00D740AC" w:rsidRPr="00722C5B">
        <w:rPr>
          <w:rFonts w:eastAsia="Arial Unicode MS"/>
          <w:color w:val="000000" w:themeColor="text1"/>
          <w:lang w:val="en-US"/>
        </w:rPr>
        <w:t xml:space="preserve">parallel </w:t>
      </w:r>
      <w:r w:rsidR="004840F0" w:rsidRPr="00722C5B">
        <w:rPr>
          <w:rFonts w:eastAsia="Arial Unicode MS"/>
          <w:color w:val="000000" w:themeColor="text1"/>
          <w:lang w:val="en-US"/>
        </w:rPr>
        <w:t>reactions</w:t>
      </w:r>
      <w:r w:rsidR="00AF4EF0" w:rsidRPr="00722C5B">
        <w:rPr>
          <w:rFonts w:eastAsia="Arial Unicode MS"/>
          <w:color w:val="000000" w:themeColor="text1"/>
          <w:lang w:val="en-US"/>
        </w:rPr>
        <w:t xml:space="preserve">, </w:t>
      </w:r>
      <w:r w:rsidR="008B7F71" w:rsidRPr="00722C5B">
        <w:rPr>
          <w:rFonts w:eastAsia="Arial Unicode MS"/>
          <w:color w:val="000000" w:themeColor="text1"/>
          <w:lang w:val="en-US"/>
        </w:rPr>
        <w:t>a</w:t>
      </w:r>
      <w:r w:rsidR="00D740AC" w:rsidRPr="00722C5B">
        <w:rPr>
          <w:rFonts w:eastAsia="Arial Unicode MS"/>
          <w:color w:val="000000" w:themeColor="text1"/>
          <w:lang w:val="en-US"/>
        </w:rPr>
        <w:t xml:space="preserve"> </w:t>
      </w:r>
      <w:r w:rsidR="00825F8E" w:rsidRPr="00722C5B">
        <w:rPr>
          <w:rFonts w:eastAsia="Arial Unicode MS"/>
          <w:color w:val="000000" w:themeColor="text1"/>
          <w:lang w:val="en-US"/>
        </w:rPr>
        <w:t>single strategy or</w:t>
      </w:r>
      <w:r w:rsidR="008B7F71" w:rsidRPr="00722C5B">
        <w:rPr>
          <w:rFonts w:eastAsia="Arial Unicode MS"/>
          <w:color w:val="000000" w:themeColor="text1"/>
          <w:lang w:val="en-US"/>
        </w:rPr>
        <w:t xml:space="preserve"> approach for stabilization </w:t>
      </w:r>
      <w:r w:rsidR="00D740AC" w:rsidRPr="00722C5B">
        <w:rPr>
          <w:rFonts w:eastAsia="Arial Unicode MS"/>
          <w:color w:val="000000" w:themeColor="text1"/>
          <w:lang w:val="en-US"/>
        </w:rPr>
        <w:t>m</w:t>
      </w:r>
      <w:r w:rsidR="00FA2B92">
        <w:rPr>
          <w:rFonts w:eastAsia="Arial Unicode MS"/>
          <w:color w:val="000000" w:themeColor="text1"/>
          <w:lang w:val="en-US"/>
        </w:rPr>
        <w:t>ight</w:t>
      </w:r>
      <w:r w:rsidR="00D740AC" w:rsidRPr="00722C5B">
        <w:rPr>
          <w:rFonts w:eastAsia="Arial Unicode MS"/>
          <w:color w:val="000000" w:themeColor="text1"/>
          <w:lang w:val="en-US"/>
        </w:rPr>
        <w:t xml:space="preserve"> </w:t>
      </w:r>
      <w:r w:rsidR="008B7F71" w:rsidRPr="00722C5B">
        <w:rPr>
          <w:rFonts w:eastAsia="Arial Unicode MS"/>
          <w:color w:val="000000" w:themeColor="text1"/>
          <w:lang w:val="en-US"/>
        </w:rPr>
        <w:t xml:space="preserve">not </w:t>
      </w:r>
      <w:r w:rsidR="00AF4EF0" w:rsidRPr="00722C5B">
        <w:rPr>
          <w:rFonts w:eastAsia="Arial Unicode MS"/>
          <w:color w:val="000000" w:themeColor="text1"/>
          <w:lang w:val="en-US"/>
        </w:rPr>
        <w:t>be effective</w:t>
      </w:r>
      <w:r w:rsidR="008B7F71" w:rsidRPr="00722C5B">
        <w:rPr>
          <w:rFonts w:eastAsia="Arial Unicode MS"/>
          <w:color w:val="000000" w:themeColor="text1"/>
          <w:lang w:val="en-US"/>
        </w:rPr>
        <w:t xml:space="preserve">. </w:t>
      </w:r>
      <w:r w:rsidR="00422750" w:rsidRPr="00722C5B">
        <w:rPr>
          <w:rFonts w:eastAsia="Arial Unicode MS"/>
          <w:color w:val="000000" w:themeColor="text1"/>
          <w:lang w:val="en-US"/>
        </w:rPr>
        <w:t>.</w:t>
      </w:r>
      <w:r w:rsidR="00AF4EF0" w:rsidRPr="00722C5B">
        <w:rPr>
          <w:rFonts w:eastAsia="Arial Unicode MS"/>
          <w:color w:val="000000" w:themeColor="text1"/>
          <w:lang w:val="en-US"/>
        </w:rPr>
        <w:t xml:space="preserve"> </w:t>
      </w:r>
    </w:p>
    <w:p w:rsidR="00991273" w:rsidRPr="00D83906" w:rsidRDefault="00AF4EF0" w:rsidP="00333264">
      <w:pPr>
        <w:spacing w:line="480" w:lineRule="auto"/>
        <w:ind w:firstLine="284"/>
        <w:jc w:val="both"/>
        <w:rPr>
          <w:rFonts w:eastAsia="Arial Unicode MS"/>
          <w:color w:val="000000" w:themeColor="text1"/>
          <w:lang w:val="en-US"/>
        </w:rPr>
      </w:pPr>
      <w:r w:rsidRPr="00722C5B">
        <w:rPr>
          <w:color w:val="000000" w:themeColor="text1"/>
          <w:lang w:val="en-US"/>
        </w:rPr>
        <w:t>In</w:t>
      </w:r>
      <w:r w:rsidR="00991273" w:rsidRPr="00722C5B">
        <w:rPr>
          <w:color w:val="000000" w:themeColor="text1"/>
          <w:lang w:val="en-US"/>
        </w:rPr>
        <w:t xml:space="preserve"> this study</w:t>
      </w:r>
      <w:r w:rsidR="00333264">
        <w:rPr>
          <w:color w:val="000000" w:themeColor="text1"/>
          <w:lang w:val="en-US"/>
        </w:rPr>
        <w:t>,</w:t>
      </w:r>
      <w:r w:rsidR="00A57FDC">
        <w:rPr>
          <w:color w:val="000000" w:themeColor="text1"/>
          <w:lang w:val="en-US"/>
        </w:rPr>
        <w:t xml:space="preserve"> we </w:t>
      </w:r>
      <w:r w:rsidR="006C1F10">
        <w:rPr>
          <w:color w:val="000000" w:themeColor="text1"/>
          <w:lang w:val="en-US"/>
        </w:rPr>
        <w:t xml:space="preserve">aimed to </w:t>
      </w:r>
      <w:r w:rsidR="00A57FDC">
        <w:rPr>
          <w:color w:val="000000" w:themeColor="text1"/>
          <w:lang w:val="en-US"/>
        </w:rPr>
        <w:t>evaluate</w:t>
      </w:r>
      <w:r w:rsidR="008B7F71" w:rsidRPr="00722C5B">
        <w:rPr>
          <w:color w:val="000000" w:themeColor="text1"/>
          <w:lang w:val="en-US"/>
        </w:rPr>
        <w:t xml:space="preserve"> </w:t>
      </w:r>
      <w:r w:rsidR="00333264">
        <w:rPr>
          <w:color w:val="000000" w:themeColor="text1"/>
          <w:lang w:val="en-US"/>
        </w:rPr>
        <w:t xml:space="preserve">industrially relevant </w:t>
      </w:r>
      <w:r w:rsidR="008B7F71" w:rsidRPr="00722C5B">
        <w:rPr>
          <w:color w:val="000000" w:themeColor="text1"/>
          <w:lang w:val="en-US"/>
        </w:rPr>
        <w:t>sy</w:t>
      </w:r>
      <w:r w:rsidR="00671263" w:rsidRPr="00722C5B">
        <w:rPr>
          <w:color w:val="000000" w:themeColor="text1"/>
          <w:lang w:val="en-US"/>
        </w:rPr>
        <w:t>nthetic and natural antioxidants</w:t>
      </w:r>
      <w:r w:rsidR="007F0FC7" w:rsidRPr="00722C5B">
        <w:rPr>
          <w:color w:val="000000" w:themeColor="text1"/>
          <w:lang w:val="en-US"/>
        </w:rPr>
        <w:t xml:space="preserve"> (see </w:t>
      </w:r>
      <w:r w:rsidR="007F0FC7" w:rsidRPr="00722C5B">
        <w:rPr>
          <w:b/>
          <w:color w:val="000000" w:themeColor="text1"/>
          <w:lang w:val="en-US"/>
        </w:rPr>
        <w:t>Table 1</w:t>
      </w:r>
      <w:r w:rsidR="007F0FC7" w:rsidRPr="00722C5B">
        <w:rPr>
          <w:color w:val="000000" w:themeColor="text1"/>
          <w:lang w:val="en-US"/>
        </w:rPr>
        <w:t xml:space="preserve"> for the list of compounds tested)</w:t>
      </w:r>
      <w:r w:rsidR="008B7F71" w:rsidRPr="00722C5B">
        <w:rPr>
          <w:color w:val="000000" w:themeColor="text1"/>
          <w:lang w:val="en-US"/>
        </w:rPr>
        <w:t>, and mixtures there</w:t>
      </w:r>
      <w:r w:rsidR="00184918">
        <w:rPr>
          <w:color w:val="000000" w:themeColor="text1"/>
          <w:lang w:val="en-US"/>
        </w:rPr>
        <w:t xml:space="preserve"> </w:t>
      </w:r>
      <w:proofErr w:type="spellStart"/>
      <w:r w:rsidR="008B7F71" w:rsidRPr="00722C5B">
        <w:rPr>
          <w:color w:val="000000" w:themeColor="text1"/>
          <w:lang w:val="en-US"/>
        </w:rPr>
        <w:t>ofto</w:t>
      </w:r>
      <w:proofErr w:type="spellEnd"/>
      <w:r w:rsidR="008B7F71" w:rsidRPr="00722C5B">
        <w:rPr>
          <w:color w:val="000000" w:themeColor="text1"/>
          <w:lang w:val="en-US"/>
        </w:rPr>
        <w:t xml:space="preserve"> improve </w:t>
      </w:r>
      <w:r w:rsidR="00991273" w:rsidRPr="00722C5B">
        <w:rPr>
          <w:color w:val="000000" w:themeColor="text1"/>
          <w:lang w:val="en-US"/>
        </w:rPr>
        <w:t xml:space="preserve">the </w:t>
      </w:r>
      <w:r w:rsidR="00361861" w:rsidRPr="00722C5B">
        <w:rPr>
          <w:color w:val="000000" w:themeColor="text1"/>
          <w:lang w:val="en-US"/>
        </w:rPr>
        <w:t>stability</w:t>
      </w:r>
      <w:r w:rsidR="00991273" w:rsidRPr="00722C5B">
        <w:rPr>
          <w:color w:val="000000" w:themeColor="text1"/>
          <w:lang w:val="en-US"/>
        </w:rPr>
        <w:t xml:space="preserve"> of </w:t>
      </w:r>
      <w:r w:rsidR="005E4085" w:rsidRPr="00722C5B">
        <w:rPr>
          <w:color w:val="000000" w:themeColor="text1"/>
          <w:lang w:val="en-US"/>
        </w:rPr>
        <w:t>SO</w:t>
      </w:r>
      <w:r w:rsidR="008B7F71" w:rsidRPr="00722C5B">
        <w:rPr>
          <w:color w:val="000000" w:themeColor="text1"/>
          <w:lang w:val="en-US"/>
        </w:rPr>
        <w:t xml:space="preserve"> more towards that of HOSFO</w:t>
      </w:r>
      <w:r w:rsidR="00825F8E" w:rsidRPr="00722C5B">
        <w:rPr>
          <w:color w:val="000000" w:themeColor="text1"/>
          <w:lang w:val="en-US"/>
        </w:rPr>
        <w:t xml:space="preserve"> in </w:t>
      </w:r>
      <w:r w:rsidR="00A57FDC">
        <w:rPr>
          <w:color w:val="000000" w:themeColor="text1"/>
          <w:lang w:val="en-US"/>
        </w:rPr>
        <w:t>similar</w:t>
      </w:r>
      <w:r w:rsidR="00A57FDC" w:rsidRPr="00722C5B">
        <w:rPr>
          <w:color w:val="000000" w:themeColor="text1"/>
          <w:lang w:val="en-US"/>
        </w:rPr>
        <w:t xml:space="preserve"> </w:t>
      </w:r>
      <w:r w:rsidR="00825F8E" w:rsidRPr="00722C5B">
        <w:rPr>
          <w:color w:val="000000" w:themeColor="text1"/>
          <w:lang w:val="en-US"/>
        </w:rPr>
        <w:t>storage conditions</w:t>
      </w:r>
      <w:r w:rsidR="008B7F71" w:rsidRPr="00722C5B">
        <w:rPr>
          <w:color w:val="000000" w:themeColor="text1"/>
          <w:lang w:val="en-US"/>
        </w:rPr>
        <w:t xml:space="preserve">. </w:t>
      </w:r>
      <w:r w:rsidR="006F4D96">
        <w:rPr>
          <w:color w:val="000000" w:themeColor="text1"/>
          <w:lang w:val="en-US"/>
        </w:rPr>
        <w:t xml:space="preserve">Furthermore, </w:t>
      </w:r>
      <w:r w:rsidR="006F4D96" w:rsidRPr="006F4D96">
        <w:rPr>
          <w:rFonts w:eastAsia="Arial Unicode MS"/>
          <w:color w:val="000000" w:themeColor="text1"/>
          <w:lang w:val="en-US"/>
        </w:rPr>
        <w:t xml:space="preserve">the </w:t>
      </w:r>
      <w:r w:rsidR="006F4D96">
        <w:rPr>
          <w:rFonts w:eastAsia="Arial Unicode MS"/>
          <w:color w:val="000000" w:themeColor="text1"/>
          <w:lang w:val="en-US"/>
        </w:rPr>
        <w:t xml:space="preserve">secondary objective was also to evaluate whether </w:t>
      </w:r>
      <w:r w:rsidR="006F4D96" w:rsidRPr="006F4D96">
        <w:rPr>
          <w:rFonts w:eastAsia="Arial Unicode MS"/>
          <w:color w:val="000000" w:themeColor="text1"/>
          <w:lang w:val="en-US"/>
        </w:rPr>
        <w:t xml:space="preserve">screening oils </w:t>
      </w:r>
      <w:r w:rsidR="006F4D96">
        <w:rPr>
          <w:rFonts w:eastAsia="Arial Unicode MS"/>
          <w:color w:val="000000" w:themeColor="text1"/>
          <w:lang w:val="en-US"/>
        </w:rPr>
        <w:t>with only</w:t>
      </w:r>
      <w:r w:rsidR="006F4D96" w:rsidRPr="006F4D96">
        <w:rPr>
          <w:rFonts w:eastAsia="Arial Unicode MS"/>
          <w:color w:val="000000" w:themeColor="text1"/>
          <w:lang w:val="en-US"/>
        </w:rPr>
        <w:t xml:space="preserve"> one qualit</w:t>
      </w:r>
      <w:r w:rsidR="006F4D96">
        <w:rPr>
          <w:rFonts w:eastAsia="Arial Unicode MS"/>
          <w:color w:val="000000" w:themeColor="text1"/>
          <w:lang w:val="en-US"/>
        </w:rPr>
        <w:t xml:space="preserve">y parameter (e.g. OSI) is </w:t>
      </w:r>
      <w:r w:rsidR="006F4D96" w:rsidRPr="006F4D96">
        <w:rPr>
          <w:rFonts w:eastAsia="Arial Unicode MS"/>
          <w:color w:val="000000" w:themeColor="text1"/>
          <w:lang w:val="en-US"/>
        </w:rPr>
        <w:t>sufficient</w:t>
      </w:r>
      <w:r w:rsidR="006F4D96">
        <w:rPr>
          <w:rFonts w:eastAsia="Arial Unicode MS"/>
          <w:color w:val="000000" w:themeColor="text1"/>
          <w:lang w:val="en-US"/>
        </w:rPr>
        <w:t xml:space="preserve"> or not, as currently practiced in most industries</w:t>
      </w:r>
      <w:r w:rsidR="006F4D96" w:rsidRPr="006F4D96">
        <w:rPr>
          <w:rFonts w:eastAsia="Arial Unicode MS"/>
          <w:color w:val="000000" w:themeColor="text1"/>
          <w:lang w:val="en-US"/>
        </w:rPr>
        <w:t>.</w:t>
      </w:r>
      <w:r w:rsidR="006F4D96">
        <w:rPr>
          <w:color w:val="000000" w:themeColor="text1"/>
          <w:lang w:val="en-US"/>
        </w:rPr>
        <w:t xml:space="preserve"> Hence, t</w:t>
      </w:r>
      <w:r w:rsidR="006F4D96">
        <w:rPr>
          <w:rFonts w:eastAsia="Arial Unicode MS"/>
          <w:color w:val="000000" w:themeColor="text1"/>
          <w:lang w:val="en-US"/>
        </w:rPr>
        <w:t>ogether with</w:t>
      </w:r>
      <w:r w:rsidR="00456489" w:rsidRPr="00722C5B">
        <w:rPr>
          <w:color w:val="000000" w:themeColor="text1"/>
          <w:lang w:val="en-US"/>
        </w:rPr>
        <w:t xml:space="preserve"> </w:t>
      </w:r>
      <w:r w:rsidR="006F4D96">
        <w:rPr>
          <w:color w:val="000000" w:themeColor="text1"/>
          <w:lang w:val="en-US"/>
        </w:rPr>
        <w:t>oxidative stability index (</w:t>
      </w:r>
      <w:r w:rsidR="00456489" w:rsidRPr="00722C5B">
        <w:rPr>
          <w:color w:val="000000" w:themeColor="text1"/>
          <w:lang w:val="en-US"/>
        </w:rPr>
        <w:t>OSI test</w:t>
      </w:r>
      <w:r w:rsidR="006F4D96">
        <w:rPr>
          <w:color w:val="000000" w:themeColor="text1"/>
          <w:lang w:val="en-US"/>
        </w:rPr>
        <w:t>),</w:t>
      </w:r>
      <w:r w:rsidR="00B4518F" w:rsidRPr="00722C5B">
        <w:rPr>
          <w:color w:val="000000" w:themeColor="text1"/>
          <w:lang w:val="en-US"/>
        </w:rPr>
        <w:t xml:space="preserve">storage </w:t>
      </w:r>
      <w:r w:rsidR="00456489" w:rsidRPr="00722C5B">
        <w:rPr>
          <w:color w:val="000000" w:themeColor="text1"/>
          <w:lang w:val="en-US"/>
        </w:rPr>
        <w:t xml:space="preserve">tests </w:t>
      </w:r>
      <w:r w:rsidR="00760870" w:rsidRPr="00722C5B">
        <w:rPr>
          <w:color w:val="000000" w:themeColor="text1"/>
          <w:lang w:val="en-US"/>
        </w:rPr>
        <w:t xml:space="preserve">were </w:t>
      </w:r>
      <w:r w:rsidR="006F4D96">
        <w:rPr>
          <w:color w:val="000000" w:themeColor="text1"/>
          <w:lang w:val="en-US"/>
        </w:rPr>
        <w:t xml:space="preserve">also </w:t>
      </w:r>
      <w:r w:rsidR="00760870" w:rsidRPr="00722C5B">
        <w:rPr>
          <w:color w:val="000000" w:themeColor="text1"/>
          <w:lang w:val="en-US"/>
        </w:rPr>
        <w:t xml:space="preserve">conducted under </w:t>
      </w:r>
      <w:r w:rsidR="00671263" w:rsidRPr="00722C5B">
        <w:rPr>
          <w:color w:val="000000" w:themeColor="text1"/>
          <w:lang w:val="en-US"/>
        </w:rPr>
        <w:t xml:space="preserve">mildly </w:t>
      </w:r>
      <w:r w:rsidR="00760870" w:rsidRPr="00722C5B">
        <w:rPr>
          <w:color w:val="000000" w:themeColor="text1"/>
          <w:lang w:val="en-US"/>
        </w:rPr>
        <w:t>accelerated conditions (</w:t>
      </w:r>
      <w:r w:rsidR="005E2C7E" w:rsidRPr="00722C5B">
        <w:rPr>
          <w:rFonts w:eastAsia="Arial Unicode MS"/>
          <w:color w:val="000000" w:themeColor="text1"/>
          <w:lang w:val="en-US"/>
        </w:rPr>
        <w:t>35 </w:t>
      </w:r>
      <w:r w:rsidR="00760870" w:rsidRPr="00722C5B">
        <w:rPr>
          <w:rFonts w:eastAsia="Arial Unicode MS"/>
          <w:color w:val="000000" w:themeColor="text1"/>
          <w:lang w:val="en-US"/>
        </w:rPr>
        <w:t xml:space="preserve">°C) in the dark for </w:t>
      </w:r>
      <w:r w:rsidR="00D45D2D" w:rsidRPr="00722C5B">
        <w:rPr>
          <w:rFonts w:eastAsia="Arial Unicode MS"/>
          <w:color w:val="000000" w:themeColor="text1"/>
          <w:lang w:val="en-US"/>
        </w:rPr>
        <w:t xml:space="preserve">up to </w:t>
      </w:r>
      <w:r w:rsidR="00760870" w:rsidRPr="00722C5B">
        <w:rPr>
          <w:rFonts w:eastAsia="Arial Unicode MS"/>
          <w:color w:val="000000" w:themeColor="text1"/>
          <w:lang w:val="en-US"/>
        </w:rPr>
        <w:t>30 weeks and the evolution of primary (</w:t>
      </w:r>
      <w:proofErr w:type="spellStart"/>
      <w:r w:rsidR="00760870" w:rsidRPr="00722C5B">
        <w:rPr>
          <w:rFonts w:eastAsia="Arial Unicode MS"/>
          <w:color w:val="000000" w:themeColor="text1"/>
          <w:lang w:val="en-US"/>
        </w:rPr>
        <w:t>hydroperoxides</w:t>
      </w:r>
      <w:proofErr w:type="spellEnd"/>
      <w:r w:rsidR="00760870" w:rsidRPr="00722C5B">
        <w:rPr>
          <w:rFonts w:eastAsia="Arial Unicode MS"/>
          <w:color w:val="000000" w:themeColor="text1"/>
          <w:lang w:val="en-US"/>
        </w:rPr>
        <w:t>) and secondary (</w:t>
      </w:r>
      <w:proofErr w:type="spellStart"/>
      <w:r w:rsidR="00760870" w:rsidRPr="00722C5B">
        <w:rPr>
          <w:rFonts w:eastAsia="Arial Unicode MS"/>
          <w:color w:val="000000" w:themeColor="text1"/>
          <w:lang w:val="en-US"/>
        </w:rPr>
        <w:t>hexanal</w:t>
      </w:r>
      <w:proofErr w:type="spellEnd"/>
      <w:r w:rsidR="00760870" w:rsidRPr="00722C5B">
        <w:rPr>
          <w:rFonts w:eastAsia="Arial Unicode MS"/>
          <w:color w:val="000000" w:themeColor="text1"/>
          <w:lang w:val="en-US"/>
        </w:rPr>
        <w:t>) lipid oxidation produc</w:t>
      </w:r>
      <w:r w:rsidR="00456489" w:rsidRPr="00722C5B">
        <w:rPr>
          <w:rFonts w:eastAsia="Arial Unicode MS"/>
          <w:color w:val="000000" w:themeColor="text1"/>
          <w:lang w:val="en-US"/>
        </w:rPr>
        <w:t>ts were monitored throughout.</w:t>
      </w:r>
      <w:r w:rsidR="006F4D96" w:rsidRPr="00D83906">
        <w:rPr>
          <w:lang w:val="en-US"/>
        </w:rPr>
        <w:t xml:space="preserve"> </w:t>
      </w:r>
    </w:p>
    <w:p w:rsidR="00686642" w:rsidRPr="00722C5B" w:rsidRDefault="00686642" w:rsidP="005C4A26">
      <w:pPr>
        <w:shd w:val="clear" w:color="auto" w:fill="FFFFFF" w:themeFill="background1"/>
        <w:spacing w:line="480" w:lineRule="auto"/>
        <w:jc w:val="both"/>
        <w:rPr>
          <w:b/>
          <w:color w:val="000000" w:themeColor="text1"/>
          <w:lang w:val="en-US"/>
        </w:rPr>
      </w:pPr>
    </w:p>
    <w:p w:rsidR="0006480B" w:rsidRPr="00722C5B" w:rsidRDefault="0041710A" w:rsidP="005C4A26">
      <w:pPr>
        <w:spacing w:line="480" w:lineRule="auto"/>
        <w:jc w:val="both"/>
        <w:rPr>
          <w:b/>
          <w:lang w:val="en-US"/>
        </w:rPr>
      </w:pPr>
      <w:r w:rsidRPr="00722C5B">
        <w:rPr>
          <w:b/>
          <w:lang w:val="en-US"/>
        </w:rPr>
        <w:t>Materials and Methods</w:t>
      </w:r>
    </w:p>
    <w:p w:rsidR="00E06A60" w:rsidRPr="00722C5B" w:rsidRDefault="00032994" w:rsidP="005C4A26">
      <w:pPr>
        <w:shd w:val="clear" w:color="auto" w:fill="FFFFFF"/>
        <w:spacing w:line="480" w:lineRule="auto"/>
        <w:jc w:val="both"/>
        <w:rPr>
          <w:lang w:val="en-US"/>
        </w:rPr>
      </w:pPr>
      <w:proofErr w:type="spellStart"/>
      <w:r w:rsidRPr="00722C5B">
        <w:rPr>
          <w:color w:val="000000" w:themeColor="text1"/>
          <w:lang w:val="en-US"/>
        </w:rPr>
        <w:t>A</w:t>
      </w:r>
      <w:r w:rsidR="003A52F7" w:rsidRPr="00722C5B">
        <w:rPr>
          <w:color w:val="000000" w:themeColor="text1"/>
          <w:lang w:val="en-US"/>
        </w:rPr>
        <w:t>scorbyl</w:t>
      </w:r>
      <w:proofErr w:type="spellEnd"/>
      <w:r w:rsidR="003A52F7" w:rsidRPr="00722C5B">
        <w:rPr>
          <w:color w:val="000000" w:themeColor="text1"/>
          <w:lang w:val="en-US"/>
        </w:rPr>
        <w:t xml:space="preserve"> </w:t>
      </w:r>
      <w:proofErr w:type="spellStart"/>
      <w:r w:rsidR="003A52F7" w:rsidRPr="00722C5B">
        <w:rPr>
          <w:color w:val="000000" w:themeColor="text1"/>
          <w:lang w:val="en-US"/>
        </w:rPr>
        <w:t>palmitate</w:t>
      </w:r>
      <w:proofErr w:type="spellEnd"/>
      <w:r w:rsidR="003A52F7" w:rsidRPr="00722C5B">
        <w:rPr>
          <w:color w:val="000000" w:themeColor="text1"/>
          <w:lang w:val="en-US"/>
        </w:rPr>
        <w:t xml:space="preserve"> (AP), </w:t>
      </w:r>
      <w:proofErr w:type="spellStart"/>
      <w:r w:rsidR="003A52F7" w:rsidRPr="00722C5B">
        <w:rPr>
          <w:color w:val="000000" w:themeColor="text1"/>
          <w:lang w:val="en-US"/>
        </w:rPr>
        <w:t>butylated</w:t>
      </w:r>
      <w:proofErr w:type="spellEnd"/>
      <w:r w:rsidR="003A52F7" w:rsidRPr="00722C5B">
        <w:rPr>
          <w:color w:val="000000" w:themeColor="text1"/>
          <w:lang w:val="en-US"/>
        </w:rPr>
        <w:t xml:space="preserve"> </w:t>
      </w:r>
      <w:proofErr w:type="spellStart"/>
      <w:r w:rsidR="003A52F7" w:rsidRPr="00722C5B">
        <w:rPr>
          <w:color w:val="000000" w:themeColor="text1"/>
          <w:lang w:val="en-US"/>
        </w:rPr>
        <w:t>hydroxyanisole</w:t>
      </w:r>
      <w:proofErr w:type="spellEnd"/>
      <w:r w:rsidR="003A52F7" w:rsidRPr="00722C5B">
        <w:rPr>
          <w:color w:val="000000" w:themeColor="text1"/>
          <w:lang w:val="en-US"/>
        </w:rPr>
        <w:t xml:space="preserve"> (BHA), </w:t>
      </w:r>
      <w:proofErr w:type="spellStart"/>
      <w:r w:rsidR="003A52F7" w:rsidRPr="00722C5B">
        <w:rPr>
          <w:color w:val="000000" w:themeColor="text1"/>
          <w:lang w:val="en-US"/>
        </w:rPr>
        <w:t>butylated</w:t>
      </w:r>
      <w:proofErr w:type="spellEnd"/>
      <w:r w:rsidR="003A52F7" w:rsidRPr="00722C5B">
        <w:rPr>
          <w:color w:val="000000" w:themeColor="text1"/>
          <w:lang w:val="en-US"/>
        </w:rPr>
        <w:t xml:space="preserve"> </w:t>
      </w:r>
      <w:proofErr w:type="spellStart"/>
      <w:r w:rsidR="003A52F7" w:rsidRPr="00722C5B">
        <w:rPr>
          <w:color w:val="000000" w:themeColor="text1"/>
          <w:lang w:val="en-US"/>
        </w:rPr>
        <w:t>hydroxytoluene</w:t>
      </w:r>
      <w:proofErr w:type="spellEnd"/>
      <w:r w:rsidR="003A52F7" w:rsidRPr="00722C5B">
        <w:rPr>
          <w:color w:val="000000" w:themeColor="text1"/>
          <w:lang w:val="en-US"/>
        </w:rPr>
        <w:t xml:space="preserve"> (BHT), mixed </w:t>
      </w:r>
      <w:proofErr w:type="spellStart"/>
      <w:r w:rsidR="003A52F7" w:rsidRPr="00722C5B">
        <w:rPr>
          <w:color w:val="000000" w:themeColor="text1"/>
          <w:lang w:val="en-US"/>
        </w:rPr>
        <w:t>tocopherols</w:t>
      </w:r>
      <w:proofErr w:type="spellEnd"/>
      <w:r w:rsidR="003A52F7" w:rsidRPr="00722C5B">
        <w:rPr>
          <w:color w:val="000000" w:themeColor="text1"/>
          <w:lang w:val="en-US"/>
        </w:rPr>
        <w:t xml:space="preserve"> (M-TOC), citric acid (CA) </w:t>
      </w:r>
      <w:r w:rsidR="0050034D" w:rsidRPr="00722C5B">
        <w:rPr>
          <w:color w:val="000000" w:themeColor="text1"/>
          <w:lang w:val="en-US"/>
        </w:rPr>
        <w:t xml:space="preserve">and rosemary </w:t>
      </w:r>
      <w:r w:rsidR="00DB0765">
        <w:rPr>
          <w:color w:val="000000" w:themeColor="text1"/>
          <w:lang w:val="en-US"/>
        </w:rPr>
        <w:t>extract</w:t>
      </w:r>
      <w:r w:rsidR="00DB0765" w:rsidRPr="00722C5B">
        <w:rPr>
          <w:color w:val="000000" w:themeColor="text1"/>
          <w:lang w:val="en-US"/>
        </w:rPr>
        <w:t xml:space="preserve"> </w:t>
      </w:r>
      <w:r w:rsidR="00BA554A" w:rsidRPr="00722C5B">
        <w:rPr>
          <w:color w:val="000000" w:themeColor="text1"/>
          <w:lang w:val="en-US"/>
        </w:rPr>
        <w:t xml:space="preserve">(RO) </w:t>
      </w:r>
      <w:r w:rsidR="00AB10F9" w:rsidRPr="00722C5B">
        <w:rPr>
          <w:color w:val="000000" w:themeColor="text1"/>
          <w:lang w:val="en-US"/>
        </w:rPr>
        <w:t>were p</w:t>
      </w:r>
      <w:r w:rsidR="001841DD" w:rsidRPr="00722C5B">
        <w:rPr>
          <w:color w:val="000000" w:themeColor="text1"/>
          <w:lang w:val="en-US"/>
        </w:rPr>
        <w:t>urchased from Sigma-Aldrich</w:t>
      </w:r>
      <w:r w:rsidR="00F75F2C" w:rsidRPr="00722C5B">
        <w:rPr>
          <w:color w:val="000000" w:themeColor="text1"/>
          <w:lang w:val="en-US"/>
        </w:rPr>
        <w:t xml:space="preserve"> (St. Louis, MO</w:t>
      </w:r>
      <w:r w:rsidR="001841DD" w:rsidRPr="00722C5B">
        <w:rPr>
          <w:color w:val="000000" w:themeColor="text1"/>
          <w:lang w:val="en-US"/>
        </w:rPr>
        <w:t>, US</w:t>
      </w:r>
      <w:r w:rsidR="007F69EA" w:rsidRPr="00722C5B">
        <w:rPr>
          <w:color w:val="000000" w:themeColor="text1"/>
          <w:lang w:val="en-US"/>
        </w:rPr>
        <w:t>A</w:t>
      </w:r>
      <w:r w:rsidR="00F75F2C" w:rsidRPr="00722C5B">
        <w:rPr>
          <w:color w:val="000000" w:themeColor="text1"/>
          <w:lang w:val="en-US"/>
        </w:rPr>
        <w:t>)</w:t>
      </w:r>
      <w:r w:rsidR="001841DD" w:rsidRPr="00722C5B">
        <w:rPr>
          <w:color w:val="000000" w:themeColor="text1"/>
          <w:lang w:val="en-US"/>
        </w:rPr>
        <w:t>.</w:t>
      </w:r>
      <w:r w:rsidR="00F04AB8" w:rsidRPr="00722C5B">
        <w:rPr>
          <w:rFonts w:eastAsia="Arial Unicode MS"/>
          <w:color w:val="000000" w:themeColor="text1"/>
          <w:lang w:val="en-US"/>
        </w:rPr>
        <w:t xml:space="preserve"> </w:t>
      </w:r>
      <w:proofErr w:type="spellStart"/>
      <w:r w:rsidR="007F69EA" w:rsidRPr="00722C5B">
        <w:rPr>
          <w:rFonts w:eastAsiaTheme="minorHAnsi"/>
          <w:color w:val="000000" w:themeColor="text1"/>
          <w:lang w:val="en-US" w:eastAsia="en-US"/>
        </w:rPr>
        <w:t>Hexanal</w:t>
      </w:r>
      <w:proofErr w:type="spellEnd"/>
      <w:r w:rsidR="007F69EA" w:rsidRPr="00722C5B">
        <w:rPr>
          <w:rFonts w:eastAsiaTheme="minorHAnsi"/>
          <w:color w:val="000000" w:themeColor="text1"/>
          <w:lang w:val="en-US" w:eastAsia="en-US"/>
        </w:rPr>
        <w:t xml:space="preserve"> (</w:t>
      </w:r>
      <w:r w:rsidR="00F04AB8" w:rsidRPr="00722C5B">
        <w:rPr>
          <w:rFonts w:eastAsiaTheme="minorHAnsi"/>
          <w:color w:val="000000" w:themeColor="text1"/>
          <w:lang w:val="en-US" w:eastAsia="en-US"/>
        </w:rPr>
        <w:t>purity 98%</w:t>
      </w:r>
      <w:r w:rsidR="007F69EA" w:rsidRPr="00722C5B">
        <w:rPr>
          <w:rFonts w:eastAsiaTheme="minorHAnsi"/>
          <w:color w:val="000000" w:themeColor="text1"/>
          <w:lang w:val="en-US" w:eastAsia="en-US"/>
        </w:rPr>
        <w:t>)</w:t>
      </w:r>
      <w:r w:rsidR="00F04AB8" w:rsidRPr="00722C5B">
        <w:rPr>
          <w:rFonts w:eastAsiaTheme="minorHAnsi"/>
          <w:color w:val="000000" w:themeColor="text1"/>
          <w:lang w:val="en-US" w:eastAsia="en-US"/>
        </w:rPr>
        <w:t xml:space="preserve"> and </w:t>
      </w:r>
      <w:r w:rsidR="00934863" w:rsidRPr="00722C5B">
        <w:rPr>
          <w:rFonts w:eastAsiaTheme="minorHAnsi"/>
          <w:color w:val="000000" w:themeColor="text1"/>
          <w:lang w:val="en-US" w:eastAsia="en-US"/>
        </w:rPr>
        <w:t>h</w:t>
      </w:r>
      <w:r w:rsidR="00F04AB8" w:rsidRPr="00722C5B">
        <w:rPr>
          <w:rFonts w:eastAsiaTheme="minorHAnsi"/>
          <w:color w:val="000000" w:themeColor="text1"/>
          <w:lang w:val="en-US" w:eastAsia="en-US"/>
        </w:rPr>
        <w:t>exanal-d</w:t>
      </w:r>
      <w:r w:rsidR="00F04AB8" w:rsidRPr="00722C5B">
        <w:rPr>
          <w:rFonts w:eastAsiaTheme="minorHAnsi"/>
          <w:color w:val="000000" w:themeColor="text1"/>
          <w:vertAlign w:val="subscript"/>
          <w:lang w:val="en-US" w:eastAsia="en-US"/>
        </w:rPr>
        <w:t>12</w:t>
      </w:r>
      <w:r w:rsidR="00F04AB8" w:rsidRPr="00722C5B">
        <w:rPr>
          <w:rFonts w:eastAsiaTheme="minorHAnsi"/>
          <w:color w:val="000000" w:themeColor="text1"/>
          <w:lang w:val="en-US" w:eastAsia="en-US"/>
        </w:rPr>
        <w:t xml:space="preserve"> isotopic enrichment </w:t>
      </w:r>
      <w:r w:rsidR="007F69EA" w:rsidRPr="00722C5B">
        <w:rPr>
          <w:rFonts w:eastAsiaTheme="minorHAnsi"/>
          <w:color w:val="000000" w:themeColor="text1"/>
          <w:lang w:val="en-US" w:eastAsia="en-US"/>
        </w:rPr>
        <w:t>(</w:t>
      </w:r>
      <w:r w:rsidR="00F04AB8" w:rsidRPr="00722C5B">
        <w:rPr>
          <w:rFonts w:eastAsiaTheme="minorHAnsi"/>
          <w:color w:val="000000" w:themeColor="text1"/>
          <w:lang w:val="en-US" w:eastAsia="en-US"/>
        </w:rPr>
        <w:t>min</w:t>
      </w:r>
      <w:r w:rsidR="005771D2" w:rsidRPr="00722C5B">
        <w:rPr>
          <w:rFonts w:eastAsiaTheme="minorHAnsi"/>
          <w:color w:val="000000" w:themeColor="text1"/>
          <w:lang w:val="en-US" w:eastAsia="en-US"/>
        </w:rPr>
        <w:t>imum</w:t>
      </w:r>
      <w:r w:rsidR="00F04AB8" w:rsidRPr="00722C5B">
        <w:rPr>
          <w:rFonts w:eastAsiaTheme="minorHAnsi"/>
          <w:color w:val="000000" w:themeColor="text1"/>
          <w:lang w:val="en-US" w:eastAsia="en-US"/>
        </w:rPr>
        <w:t xml:space="preserve"> 98% atom</w:t>
      </w:r>
      <w:r w:rsidR="005771D2" w:rsidRPr="00722C5B">
        <w:rPr>
          <w:rFonts w:eastAsiaTheme="minorHAnsi"/>
          <w:color w:val="000000" w:themeColor="text1"/>
          <w:lang w:val="en-US" w:eastAsia="en-US"/>
        </w:rPr>
        <w:t>s</w:t>
      </w:r>
      <w:r w:rsidR="007F69EA" w:rsidRPr="00722C5B">
        <w:rPr>
          <w:rFonts w:eastAsiaTheme="minorHAnsi"/>
          <w:color w:val="000000" w:themeColor="text1"/>
          <w:lang w:val="en-US" w:eastAsia="en-US"/>
        </w:rPr>
        <w:t>)</w:t>
      </w:r>
      <w:r w:rsidR="00F04AB8" w:rsidRPr="00722C5B">
        <w:rPr>
          <w:rFonts w:eastAsia="Arial Unicode MS"/>
          <w:color w:val="000000" w:themeColor="text1"/>
          <w:lang w:val="en-US"/>
        </w:rPr>
        <w:t xml:space="preserve"> were purchased from CDN Isotopes</w:t>
      </w:r>
      <w:r w:rsidR="00F75F2C" w:rsidRPr="00722C5B">
        <w:rPr>
          <w:rFonts w:eastAsia="Arial Unicode MS"/>
          <w:color w:val="000000" w:themeColor="text1"/>
          <w:lang w:val="en-US"/>
        </w:rPr>
        <w:t xml:space="preserve"> (Quebec</w:t>
      </w:r>
      <w:r w:rsidR="00F04AB8" w:rsidRPr="00722C5B">
        <w:rPr>
          <w:rFonts w:eastAsia="Arial Unicode MS"/>
          <w:color w:val="000000" w:themeColor="text1"/>
          <w:lang w:val="en-US"/>
        </w:rPr>
        <w:t>, Canada</w:t>
      </w:r>
      <w:r w:rsidR="00F75F2C" w:rsidRPr="00722C5B">
        <w:rPr>
          <w:rFonts w:eastAsia="Arial Unicode MS"/>
          <w:color w:val="000000" w:themeColor="text1"/>
          <w:lang w:val="en-US"/>
        </w:rPr>
        <w:t>)</w:t>
      </w:r>
      <w:r w:rsidR="00F04AB8" w:rsidRPr="00722C5B">
        <w:rPr>
          <w:rFonts w:eastAsia="Arial Unicode MS"/>
          <w:color w:val="000000" w:themeColor="text1"/>
          <w:lang w:val="en-US"/>
        </w:rPr>
        <w:t xml:space="preserve">. </w:t>
      </w:r>
      <w:r w:rsidR="00C83424" w:rsidRPr="00722C5B">
        <w:rPr>
          <w:rFonts w:eastAsia="Arial Unicode MS"/>
          <w:lang w:val="en-US"/>
        </w:rPr>
        <w:t xml:space="preserve">Methyl </w:t>
      </w:r>
      <w:proofErr w:type="spellStart"/>
      <w:r w:rsidR="00687FAF" w:rsidRPr="00722C5B">
        <w:rPr>
          <w:rFonts w:eastAsia="Arial Unicode MS"/>
          <w:lang w:val="en-US"/>
        </w:rPr>
        <w:t>tridecanoate</w:t>
      </w:r>
      <w:proofErr w:type="spellEnd"/>
      <w:r w:rsidR="007F69EA" w:rsidRPr="00722C5B">
        <w:rPr>
          <w:rFonts w:eastAsia="Arial Unicode MS"/>
          <w:lang w:val="en-US"/>
        </w:rPr>
        <w:t xml:space="preserve"> (</w:t>
      </w:r>
      <w:r w:rsidR="00C83424" w:rsidRPr="00722C5B">
        <w:rPr>
          <w:rFonts w:eastAsia="Arial Unicode MS"/>
          <w:lang w:val="en-US"/>
        </w:rPr>
        <w:t>purity 99.5%</w:t>
      </w:r>
      <w:r w:rsidR="007F69EA" w:rsidRPr="00722C5B">
        <w:rPr>
          <w:rFonts w:eastAsia="Arial Unicode MS"/>
          <w:lang w:val="en-US"/>
        </w:rPr>
        <w:t>)</w:t>
      </w:r>
      <w:r w:rsidR="00C83424" w:rsidRPr="00722C5B">
        <w:rPr>
          <w:rFonts w:eastAsia="Arial Unicode MS"/>
          <w:lang w:val="en-US"/>
        </w:rPr>
        <w:t xml:space="preserve"> </w:t>
      </w:r>
      <w:r w:rsidR="00A82C69" w:rsidRPr="00722C5B">
        <w:rPr>
          <w:rFonts w:eastAsia="Arial Unicode MS"/>
          <w:lang w:val="en-US"/>
        </w:rPr>
        <w:t>and quantitative calibration standard mixture of</w:t>
      </w:r>
      <w:r w:rsidR="006656A9" w:rsidRPr="00722C5B">
        <w:rPr>
          <w:rFonts w:eastAsia="Arial Unicode MS"/>
          <w:lang w:val="en-US"/>
        </w:rPr>
        <w:t xml:space="preserve"> fatty acid methyl esters</w:t>
      </w:r>
      <w:r w:rsidR="00A82C69" w:rsidRPr="00722C5B">
        <w:rPr>
          <w:rFonts w:eastAsia="Arial Unicode MS"/>
          <w:lang w:val="en-US"/>
        </w:rPr>
        <w:t xml:space="preserve"> (GLC-Nestle</w:t>
      </w:r>
      <w:r w:rsidR="005E2C7E" w:rsidRPr="00722C5B">
        <w:rPr>
          <w:rFonts w:eastAsia="Arial Unicode MS"/>
          <w:lang w:val="en-US"/>
        </w:rPr>
        <w:t xml:space="preserve"> </w:t>
      </w:r>
      <w:r w:rsidR="00A82C69" w:rsidRPr="00722C5B">
        <w:rPr>
          <w:rFonts w:eastAsia="Arial Unicode MS"/>
          <w:lang w:val="en-US"/>
        </w:rPr>
        <w:t xml:space="preserve">36) </w:t>
      </w:r>
      <w:r w:rsidR="00916C85" w:rsidRPr="00722C5B">
        <w:rPr>
          <w:rFonts w:eastAsia="Arial Unicode MS"/>
          <w:lang w:val="en-US"/>
        </w:rPr>
        <w:t>were purchased from</w:t>
      </w:r>
      <w:r w:rsidR="00C83424" w:rsidRPr="00722C5B">
        <w:rPr>
          <w:rFonts w:eastAsia="Arial Unicode MS"/>
          <w:lang w:val="en-US"/>
        </w:rPr>
        <w:t xml:space="preserve"> Nu-</w:t>
      </w:r>
      <w:proofErr w:type="spellStart"/>
      <w:r w:rsidR="00C83424" w:rsidRPr="00722C5B">
        <w:rPr>
          <w:rFonts w:eastAsia="Arial Unicode MS"/>
          <w:lang w:val="en-US"/>
        </w:rPr>
        <w:t>Chek</w:t>
      </w:r>
      <w:proofErr w:type="spellEnd"/>
      <w:r w:rsidR="00C83424" w:rsidRPr="00722C5B">
        <w:rPr>
          <w:rFonts w:eastAsia="Arial Unicode MS"/>
          <w:lang w:val="en-US"/>
        </w:rPr>
        <w:t>-Prep</w:t>
      </w:r>
      <w:r w:rsidR="00F75F2C" w:rsidRPr="00722C5B">
        <w:rPr>
          <w:rFonts w:eastAsia="Arial Unicode MS"/>
          <w:lang w:val="en-US"/>
        </w:rPr>
        <w:t xml:space="preserve"> (Elysian, MN</w:t>
      </w:r>
      <w:r w:rsidR="00C83424" w:rsidRPr="00722C5B">
        <w:rPr>
          <w:rFonts w:eastAsia="Arial Unicode MS"/>
          <w:lang w:val="en-US"/>
        </w:rPr>
        <w:t>, USA</w:t>
      </w:r>
      <w:r w:rsidR="00F75F2C" w:rsidRPr="00722C5B">
        <w:rPr>
          <w:rFonts w:eastAsia="Arial Unicode MS"/>
          <w:lang w:val="en-US"/>
        </w:rPr>
        <w:t>)</w:t>
      </w:r>
      <w:r w:rsidR="00C83424" w:rsidRPr="00722C5B">
        <w:rPr>
          <w:rFonts w:eastAsia="Arial Unicode MS"/>
          <w:lang w:val="en-US"/>
        </w:rPr>
        <w:t xml:space="preserve">. </w:t>
      </w:r>
      <w:r w:rsidR="006656A9" w:rsidRPr="00722C5B">
        <w:rPr>
          <w:rFonts w:eastAsia="Arial Unicode MS"/>
          <w:lang w:val="en-US"/>
        </w:rPr>
        <w:t>All</w:t>
      </w:r>
      <w:r w:rsidR="00F04AB8" w:rsidRPr="00722C5B">
        <w:rPr>
          <w:rFonts w:eastAsia="Arial Unicode MS"/>
          <w:lang w:val="en-US"/>
        </w:rPr>
        <w:t xml:space="preserve"> other chemicals </w:t>
      </w:r>
      <w:r w:rsidR="006656A9" w:rsidRPr="00722C5B">
        <w:rPr>
          <w:rFonts w:eastAsia="Arial Unicode MS"/>
          <w:lang w:val="en-US"/>
        </w:rPr>
        <w:t xml:space="preserve">used in this work </w:t>
      </w:r>
      <w:r w:rsidR="00F04AB8" w:rsidRPr="00722C5B">
        <w:rPr>
          <w:rFonts w:eastAsia="Arial Unicode MS"/>
          <w:lang w:val="en-US"/>
        </w:rPr>
        <w:t>wer</w:t>
      </w:r>
      <w:r w:rsidR="00F04AB8" w:rsidRPr="00722C5B">
        <w:rPr>
          <w:rFonts w:eastAsia="Arial Unicode MS"/>
          <w:color w:val="000000" w:themeColor="text1"/>
          <w:lang w:val="en-US"/>
        </w:rPr>
        <w:t xml:space="preserve">e of analytical grade and purchased from </w:t>
      </w:r>
      <w:r w:rsidR="00F04AB8" w:rsidRPr="00722C5B">
        <w:rPr>
          <w:color w:val="000000" w:themeColor="text1"/>
          <w:lang w:val="en-US"/>
        </w:rPr>
        <w:t>Sigma-Aldrich</w:t>
      </w:r>
      <w:r w:rsidR="00DD6F1B" w:rsidRPr="00722C5B">
        <w:rPr>
          <w:color w:val="000000" w:themeColor="text1"/>
          <w:lang w:val="en-US"/>
        </w:rPr>
        <w:t>,</w:t>
      </w:r>
      <w:r w:rsidR="00F04AB8" w:rsidRPr="00722C5B">
        <w:rPr>
          <w:color w:val="000000" w:themeColor="text1"/>
          <w:lang w:val="en-US"/>
        </w:rPr>
        <w:t xml:space="preserve"> unless otherwise specified</w:t>
      </w:r>
      <w:r w:rsidR="00F04AB8" w:rsidRPr="00722C5B">
        <w:rPr>
          <w:rFonts w:eastAsia="Arial Unicode MS"/>
          <w:color w:val="000000" w:themeColor="text1"/>
          <w:lang w:val="en-US"/>
        </w:rPr>
        <w:t>.</w:t>
      </w:r>
      <w:r w:rsidR="006656A9" w:rsidRPr="00722C5B">
        <w:rPr>
          <w:rFonts w:eastAsia="Arial Unicode MS"/>
          <w:color w:val="000000" w:themeColor="text1"/>
          <w:lang w:val="en-US"/>
        </w:rPr>
        <w:t xml:space="preserve"> </w:t>
      </w:r>
      <w:r w:rsidR="006656A9" w:rsidRPr="00722C5B">
        <w:rPr>
          <w:color w:val="000000" w:themeColor="text1"/>
          <w:lang w:val="en-US"/>
        </w:rPr>
        <w:t>Commercial soy oil (SO) and high oleic sunflower oil (HOSFO</w:t>
      </w:r>
      <w:r w:rsidR="000358E7">
        <w:rPr>
          <w:color w:val="000000" w:themeColor="text1"/>
          <w:lang w:val="en-US"/>
        </w:rPr>
        <w:t xml:space="preserve">) were </w:t>
      </w:r>
      <w:r w:rsidR="00B95361">
        <w:rPr>
          <w:color w:val="000000" w:themeColor="text1"/>
          <w:lang w:val="en-US"/>
        </w:rPr>
        <w:t xml:space="preserve">procured from a Nestlé factory and were sourced from a global fat and oil </w:t>
      </w:r>
      <w:r w:rsidR="00B95361">
        <w:rPr>
          <w:color w:val="000000" w:themeColor="text1"/>
          <w:lang w:val="en-US"/>
        </w:rPr>
        <w:lastRenderedPageBreak/>
        <w:t>supplier at the beginning of the experimental design</w:t>
      </w:r>
      <w:r w:rsidR="000358E7">
        <w:rPr>
          <w:color w:val="000000" w:themeColor="text1"/>
          <w:lang w:val="en-US"/>
        </w:rPr>
        <w:t>.</w:t>
      </w:r>
      <w:r w:rsidR="006656A9" w:rsidRPr="00722C5B">
        <w:rPr>
          <w:color w:val="000000" w:themeColor="text1"/>
          <w:lang w:val="en-US"/>
        </w:rPr>
        <w:t xml:space="preserve"> </w:t>
      </w:r>
      <w:r w:rsidR="009860CA">
        <w:rPr>
          <w:color w:val="000000" w:themeColor="text1"/>
          <w:lang w:val="en-US"/>
        </w:rPr>
        <w:t xml:space="preserve">The native SO and HOSHO had </w:t>
      </w:r>
      <w:proofErr w:type="spellStart"/>
      <w:r w:rsidR="009860CA">
        <w:rPr>
          <w:color w:val="000000" w:themeColor="text1"/>
          <w:lang w:val="en-US"/>
        </w:rPr>
        <w:t>tocopherol</w:t>
      </w:r>
      <w:proofErr w:type="spellEnd"/>
      <w:r w:rsidR="009860CA">
        <w:rPr>
          <w:color w:val="000000" w:themeColor="text1"/>
          <w:lang w:val="en-US"/>
        </w:rPr>
        <w:t xml:space="preserve"> content of 9.4 and 36.6 </w:t>
      </w:r>
      <w:r w:rsidR="009860CA">
        <w:rPr>
          <w:rFonts w:ascii="Courier New" w:hAnsi="Courier New" w:cs="Courier New"/>
          <w:color w:val="000000" w:themeColor="text1"/>
          <w:lang w:val="en-US"/>
        </w:rPr>
        <w:t>α</w:t>
      </w:r>
      <w:r w:rsidR="009860CA">
        <w:rPr>
          <w:color w:val="000000" w:themeColor="text1"/>
          <w:lang w:val="en-US"/>
        </w:rPr>
        <w:t>-</w:t>
      </w:r>
      <w:proofErr w:type="spellStart"/>
      <w:r w:rsidR="009860CA">
        <w:rPr>
          <w:color w:val="000000" w:themeColor="text1"/>
          <w:lang w:val="en-US"/>
        </w:rPr>
        <w:t>tocopherol</w:t>
      </w:r>
      <w:proofErr w:type="spellEnd"/>
      <w:r w:rsidR="009860CA">
        <w:rPr>
          <w:color w:val="000000" w:themeColor="text1"/>
          <w:lang w:val="en-US"/>
        </w:rPr>
        <w:t xml:space="preserve"> </w:t>
      </w:r>
      <w:proofErr w:type="spellStart"/>
      <w:r w:rsidR="009860CA">
        <w:rPr>
          <w:color w:val="000000" w:themeColor="text1"/>
          <w:lang w:val="en-US"/>
        </w:rPr>
        <w:t>euivalents</w:t>
      </w:r>
      <w:proofErr w:type="spellEnd"/>
      <w:r w:rsidR="009860CA">
        <w:rPr>
          <w:color w:val="000000" w:themeColor="text1"/>
          <w:lang w:val="en-US"/>
        </w:rPr>
        <w:t xml:space="preserve">/ 100g, respectively. </w:t>
      </w:r>
      <w:r w:rsidR="00AB10F9" w:rsidRPr="00722C5B">
        <w:rPr>
          <w:lang w:val="en-US"/>
        </w:rPr>
        <w:t>Upon receipt, oils were stored in their original container</w:t>
      </w:r>
      <w:r w:rsidR="006656A9" w:rsidRPr="00722C5B">
        <w:rPr>
          <w:lang w:val="en-US"/>
        </w:rPr>
        <w:t>s</w:t>
      </w:r>
      <w:r w:rsidR="005E2C7E" w:rsidRPr="00722C5B">
        <w:rPr>
          <w:lang w:val="en-US"/>
        </w:rPr>
        <w:t xml:space="preserve"> in the dark at 4 </w:t>
      </w:r>
      <w:r w:rsidR="000034EE" w:rsidRPr="00722C5B">
        <w:rPr>
          <w:lang w:val="en-US"/>
        </w:rPr>
        <w:t xml:space="preserve">°C until evaluation of </w:t>
      </w:r>
      <w:r w:rsidR="00231436" w:rsidRPr="00722C5B">
        <w:rPr>
          <w:lang w:val="en-US"/>
        </w:rPr>
        <w:t xml:space="preserve">fatty acid </w:t>
      </w:r>
      <w:r w:rsidR="00AB10F9" w:rsidRPr="00722C5B">
        <w:rPr>
          <w:lang w:val="en-US"/>
        </w:rPr>
        <w:t>composition,</w:t>
      </w:r>
      <w:r w:rsidR="005771D2" w:rsidRPr="00722C5B">
        <w:rPr>
          <w:lang w:val="en-US"/>
        </w:rPr>
        <w:t xml:space="preserve"> </w:t>
      </w:r>
      <w:r w:rsidR="006656A9" w:rsidRPr="00722C5B">
        <w:rPr>
          <w:lang w:val="en-US"/>
        </w:rPr>
        <w:t xml:space="preserve">as well as </w:t>
      </w:r>
      <w:r w:rsidR="005771D2" w:rsidRPr="00722C5B">
        <w:rPr>
          <w:lang w:val="en-US"/>
        </w:rPr>
        <w:t xml:space="preserve">initial quality </w:t>
      </w:r>
      <w:r w:rsidR="006656A9" w:rsidRPr="00722C5B">
        <w:rPr>
          <w:lang w:val="en-US"/>
        </w:rPr>
        <w:t>(</w:t>
      </w:r>
      <w:proofErr w:type="spellStart"/>
      <w:r w:rsidR="006656A9" w:rsidRPr="00722C5B">
        <w:rPr>
          <w:lang w:val="en-US"/>
        </w:rPr>
        <w:t>hydroperoxides</w:t>
      </w:r>
      <w:proofErr w:type="spellEnd"/>
      <w:r w:rsidR="006656A9" w:rsidRPr="00722C5B">
        <w:rPr>
          <w:lang w:val="en-US"/>
        </w:rPr>
        <w:t xml:space="preserve">, </w:t>
      </w:r>
      <w:proofErr w:type="spellStart"/>
      <w:r w:rsidR="006656A9" w:rsidRPr="00722C5B">
        <w:rPr>
          <w:lang w:val="en-US"/>
        </w:rPr>
        <w:t>hexanal</w:t>
      </w:r>
      <w:proofErr w:type="spellEnd"/>
      <w:r w:rsidR="006656A9" w:rsidRPr="00722C5B">
        <w:rPr>
          <w:lang w:val="en-US"/>
        </w:rPr>
        <w:t xml:space="preserve">) </w:t>
      </w:r>
      <w:r w:rsidR="005771D2" w:rsidRPr="00722C5B">
        <w:rPr>
          <w:lang w:val="en-US"/>
        </w:rPr>
        <w:t>and stability</w:t>
      </w:r>
      <w:r w:rsidR="006656A9" w:rsidRPr="00722C5B">
        <w:rPr>
          <w:lang w:val="en-US"/>
        </w:rPr>
        <w:t xml:space="preserve"> (oxidative stability index)</w:t>
      </w:r>
      <w:r w:rsidR="005771D2" w:rsidRPr="00722C5B">
        <w:rPr>
          <w:lang w:val="en-US"/>
        </w:rPr>
        <w:t>.</w:t>
      </w:r>
      <w:r w:rsidR="00A13DF0" w:rsidRPr="00722C5B">
        <w:rPr>
          <w:lang w:val="en-US"/>
        </w:rPr>
        <w:t xml:space="preserve"> </w:t>
      </w:r>
      <w:r w:rsidR="00C971DA" w:rsidRPr="00722C5B">
        <w:rPr>
          <w:lang w:val="en-US"/>
        </w:rPr>
        <w:t>Where applicable, a</w:t>
      </w:r>
      <w:r w:rsidR="00A13DF0" w:rsidRPr="00722C5B">
        <w:rPr>
          <w:lang w:val="en-US"/>
        </w:rPr>
        <w:t>ntioxidant</w:t>
      </w:r>
      <w:r w:rsidR="00C971DA" w:rsidRPr="00722C5B">
        <w:rPr>
          <w:lang w:val="en-US"/>
        </w:rPr>
        <w:t>(</w:t>
      </w:r>
      <w:r w:rsidR="00A13DF0" w:rsidRPr="00722C5B">
        <w:rPr>
          <w:lang w:val="en-US"/>
        </w:rPr>
        <w:t>s</w:t>
      </w:r>
      <w:r w:rsidR="00C971DA" w:rsidRPr="00722C5B">
        <w:rPr>
          <w:lang w:val="en-US"/>
        </w:rPr>
        <w:t>)</w:t>
      </w:r>
      <w:r w:rsidR="00A13DF0" w:rsidRPr="00722C5B">
        <w:rPr>
          <w:lang w:val="en-US"/>
        </w:rPr>
        <w:t xml:space="preserve"> were dissolved stepwise in the vegetable oils</w:t>
      </w:r>
      <w:r w:rsidR="00C45E22" w:rsidRPr="00722C5B">
        <w:rPr>
          <w:lang w:val="en-US"/>
        </w:rPr>
        <w:t xml:space="preserve"> (</w:t>
      </w:r>
      <w:r w:rsidR="00C971DA" w:rsidRPr="00722C5B">
        <w:rPr>
          <w:lang w:val="en-US"/>
        </w:rPr>
        <w:t xml:space="preserve">with </w:t>
      </w:r>
      <w:r w:rsidR="00C45E22" w:rsidRPr="00722C5B">
        <w:rPr>
          <w:lang w:val="en-US"/>
        </w:rPr>
        <w:t>up to 30</w:t>
      </w:r>
      <w:r w:rsidR="00F27C20" w:rsidRPr="00722C5B">
        <w:rPr>
          <w:lang w:val="en-US"/>
        </w:rPr>
        <w:t> </w:t>
      </w:r>
      <w:r w:rsidR="00C971DA" w:rsidRPr="00722C5B">
        <w:rPr>
          <w:lang w:val="en-US"/>
        </w:rPr>
        <w:t>min stirring</w:t>
      </w:r>
      <w:r w:rsidR="00C45E22" w:rsidRPr="00722C5B">
        <w:rPr>
          <w:lang w:val="en-US"/>
        </w:rPr>
        <w:t>)</w:t>
      </w:r>
      <w:r w:rsidR="00A13DF0" w:rsidRPr="00722C5B">
        <w:rPr>
          <w:lang w:val="en-US"/>
        </w:rPr>
        <w:t xml:space="preserve"> </w:t>
      </w:r>
      <w:r w:rsidR="00C45E22" w:rsidRPr="00722C5B">
        <w:rPr>
          <w:lang w:val="en-US"/>
        </w:rPr>
        <w:t xml:space="preserve">just before </w:t>
      </w:r>
      <w:r w:rsidR="00DD6F1B" w:rsidRPr="00722C5B">
        <w:rPr>
          <w:lang w:val="en-US"/>
        </w:rPr>
        <w:t>analyses, or prior to incubation for subsequent analysis in the case of the storage test samples</w:t>
      </w:r>
      <w:r w:rsidR="00A13DF0" w:rsidRPr="00722C5B">
        <w:rPr>
          <w:lang w:val="en-US"/>
        </w:rPr>
        <w:t>.</w:t>
      </w:r>
    </w:p>
    <w:p w:rsidR="005771D2" w:rsidRPr="00722C5B" w:rsidRDefault="005771D2" w:rsidP="005C4A26">
      <w:pPr>
        <w:shd w:val="clear" w:color="auto" w:fill="FFFFFF"/>
        <w:spacing w:line="480" w:lineRule="auto"/>
        <w:jc w:val="both"/>
        <w:rPr>
          <w:lang w:val="en-US"/>
        </w:rPr>
      </w:pPr>
    </w:p>
    <w:p w:rsidR="00B1024B" w:rsidRPr="00722C5B" w:rsidRDefault="00B1024B" w:rsidP="005C4A26">
      <w:pPr>
        <w:spacing w:line="480" w:lineRule="auto"/>
        <w:jc w:val="both"/>
        <w:rPr>
          <w:i/>
          <w:lang w:val="en-US"/>
        </w:rPr>
      </w:pPr>
      <w:r w:rsidRPr="00722C5B">
        <w:rPr>
          <w:i/>
          <w:lang w:val="en-US"/>
        </w:rPr>
        <w:t xml:space="preserve">Fatty acid </w:t>
      </w:r>
      <w:r w:rsidR="00C74DE4" w:rsidRPr="00722C5B">
        <w:rPr>
          <w:i/>
          <w:lang w:val="en-US"/>
        </w:rPr>
        <w:t>composition</w:t>
      </w:r>
    </w:p>
    <w:p w:rsidR="00600B36" w:rsidRPr="00722C5B" w:rsidRDefault="00B1024B" w:rsidP="00810692">
      <w:pPr>
        <w:spacing w:line="480" w:lineRule="auto"/>
        <w:jc w:val="both"/>
        <w:rPr>
          <w:lang w:val="en-US"/>
        </w:rPr>
      </w:pPr>
      <w:r w:rsidRPr="00722C5B">
        <w:rPr>
          <w:lang w:val="en-US"/>
        </w:rPr>
        <w:t>Fatty acid</w:t>
      </w:r>
      <w:r w:rsidR="003E6700" w:rsidRPr="00722C5B">
        <w:rPr>
          <w:lang w:val="en-US"/>
        </w:rPr>
        <w:t>s</w:t>
      </w:r>
      <w:r w:rsidRPr="00722C5B">
        <w:rPr>
          <w:lang w:val="en-US"/>
        </w:rPr>
        <w:t xml:space="preserve"> (FA) profile was determined using</w:t>
      </w:r>
      <w:r w:rsidR="00723EE4" w:rsidRPr="00722C5B">
        <w:rPr>
          <w:lang w:val="en-US"/>
        </w:rPr>
        <w:t xml:space="preserve"> a modified version of the</w:t>
      </w:r>
      <w:r w:rsidRPr="00722C5B">
        <w:rPr>
          <w:lang w:val="en-US"/>
        </w:rPr>
        <w:t xml:space="preserve"> </w:t>
      </w:r>
      <w:r w:rsidR="006410F8" w:rsidRPr="00722C5B">
        <w:rPr>
          <w:lang w:val="en-US"/>
        </w:rPr>
        <w:t>ISO-15884</w:t>
      </w:r>
      <w:r w:rsidR="003E6700" w:rsidRPr="00722C5B">
        <w:rPr>
          <w:lang w:val="en-US"/>
        </w:rPr>
        <w:t xml:space="preserve"> </w:t>
      </w:r>
      <w:r w:rsidR="006410F8" w:rsidRPr="00722C5B">
        <w:rPr>
          <w:lang w:val="en-US"/>
        </w:rPr>
        <w:t xml:space="preserve">(2002) </w:t>
      </w:r>
      <w:r w:rsidR="00F75F2C" w:rsidRPr="00722C5B">
        <w:rPr>
          <w:lang w:val="en-US"/>
        </w:rPr>
        <w:t xml:space="preserve">for preparing </w:t>
      </w:r>
      <w:r w:rsidR="002D2760" w:rsidRPr="00722C5B">
        <w:rPr>
          <w:lang w:val="en-US"/>
        </w:rPr>
        <w:t xml:space="preserve">fatty acid </w:t>
      </w:r>
      <w:r w:rsidR="003E6700" w:rsidRPr="00722C5B">
        <w:rPr>
          <w:lang w:val="en-US"/>
        </w:rPr>
        <w:t xml:space="preserve">methyl esters </w:t>
      </w:r>
      <w:r w:rsidR="00960082" w:rsidRPr="00722C5B">
        <w:rPr>
          <w:lang w:val="en-US"/>
        </w:rPr>
        <w:t>for analysis</w:t>
      </w:r>
      <w:r w:rsidR="003E6700" w:rsidRPr="00722C5B">
        <w:rPr>
          <w:lang w:val="en-US"/>
        </w:rPr>
        <w:t>, followed by</w:t>
      </w:r>
      <w:r w:rsidR="002D2760" w:rsidRPr="00722C5B">
        <w:rPr>
          <w:lang w:val="en-US"/>
        </w:rPr>
        <w:t xml:space="preserve"> </w:t>
      </w:r>
      <w:r w:rsidR="00960082" w:rsidRPr="00722C5B">
        <w:rPr>
          <w:lang w:val="en-US"/>
        </w:rPr>
        <w:t xml:space="preserve">quantification using </w:t>
      </w:r>
      <w:r w:rsidRPr="00722C5B">
        <w:rPr>
          <w:lang w:val="en-US"/>
        </w:rPr>
        <w:t xml:space="preserve">gas chromatographic </w:t>
      </w:r>
      <w:r w:rsidR="00C058E5" w:rsidRPr="00722C5B">
        <w:rPr>
          <w:lang w:val="en-US"/>
        </w:rPr>
        <w:t xml:space="preserve">(GC) </w:t>
      </w:r>
      <w:r w:rsidRPr="00722C5B">
        <w:rPr>
          <w:lang w:val="en-US"/>
        </w:rPr>
        <w:t xml:space="preserve">detection </w:t>
      </w:r>
      <w:r w:rsidR="00B95361">
        <w:rPr>
          <w:lang w:val="en-US"/>
        </w:rPr>
        <w:t>described in</w:t>
      </w:r>
      <w:r w:rsidR="00723EE4" w:rsidRPr="00722C5B">
        <w:rPr>
          <w:lang w:val="en-US"/>
        </w:rPr>
        <w:t xml:space="preserve"> </w:t>
      </w:r>
      <w:r w:rsidR="006410F8" w:rsidRPr="00722C5B">
        <w:rPr>
          <w:lang w:val="en-US"/>
        </w:rPr>
        <w:t>A</w:t>
      </w:r>
      <w:r w:rsidR="00330D24" w:rsidRPr="00722C5B">
        <w:rPr>
          <w:lang w:val="en-US"/>
        </w:rPr>
        <w:t>OAC 2012.13</w:t>
      </w:r>
      <w:r w:rsidR="00B95361">
        <w:rPr>
          <w:lang w:val="en-US"/>
        </w:rPr>
        <w:t xml:space="preserve"> – First Action</w:t>
      </w:r>
      <w:r w:rsidR="006410F8" w:rsidRPr="00722C5B">
        <w:rPr>
          <w:lang w:val="en-US"/>
        </w:rPr>
        <w:t xml:space="preserve"> (2012).</w:t>
      </w:r>
      <w:r w:rsidR="00810692" w:rsidRPr="00722C5B">
        <w:rPr>
          <w:lang w:val="en-US"/>
        </w:rPr>
        <w:t xml:space="preserve"> </w:t>
      </w:r>
      <w:r w:rsidR="00DD6F1B" w:rsidRPr="00722C5B">
        <w:rPr>
          <w:lang w:val="en-US"/>
        </w:rPr>
        <w:t>The i</w:t>
      </w:r>
      <w:r w:rsidR="008E2FE4" w:rsidRPr="00722C5B">
        <w:rPr>
          <w:lang w:val="en-US"/>
        </w:rPr>
        <w:t>nternal standar</w:t>
      </w:r>
      <w:r w:rsidR="00C83424" w:rsidRPr="00722C5B">
        <w:rPr>
          <w:lang w:val="en-US"/>
        </w:rPr>
        <w:t>d</w:t>
      </w:r>
      <w:r w:rsidR="008E2FE4" w:rsidRPr="00722C5B">
        <w:rPr>
          <w:lang w:val="en-US"/>
        </w:rPr>
        <w:t xml:space="preserve"> </w:t>
      </w:r>
      <w:r w:rsidR="00960082" w:rsidRPr="00722C5B">
        <w:rPr>
          <w:lang w:val="en-US"/>
        </w:rPr>
        <w:t xml:space="preserve">solution </w:t>
      </w:r>
      <w:r w:rsidR="008E2FE4" w:rsidRPr="00722C5B">
        <w:rPr>
          <w:lang w:val="en-US"/>
        </w:rPr>
        <w:t xml:space="preserve">was prepared in a </w:t>
      </w:r>
      <w:r w:rsidR="006656A9" w:rsidRPr="00722C5B">
        <w:rPr>
          <w:lang w:val="en-US"/>
        </w:rPr>
        <w:t>100</w:t>
      </w:r>
      <w:r w:rsidR="005E2C7E" w:rsidRPr="00722C5B">
        <w:rPr>
          <w:lang w:val="en-US"/>
        </w:rPr>
        <w:t> </w:t>
      </w:r>
      <w:r w:rsidR="006656A9" w:rsidRPr="00722C5B">
        <w:rPr>
          <w:lang w:val="en-US"/>
        </w:rPr>
        <w:t xml:space="preserve">mL </w:t>
      </w:r>
      <w:r w:rsidR="008E2FE4" w:rsidRPr="00722C5B">
        <w:rPr>
          <w:lang w:val="en-US"/>
        </w:rPr>
        <w:t xml:space="preserve">volumetric flask by dissolving methyl </w:t>
      </w:r>
      <w:proofErr w:type="spellStart"/>
      <w:r w:rsidR="00600B36" w:rsidRPr="00722C5B">
        <w:rPr>
          <w:lang w:val="en-US"/>
        </w:rPr>
        <w:t>tridecanoate</w:t>
      </w:r>
      <w:proofErr w:type="spellEnd"/>
      <w:r w:rsidR="00600B36" w:rsidRPr="00722C5B">
        <w:rPr>
          <w:lang w:val="en-US"/>
        </w:rPr>
        <w:t xml:space="preserve"> </w:t>
      </w:r>
      <w:r w:rsidR="008E2FE4" w:rsidRPr="00722C5B">
        <w:rPr>
          <w:lang w:val="en-US"/>
        </w:rPr>
        <w:t>(200</w:t>
      </w:r>
      <w:r w:rsidR="005E2C7E" w:rsidRPr="00722C5B">
        <w:rPr>
          <w:lang w:val="en-US"/>
        </w:rPr>
        <w:t>±0.1 </w:t>
      </w:r>
      <w:r w:rsidR="008E2FE4" w:rsidRPr="00722C5B">
        <w:rPr>
          <w:lang w:val="en-US"/>
        </w:rPr>
        <w:t xml:space="preserve">mg) in </w:t>
      </w:r>
      <w:r w:rsidR="00CF424E" w:rsidRPr="00722C5B">
        <w:rPr>
          <w:lang w:val="en-US"/>
        </w:rPr>
        <w:t xml:space="preserve">n-hexane. A </w:t>
      </w:r>
      <w:r w:rsidR="00E0723B">
        <w:rPr>
          <w:lang w:val="en-US"/>
        </w:rPr>
        <w:t>100 </w:t>
      </w:r>
      <w:r w:rsidR="005E2C7E" w:rsidRPr="00722C5B">
        <w:rPr>
          <w:lang w:val="en-US"/>
        </w:rPr>
        <w:t xml:space="preserve">mg </w:t>
      </w:r>
      <w:r w:rsidR="006D3CCD" w:rsidRPr="00722C5B">
        <w:rPr>
          <w:lang w:val="en-US"/>
        </w:rPr>
        <w:t>test</w:t>
      </w:r>
      <w:r w:rsidR="00600B36" w:rsidRPr="00722C5B">
        <w:rPr>
          <w:lang w:val="en-US"/>
        </w:rPr>
        <w:t xml:space="preserve"> portion</w:t>
      </w:r>
      <w:r w:rsidR="00CF424E" w:rsidRPr="00722C5B">
        <w:rPr>
          <w:lang w:val="en-US"/>
        </w:rPr>
        <w:t xml:space="preserve"> </w:t>
      </w:r>
      <w:r w:rsidR="008E2FE4" w:rsidRPr="00722C5B">
        <w:rPr>
          <w:lang w:val="en-US"/>
        </w:rPr>
        <w:t xml:space="preserve">was </w:t>
      </w:r>
      <w:r w:rsidR="005E2C7E" w:rsidRPr="00722C5B">
        <w:rPr>
          <w:lang w:val="en-US"/>
        </w:rPr>
        <w:t>weighed (to the nearest 0.1 </w:t>
      </w:r>
      <w:r w:rsidR="00CF424E" w:rsidRPr="00722C5B">
        <w:rPr>
          <w:lang w:val="en-US"/>
        </w:rPr>
        <w:t>mg) into a centrifuge tube (10</w:t>
      </w:r>
      <w:r w:rsidR="005E2C7E" w:rsidRPr="00722C5B">
        <w:rPr>
          <w:lang w:val="en-US"/>
        </w:rPr>
        <w:t> </w:t>
      </w:r>
      <w:r w:rsidR="008E2FE4" w:rsidRPr="00722C5B">
        <w:rPr>
          <w:lang w:val="en-US"/>
        </w:rPr>
        <w:t xml:space="preserve">mL) with a screw cap. The </w:t>
      </w:r>
      <w:proofErr w:type="spellStart"/>
      <w:r w:rsidR="00960082" w:rsidRPr="00722C5B">
        <w:rPr>
          <w:lang w:val="en-US"/>
        </w:rPr>
        <w:t>transesterification</w:t>
      </w:r>
      <w:proofErr w:type="spellEnd"/>
      <w:r w:rsidR="00960082" w:rsidRPr="00722C5B">
        <w:rPr>
          <w:lang w:val="en-US"/>
        </w:rPr>
        <w:t xml:space="preserve"> </w:t>
      </w:r>
      <w:r w:rsidR="00567FFB" w:rsidRPr="00722C5B">
        <w:rPr>
          <w:lang w:val="en-US"/>
        </w:rPr>
        <w:t xml:space="preserve">reaction </w:t>
      </w:r>
      <w:r w:rsidR="008E2FE4" w:rsidRPr="00722C5B">
        <w:rPr>
          <w:lang w:val="en-US"/>
        </w:rPr>
        <w:t>was conducted at room te</w:t>
      </w:r>
      <w:r w:rsidR="005E2C7E" w:rsidRPr="00722C5B">
        <w:rPr>
          <w:lang w:val="en-US"/>
        </w:rPr>
        <w:t>mperature for 3.5–4.0 </w:t>
      </w:r>
      <w:r w:rsidR="00C83424" w:rsidRPr="00722C5B">
        <w:rPr>
          <w:lang w:val="en-US"/>
        </w:rPr>
        <w:t xml:space="preserve">min after </w:t>
      </w:r>
      <w:r w:rsidR="008E2FE4" w:rsidRPr="00722C5B">
        <w:rPr>
          <w:lang w:val="en-US"/>
        </w:rPr>
        <w:t>addi</w:t>
      </w:r>
      <w:r w:rsidR="00CF424E" w:rsidRPr="00722C5B">
        <w:rPr>
          <w:lang w:val="en-US"/>
        </w:rPr>
        <w:t>ng</w:t>
      </w:r>
      <w:r w:rsidR="00567FFB" w:rsidRPr="00722C5B">
        <w:rPr>
          <w:lang w:val="en-US"/>
        </w:rPr>
        <w:t xml:space="preserve"> the</w:t>
      </w:r>
      <w:r w:rsidR="00CF424E" w:rsidRPr="00722C5B">
        <w:rPr>
          <w:lang w:val="en-US"/>
        </w:rPr>
        <w:t xml:space="preserve"> </w:t>
      </w:r>
      <w:r w:rsidR="003D4346" w:rsidRPr="00722C5B">
        <w:rPr>
          <w:lang w:val="en-US"/>
        </w:rPr>
        <w:t>2</w:t>
      </w:r>
      <w:r w:rsidR="004D03C5" w:rsidRPr="00722C5B">
        <w:rPr>
          <w:lang w:val="en-US"/>
        </w:rPr>
        <w:t> </w:t>
      </w:r>
      <w:r w:rsidR="003D4346" w:rsidRPr="00722C5B">
        <w:rPr>
          <w:lang w:val="en-US"/>
        </w:rPr>
        <w:t xml:space="preserve">mL of </w:t>
      </w:r>
      <w:r w:rsidR="00CF424E" w:rsidRPr="00722C5B">
        <w:rPr>
          <w:lang w:val="en-US"/>
        </w:rPr>
        <w:t xml:space="preserve">internal standard solution </w:t>
      </w:r>
      <w:r w:rsidR="00567FFB" w:rsidRPr="00722C5B">
        <w:rPr>
          <w:lang w:val="en-US"/>
        </w:rPr>
        <w:t>and</w:t>
      </w:r>
      <w:r w:rsidR="008E2FE4" w:rsidRPr="00722C5B">
        <w:rPr>
          <w:lang w:val="en-US"/>
        </w:rPr>
        <w:t xml:space="preserve"> </w:t>
      </w:r>
      <w:r w:rsidR="00D12850" w:rsidRPr="00722C5B">
        <w:rPr>
          <w:lang w:val="en-US"/>
        </w:rPr>
        <w:t>0.</w:t>
      </w:r>
      <w:r w:rsidR="003D4346" w:rsidRPr="00722C5B">
        <w:rPr>
          <w:lang w:val="en-US"/>
        </w:rPr>
        <w:t>2</w:t>
      </w:r>
      <w:r w:rsidR="004D03C5" w:rsidRPr="00722C5B">
        <w:rPr>
          <w:lang w:val="en-US"/>
        </w:rPr>
        <w:t> </w:t>
      </w:r>
      <w:r w:rsidR="003D4346" w:rsidRPr="00722C5B">
        <w:rPr>
          <w:lang w:val="en-US"/>
        </w:rPr>
        <w:t xml:space="preserve">mL of </w:t>
      </w:r>
      <w:proofErr w:type="spellStart"/>
      <w:r w:rsidR="008E2FE4" w:rsidRPr="00722C5B">
        <w:rPr>
          <w:lang w:val="en-US"/>
        </w:rPr>
        <w:t>methanolic</w:t>
      </w:r>
      <w:proofErr w:type="spellEnd"/>
      <w:r w:rsidR="008E2FE4" w:rsidRPr="00722C5B">
        <w:rPr>
          <w:lang w:val="en-US"/>
        </w:rPr>
        <w:t xml:space="preserve"> </w:t>
      </w:r>
      <w:r w:rsidR="00CF424E" w:rsidRPr="00722C5B">
        <w:rPr>
          <w:lang w:val="en-US"/>
        </w:rPr>
        <w:t>potassium</w:t>
      </w:r>
      <w:r w:rsidR="00C83424" w:rsidRPr="00722C5B">
        <w:rPr>
          <w:lang w:val="en-US"/>
        </w:rPr>
        <w:t xml:space="preserve"> </w:t>
      </w:r>
      <w:r w:rsidR="00CF424E" w:rsidRPr="00722C5B">
        <w:rPr>
          <w:lang w:val="en-US"/>
        </w:rPr>
        <w:t xml:space="preserve">hydroxide </w:t>
      </w:r>
      <w:r w:rsidR="008E2FE4" w:rsidRPr="00722C5B">
        <w:rPr>
          <w:lang w:val="en-US"/>
        </w:rPr>
        <w:t>(</w:t>
      </w:r>
      <w:r w:rsidR="005E2C7E" w:rsidRPr="00722C5B">
        <w:rPr>
          <w:lang w:val="en-US"/>
        </w:rPr>
        <w:t>2 </w:t>
      </w:r>
      <w:r w:rsidR="00CF424E" w:rsidRPr="00722C5B">
        <w:rPr>
          <w:lang w:val="en-US"/>
        </w:rPr>
        <w:t>N</w:t>
      </w:r>
      <w:r w:rsidR="00C83424" w:rsidRPr="00722C5B">
        <w:rPr>
          <w:lang w:val="en-US"/>
        </w:rPr>
        <w:t>)</w:t>
      </w:r>
      <w:r w:rsidR="003D4346" w:rsidRPr="00722C5B">
        <w:rPr>
          <w:lang w:val="en-US"/>
        </w:rPr>
        <w:t xml:space="preserve"> to the sample </w:t>
      </w:r>
      <w:r w:rsidR="00425F47" w:rsidRPr="00722C5B">
        <w:rPr>
          <w:lang w:val="en-US"/>
        </w:rPr>
        <w:t xml:space="preserve">vessel </w:t>
      </w:r>
      <w:r w:rsidR="003D4346" w:rsidRPr="00722C5B">
        <w:rPr>
          <w:lang w:val="en-US"/>
        </w:rPr>
        <w:t xml:space="preserve">followed by </w:t>
      </w:r>
      <w:proofErr w:type="spellStart"/>
      <w:r w:rsidR="00471106" w:rsidRPr="00722C5B">
        <w:rPr>
          <w:lang w:val="en-US"/>
        </w:rPr>
        <w:t>vortexing</w:t>
      </w:r>
      <w:proofErr w:type="spellEnd"/>
      <w:r w:rsidR="00471106" w:rsidRPr="00722C5B">
        <w:rPr>
          <w:lang w:val="en-US"/>
        </w:rPr>
        <w:t xml:space="preserve"> for 2</w:t>
      </w:r>
      <w:r w:rsidR="004D03C5" w:rsidRPr="00722C5B">
        <w:rPr>
          <w:lang w:val="en-US"/>
        </w:rPr>
        <w:t> </w:t>
      </w:r>
      <w:r w:rsidR="00471106" w:rsidRPr="00722C5B">
        <w:rPr>
          <w:lang w:val="en-US"/>
        </w:rPr>
        <w:t>min</w:t>
      </w:r>
      <w:r w:rsidR="008E2FE4" w:rsidRPr="00722C5B">
        <w:rPr>
          <w:lang w:val="en-US"/>
        </w:rPr>
        <w:t xml:space="preserve">. </w:t>
      </w:r>
      <w:r w:rsidR="005E2C7E" w:rsidRPr="00722C5B">
        <w:rPr>
          <w:lang w:val="en-US"/>
        </w:rPr>
        <w:t>After centrifugation for 5 min at 2000 </w:t>
      </w:r>
      <w:r w:rsidR="00A82C69" w:rsidRPr="00722C5B">
        <w:rPr>
          <w:lang w:val="en-US"/>
        </w:rPr>
        <w:t xml:space="preserve">rpm, the upper organic layer was </w:t>
      </w:r>
      <w:r w:rsidR="003D4346" w:rsidRPr="00722C5B">
        <w:rPr>
          <w:lang w:val="en-US"/>
        </w:rPr>
        <w:t xml:space="preserve">collected and </w:t>
      </w:r>
      <w:r w:rsidR="00A82C69" w:rsidRPr="00722C5B">
        <w:rPr>
          <w:lang w:val="en-US"/>
        </w:rPr>
        <w:t xml:space="preserve">diluted with </w:t>
      </w:r>
      <w:r w:rsidR="00DA5EB0" w:rsidRPr="00722C5B">
        <w:rPr>
          <w:lang w:val="en-US"/>
        </w:rPr>
        <w:t xml:space="preserve">a </w:t>
      </w:r>
      <w:r w:rsidR="00A82C69" w:rsidRPr="00722C5B">
        <w:rPr>
          <w:lang w:val="en-US"/>
        </w:rPr>
        <w:t xml:space="preserve">subsequent </w:t>
      </w:r>
      <w:r w:rsidR="00DA5EB0" w:rsidRPr="00722C5B">
        <w:rPr>
          <w:lang w:val="en-US"/>
        </w:rPr>
        <w:t xml:space="preserve">1 </w:t>
      </w:r>
      <w:r w:rsidR="00A82C69" w:rsidRPr="00722C5B">
        <w:rPr>
          <w:lang w:val="en-US"/>
        </w:rPr>
        <w:t xml:space="preserve">mL of hexane before GC analysis. </w:t>
      </w:r>
      <w:r w:rsidR="008E2FE4" w:rsidRPr="00722C5B">
        <w:rPr>
          <w:lang w:val="en-US"/>
        </w:rPr>
        <w:t xml:space="preserve">Analysis of FA </w:t>
      </w:r>
      <w:r w:rsidR="00600B36" w:rsidRPr="00722C5B">
        <w:rPr>
          <w:lang w:val="en-US"/>
        </w:rPr>
        <w:t xml:space="preserve">profile </w:t>
      </w:r>
      <w:r w:rsidR="008E2FE4" w:rsidRPr="00722C5B">
        <w:rPr>
          <w:lang w:val="en-US"/>
        </w:rPr>
        <w:t>were performed on a gas chromatograph (</w:t>
      </w:r>
      <w:r w:rsidR="00A82C69" w:rsidRPr="00722C5B">
        <w:rPr>
          <w:lang w:val="en-US"/>
        </w:rPr>
        <w:t>Ag</w:t>
      </w:r>
      <w:r w:rsidR="00CF424E" w:rsidRPr="00722C5B">
        <w:rPr>
          <w:lang w:val="en-US"/>
        </w:rPr>
        <w:t>i</w:t>
      </w:r>
      <w:r w:rsidR="00A82C69" w:rsidRPr="00722C5B">
        <w:rPr>
          <w:lang w:val="en-US"/>
        </w:rPr>
        <w:t xml:space="preserve">lent </w:t>
      </w:r>
      <w:r w:rsidR="00CF424E" w:rsidRPr="00722C5B">
        <w:rPr>
          <w:lang w:val="en-US"/>
        </w:rPr>
        <w:t>6890N</w:t>
      </w:r>
      <w:r w:rsidR="008E2FE4" w:rsidRPr="00722C5B">
        <w:rPr>
          <w:lang w:val="en-US"/>
        </w:rPr>
        <w:t>), equipped with a fused-silica CP-</w:t>
      </w:r>
      <w:proofErr w:type="spellStart"/>
      <w:r w:rsidR="008E2FE4" w:rsidRPr="00722C5B">
        <w:rPr>
          <w:lang w:val="en-US"/>
        </w:rPr>
        <w:t>Sil</w:t>
      </w:r>
      <w:proofErr w:type="spellEnd"/>
      <w:r w:rsidR="008E2FE4" w:rsidRPr="00722C5B">
        <w:rPr>
          <w:lang w:val="en-US"/>
        </w:rPr>
        <w:t xml:space="preserve"> 88 capillary</w:t>
      </w:r>
      <w:r w:rsidR="006D3CCD" w:rsidRPr="00722C5B">
        <w:rPr>
          <w:lang w:val="en-US"/>
        </w:rPr>
        <w:t xml:space="preserve"> column </w:t>
      </w:r>
      <w:r w:rsidR="008E2FE4" w:rsidRPr="00722C5B">
        <w:rPr>
          <w:lang w:val="en-US"/>
        </w:rPr>
        <w:t xml:space="preserve">(100% </w:t>
      </w:r>
      <w:proofErr w:type="spellStart"/>
      <w:r w:rsidR="008E2FE4" w:rsidRPr="00722C5B">
        <w:rPr>
          <w:lang w:val="en-US"/>
        </w:rPr>
        <w:t>cyanopropylpolysiloxane</w:t>
      </w:r>
      <w:proofErr w:type="spellEnd"/>
      <w:r w:rsidR="008E2FE4" w:rsidRPr="00722C5B">
        <w:rPr>
          <w:lang w:val="en-US"/>
        </w:rPr>
        <w:t>, 100</w:t>
      </w:r>
      <w:r w:rsidR="005E2C7E" w:rsidRPr="00722C5B">
        <w:rPr>
          <w:lang w:val="en-US"/>
        </w:rPr>
        <w:t> </w:t>
      </w:r>
      <w:r w:rsidR="008E2FE4" w:rsidRPr="00722C5B">
        <w:rPr>
          <w:lang w:val="en-US"/>
        </w:rPr>
        <w:t>m×0.25</w:t>
      </w:r>
      <w:r w:rsidR="005E2C7E" w:rsidRPr="00722C5B">
        <w:rPr>
          <w:lang w:val="en-US"/>
        </w:rPr>
        <w:t> </w:t>
      </w:r>
      <w:r w:rsidR="008E2FE4" w:rsidRPr="00722C5B">
        <w:rPr>
          <w:lang w:val="en-US"/>
        </w:rPr>
        <w:t>mm</w:t>
      </w:r>
      <w:r w:rsidR="00A82C69" w:rsidRPr="00722C5B">
        <w:rPr>
          <w:lang w:val="en-US"/>
        </w:rPr>
        <w:t xml:space="preserve"> </w:t>
      </w:r>
      <w:r w:rsidR="00567FFB" w:rsidRPr="00722C5B">
        <w:rPr>
          <w:lang w:val="en-US"/>
        </w:rPr>
        <w:t>internal diameter,</w:t>
      </w:r>
      <w:r w:rsidR="008E2FE4" w:rsidRPr="00722C5B">
        <w:rPr>
          <w:lang w:val="en-US"/>
        </w:rPr>
        <w:t xml:space="preserve"> </w:t>
      </w:r>
      <w:r w:rsidR="00567FFB" w:rsidRPr="00722C5B">
        <w:rPr>
          <w:lang w:val="en-US"/>
        </w:rPr>
        <w:t xml:space="preserve">and a </w:t>
      </w:r>
      <w:r w:rsidR="008E2FE4" w:rsidRPr="00722C5B">
        <w:rPr>
          <w:lang w:val="en-US"/>
        </w:rPr>
        <w:t>0.25</w:t>
      </w:r>
      <w:r w:rsidR="005E2C7E" w:rsidRPr="00722C5B">
        <w:rPr>
          <w:lang w:val="en-US"/>
        </w:rPr>
        <w:t> </w:t>
      </w:r>
      <w:r w:rsidR="008E2FE4" w:rsidRPr="00722C5B">
        <w:rPr>
          <w:lang w:val="en-US"/>
        </w:rPr>
        <w:t>m film thickne</w:t>
      </w:r>
      <w:r w:rsidR="00567FFB" w:rsidRPr="00722C5B">
        <w:rPr>
          <w:lang w:val="en-US"/>
        </w:rPr>
        <w:t>ss;</w:t>
      </w:r>
      <w:r w:rsidR="00CF424E" w:rsidRPr="00722C5B">
        <w:rPr>
          <w:lang w:val="en-US"/>
        </w:rPr>
        <w:t xml:space="preserve"> </w:t>
      </w:r>
      <w:r w:rsidR="00600B36" w:rsidRPr="00722C5B">
        <w:rPr>
          <w:lang w:val="en-US"/>
        </w:rPr>
        <w:t xml:space="preserve">Agilent Technologies Netherlands B.V., </w:t>
      </w:r>
      <w:proofErr w:type="spellStart"/>
      <w:r w:rsidR="00600B36" w:rsidRPr="00722C5B">
        <w:rPr>
          <w:lang w:val="en-US"/>
        </w:rPr>
        <w:t>Groenelaan</w:t>
      </w:r>
      <w:proofErr w:type="spellEnd"/>
      <w:r w:rsidR="00600B36" w:rsidRPr="00722C5B">
        <w:rPr>
          <w:lang w:val="en-US"/>
        </w:rPr>
        <w:t xml:space="preserve"> 5 Amstelveen 1186 AA, Netherlands</w:t>
      </w:r>
      <w:r w:rsidR="00CF424E" w:rsidRPr="00722C5B">
        <w:rPr>
          <w:lang w:val="en-US"/>
        </w:rPr>
        <w:t>)</w:t>
      </w:r>
      <w:r w:rsidR="00600B36" w:rsidRPr="00722C5B">
        <w:rPr>
          <w:lang w:val="en-US"/>
        </w:rPr>
        <w:t xml:space="preserve">. </w:t>
      </w:r>
      <w:r w:rsidR="00567FFB" w:rsidRPr="00722C5B">
        <w:rPr>
          <w:lang w:val="en-US"/>
        </w:rPr>
        <w:t>The s</w:t>
      </w:r>
      <w:r w:rsidR="00CF424E" w:rsidRPr="00722C5B">
        <w:rPr>
          <w:lang w:val="en-US"/>
        </w:rPr>
        <w:t xml:space="preserve">plit </w:t>
      </w:r>
      <w:r w:rsidR="008E2FE4" w:rsidRPr="00722C5B">
        <w:rPr>
          <w:lang w:val="en-US"/>
        </w:rPr>
        <w:t xml:space="preserve">injector </w:t>
      </w:r>
      <w:r w:rsidR="005E2C7E" w:rsidRPr="00722C5B">
        <w:rPr>
          <w:lang w:val="en-US"/>
        </w:rPr>
        <w:t>temperature was set at 2</w:t>
      </w:r>
      <w:r w:rsidR="00E0723B">
        <w:rPr>
          <w:lang w:val="en-US"/>
        </w:rPr>
        <w:t>2</w:t>
      </w:r>
      <w:r w:rsidR="005E2C7E" w:rsidRPr="00722C5B">
        <w:rPr>
          <w:lang w:val="en-US"/>
        </w:rPr>
        <w:t>0 </w:t>
      </w:r>
      <w:r w:rsidR="00600B36" w:rsidRPr="00722C5B">
        <w:rPr>
          <w:lang w:val="en-US"/>
        </w:rPr>
        <w:t xml:space="preserve">°C and </w:t>
      </w:r>
      <w:r w:rsidR="00567FFB" w:rsidRPr="00722C5B">
        <w:rPr>
          <w:lang w:val="en-US"/>
        </w:rPr>
        <w:t xml:space="preserve">the </w:t>
      </w:r>
      <w:r w:rsidR="008E2FE4" w:rsidRPr="00722C5B">
        <w:rPr>
          <w:lang w:val="en-US"/>
        </w:rPr>
        <w:t>flam</w:t>
      </w:r>
      <w:r w:rsidR="00CF424E" w:rsidRPr="00722C5B">
        <w:rPr>
          <w:lang w:val="en-US"/>
        </w:rPr>
        <w:t xml:space="preserve">e-ionization detector </w:t>
      </w:r>
      <w:r w:rsidR="00567FFB" w:rsidRPr="00722C5B">
        <w:rPr>
          <w:lang w:val="en-US"/>
        </w:rPr>
        <w:t xml:space="preserve">was set </w:t>
      </w:r>
      <w:r w:rsidR="005E2C7E" w:rsidRPr="00722C5B">
        <w:rPr>
          <w:lang w:val="en-US"/>
        </w:rPr>
        <w:t>at 280</w:t>
      </w:r>
      <w:r w:rsidR="004D03C5" w:rsidRPr="00722C5B">
        <w:rPr>
          <w:lang w:val="en-US"/>
        </w:rPr>
        <w:t> °</w:t>
      </w:r>
      <w:r w:rsidR="00600B36" w:rsidRPr="00722C5B">
        <w:rPr>
          <w:lang w:val="en-US"/>
        </w:rPr>
        <w:t>C.</w:t>
      </w:r>
    </w:p>
    <w:p w:rsidR="00A82C69" w:rsidRPr="00722C5B" w:rsidRDefault="00567FFB" w:rsidP="005C4A26">
      <w:pPr>
        <w:spacing w:line="480" w:lineRule="auto"/>
        <w:ind w:firstLine="284"/>
        <w:jc w:val="both"/>
        <w:rPr>
          <w:lang w:val="en-US"/>
        </w:rPr>
      </w:pPr>
      <w:r w:rsidRPr="00722C5B">
        <w:rPr>
          <w:lang w:val="en-US"/>
        </w:rPr>
        <w:lastRenderedPageBreak/>
        <w:t>The o</w:t>
      </w:r>
      <w:r w:rsidR="008E2FE4" w:rsidRPr="00722C5B">
        <w:rPr>
          <w:lang w:val="en-US"/>
        </w:rPr>
        <w:t>ven temperature programming</w:t>
      </w:r>
      <w:r w:rsidR="00CF424E" w:rsidRPr="00722C5B">
        <w:rPr>
          <w:lang w:val="en-US"/>
        </w:rPr>
        <w:t xml:space="preserve"> </w:t>
      </w:r>
      <w:r w:rsidR="00115773" w:rsidRPr="00722C5B">
        <w:rPr>
          <w:lang w:val="en-US"/>
        </w:rPr>
        <w:t>was</w:t>
      </w:r>
      <w:r w:rsidRPr="00722C5B">
        <w:rPr>
          <w:lang w:val="en-US"/>
        </w:rPr>
        <w:t xml:space="preserve"> as follows:</w:t>
      </w:r>
      <w:r w:rsidR="00115773" w:rsidRPr="00722C5B">
        <w:rPr>
          <w:lang w:val="en-US"/>
        </w:rPr>
        <w:t xml:space="preserve"> </w:t>
      </w:r>
      <w:r w:rsidR="00CF424E" w:rsidRPr="00722C5B">
        <w:rPr>
          <w:lang w:val="en-US"/>
        </w:rPr>
        <w:t xml:space="preserve">isothermal </w:t>
      </w:r>
      <w:r w:rsidRPr="00722C5B">
        <w:rPr>
          <w:lang w:val="en-US"/>
        </w:rPr>
        <w:t xml:space="preserve">at 60 °C </w:t>
      </w:r>
      <w:r w:rsidR="00CF424E" w:rsidRPr="00722C5B">
        <w:rPr>
          <w:lang w:val="en-US"/>
        </w:rPr>
        <w:t xml:space="preserve">for </w:t>
      </w:r>
      <w:r w:rsidR="00600B36" w:rsidRPr="00722C5B">
        <w:rPr>
          <w:lang w:val="en-US"/>
        </w:rPr>
        <w:t>1</w:t>
      </w:r>
      <w:r w:rsidR="005E2C7E" w:rsidRPr="00722C5B">
        <w:rPr>
          <w:lang w:val="en-US"/>
        </w:rPr>
        <w:t> </w:t>
      </w:r>
      <w:r w:rsidR="00CF424E" w:rsidRPr="00722C5B">
        <w:rPr>
          <w:lang w:val="en-US"/>
        </w:rPr>
        <w:t xml:space="preserve">min, </w:t>
      </w:r>
      <w:r w:rsidR="005E2C7E" w:rsidRPr="00722C5B">
        <w:rPr>
          <w:lang w:val="en-US"/>
        </w:rPr>
        <w:t>increased to 165 </w:t>
      </w:r>
      <w:r w:rsidR="00115773" w:rsidRPr="00722C5B">
        <w:rPr>
          <w:lang w:val="en-US"/>
        </w:rPr>
        <w:t>°</w:t>
      </w:r>
      <w:r w:rsidR="008E2FE4" w:rsidRPr="00722C5B">
        <w:rPr>
          <w:lang w:val="en-US"/>
        </w:rPr>
        <w:t>C at 15</w:t>
      </w:r>
      <w:r w:rsidR="005E2C7E" w:rsidRPr="00722C5B">
        <w:rPr>
          <w:lang w:val="en-US"/>
        </w:rPr>
        <w:t> </w:t>
      </w:r>
      <w:r w:rsidR="00600B36" w:rsidRPr="00722C5B">
        <w:rPr>
          <w:lang w:val="en-US"/>
        </w:rPr>
        <w:t>°</w:t>
      </w:r>
      <w:r w:rsidR="008E2FE4" w:rsidRPr="00722C5B">
        <w:rPr>
          <w:lang w:val="en-US"/>
        </w:rPr>
        <w:t>C/mi</w:t>
      </w:r>
      <w:r w:rsidR="005E2C7E" w:rsidRPr="00722C5B">
        <w:rPr>
          <w:lang w:val="en-US"/>
        </w:rPr>
        <w:t>n, isothermal for 1 </w:t>
      </w:r>
      <w:r w:rsidR="00CF424E" w:rsidRPr="00722C5B">
        <w:rPr>
          <w:lang w:val="en-US"/>
        </w:rPr>
        <w:t xml:space="preserve">min at this </w:t>
      </w:r>
      <w:r w:rsidR="008E2FE4" w:rsidRPr="00722C5B">
        <w:rPr>
          <w:lang w:val="en-US"/>
        </w:rPr>
        <w:t>temperatu</w:t>
      </w:r>
      <w:r w:rsidR="00600B36" w:rsidRPr="00722C5B">
        <w:rPr>
          <w:lang w:val="en-US"/>
        </w:rPr>
        <w:t>re then increased to 225</w:t>
      </w:r>
      <w:r w:rsidR="005E2C7E" w:rsidRPr="00722C5B">
        <w:rPr>
          <w:lang w:val="en-US"/>
        </w:rPr>
        <w:t> </w:t>
      </w:r>
      <w:r w:rsidR="00600B36" w:rsidRPr="00722C5B">
        <w:rPr>
          <w:lang w:val="en-US"/>
        </w:rPr>
        <w:t>°C at 3</w:t>
      </w:r>
      <w:r w:rsidR="005E2C7E" w:rsidRPr="00722C5B">
        <w:rPr>
          <w:lang w:val="en-US"/>
        </w:rPr>
        <w:t> </w:t>
      </w:r>
      <w:r w:rsidR="00600B36" w:rsidRPr="00722C5B">
        <w:rPr>
          <w:lang w:val="en-US"/>
        </w:rPr>
        <w:t>°</w:t>
      </w:r>
      <w:r w:rsidR="008E2FE4" w:rsidRPr="00722C5B">
        <w:rPr>
          <w:lang w:val="en-US"/>
        </w:rPr>
        <w:t>C/min and held</w:t>
      </w:r>
      <w:r w:rsidR="00CF424E" w:rsidRPr="00722C5B">
        <w:rPr>
          <w:lang w:val="en-US"/>
        </w:rPr>
        <w:t xml:space="preserve"> </w:t>
      </w:r>
      <w:r w:rsidR="00600B36" w:rsidRPr="00722C5B">
        <w:rPr>
          <w:lang w:val="en-US"/>
        </w:rPr>
        <w:t>isothermal at 225</w:t>
      </w:r>
      <w:r w:rsidR="005E2C7E" w:rsidRPr="00722C5B">
        <w:rPr>
          <w:lang w:val="en-US"/>
        </w:rPr>
        <w:t> </w:t>
      </w:r>
      <w:r w:rsidR="00600B36" w:rsidRPr="00722C5B">
        <w:rPr>
          <w:lang w:val="en-US"/>
        </w:rPr>
        <w:t>°</w:t>
      </w:r>
      <w:r w:rsidR="008E2FE4" w:rsidRPr="00722C5B">
        <w:rPr>
          <w:lang w:val="en-US"/>
        </w:rPr>
        <w:t>C</w:t>
      </w:r>
      <w:r w:rsidRPr="00722C5B">
        <w:rPr>
          <w:lang w:val="en-US"/>
        </w:rPr>
        <w:t xml:space="preserve"> for 18min</w:t>
      </w:r>
      <w:r w:rsidR="008E2FE4" w:rsidRPr="00722C5B">
        <w:rPr>
          <w:lang w:val="en-US"/>
        </w:rPr>
        <w:t>. Th</w:t>
      </w:r>
      <w:r w:rsidR="00CF424E" w:rsidRPr="00722C5B">
        <w:rPr>
          <w:lang w:val="en-US"/>
        </w:rPr>
        <w:t xml:space="preserve">e inlet pressure of the carrier </w:t>
      </w:r>
      <w:r w:rsidR="008E2FE4" w:rsidRPr="00722C5B">
        <w:rPr>
          <w:lang w:val="en-US"/>
        </w:rPr>
        <w:t>gas (</w:t>
      </w:r>
      <w:r w:rsidRPr="00722C5B">
        <w:rPr>
          <w:lang w:val="en-US"/>
        </w:rPr>
        <w:t>h</w:t>
      </w:r>
      <w:r w:rsidR="00600B36" w:rsidRPr="00722C5B">
        <w:rPr>
          <w:lang w:val="en-US"/>
        </w:rPr>
        <w:t xml:space="preserve">ydrogen purity &gt;99.9%) </w:t>
      </w:r>
      <w:r w:rsidR="008E2FE4" w:rsidRPr="00722C5B">
        <w:rPr>
          <w:lang w:val="en-US"/>
        </w:rPr>
        <w:t xml:space="preserve">was </w:t>
      </w:r>
      <w:r w:rsidR="00115773" w:rsidRPr="00722C5B">
        <w:rPr>
          <w:lang w:val="en-US"/>
        </w:rPr>
        <w:t xml:space="preserve">fixed at </w:t>
      </w:r>
      <w:r w:rsidR="005E2C7E" w:rsidRPr="00722C5B">
        <w:rPr>
          <w:lang w:val="en-US"/>
        </w:rPr>
        <w:t>350 </w:t>
      </w:r>
      <w:proofErr w:type="spellStart"/>
      <w:r w:rsidR="00600B36" w:rsidRPr="00722C5B">
        <w:rPr>
          <w:lang w:val="en-US"/>
        </w:rPr>
        <w:t>kPa</w:t>
      </w:r>
      <w:proofErr w:type="spellEnd"/>
      <w:r w:rsidR="00600B36" w:rsidRPr="00722C5B">
        <w:rPr>
          <w:lang w:val="en-US"/>
        </w:rPr>
        <w:t xml:space="preserve">, </w:t>
      </w:r>
      <w:r w:rsidR="006D3CCD" w:rsidRPr="00722C5B">
        <w:rPr>
          <w:lang w:val="en-US"/>
        </w:rPr>
        <w:t xml:space="preserve">the </w:t>
      </w:r>
      <w:r w:rsidR="00600B36" w:rsidRPr="00722C5B">
        <w:rPr>
          <w:lang w:val="en-US"/>
        </w:rPr>
        <w:t xml:space="preserve">split flow </w:t>
      </w:r>
      <w:r w:rsidR="006D3CCD" w:rsidRPr="00722C5B">
        <w:rPr>
          <w:lang w:val="en-US"/>
        </w:rPr>
        <w:t xml:space="preserve">was </w:t>
      </w:r>
      <w:r w:rsidR="00115773" w:rsidRPr="00722C5B">
        <w:rPr>
          <w:lang w:val="en-US"/>
        </w:rPr>
        <w:t xml:space="preserve">set </w:t>
      </w:r>
      <w:r w:rsidR="005E2C7E" w:rsidRPr="00722C5B">
        <w:rPr>
          <w:lang w:val="en-US"/>
        </w:rPr>
        <w:t>at 80 </w:t>
      </w:r>
      <w:r w:rsidR="00600B36" w:rsidRPr="00722C5B">
        <w:rPr>
          <w:lang w:val="en-US"/>
        </w:rPr>
        <w:t>mL/min</w:t>
      </w:r>
      <w:r w:rsidR="00A83B88" w:rsidRPr="00722C5B">
        <w:rPr>
          <w:lang w:val="en-US"/>
        </w:rPr>
        <w:t>,</w:t>
      </w:r>
      <w:r w:rsidR="00600B36" w:rsidRPr="00722C5B">
        <w:rPr>
          <w:lang w:val="en-US"/>
        </w:rPr>
        <w:t xml:space="preserve"> and </w:t>
      </w:r>
      <w:r w:rsidR="006D3CCD" w:rsidRPr="00722C5B">
        <w:rPr>
          <w:lang w:val="en-US"/>
        </w:rPr>
        <w:t xml:space="preserve">the corresponding </w:t>
      </w:r>
      <w:r w:rsidR="00600B36" w:rsidRPr="00722C5B">
        <w:rPr>
          <w:lang w:val="en-US"/>
        </w:rPr>
        <w:t xml:space="preserve">split ratio </w:t>
      </w:r>
      <w:r w:rsidR="006D3CCD" w:rsidRPr="00722C5B">
        <w:rPr>
          <w:lang w:val="en-US"/>
        </w:rPr>
        <w:t>was</w:t>
      </w:r>
      <w:r w:rsidR="00600B36" w:rsidRPr="00722C5B">
        <w:rPr>
          <w:lang w:val="en-US"/>
        </w:rPr>
        <w:t xml:space="preserve"> 35:1. </w:t>
      </w:r>
      <w:r w:rsidR="005E2C7E" w:rsidRPr="00722C5B">
        <w:rPr>
          <w:lang w:val="en-US"/>
        </w:rPr>
        <w:t>A 1.0 </w:t>
      </w:r>
      <w:r w:rsidR="006D3CCD" w:rsidRPr="00722C5B">
        <w:rPr>
          <w:lang w:val="en-US"/>
        </w:rPr>
        <w:t xml:space="preserve">µL </w:t>
      </w:r>
      <w:r w:rsidR="005E2C7E" w:rsidRPr="00722C5B">
        <w:rPr>
          <w:lang w:val="en-US"/>
        </w:rPr>
        <w:t xml:space="preserve">aliquot of each sample and </w:t>
      </w:r>
      <w:r w:rsidR="006D3CCD" w:rsidRPr="00722C5B">
        <w:rPr>
          <w:lang w:val="en-US"/>
        </w:rPr>
        <w:t>standard solution were injected</w:t>
      </w:r>
      <w:r w:rsidR="00A83B88" w:rsidRPr="00722C5B">
        <w:rPr>
          <w:lang w:val="en-US"/>
        </w:rPr>
        <w:t xml:space="preserve"> for analysis</w:t>
      </w:r>
      <w:r w:rsidR="006D3CCD" w:rsidRPr="00722C5B">
        <w:rPr>
          <w:lang w:val="en-US"/>
        </w:rPr>
        <w:t xml:space="preserve">. </w:t>
      </w:r>
      <w:r w:rsidR="00DD6F1B" w:rsidRPr="00722C5B">
        <w:rPr>
          <w:lang w:val="en-US"/>
        </w:rPr>
        <w:t>FA methyl ester</w:t>
      </w:r>
      <w:r w:rsidR="006D3CCD" w:rsidRPr="00722C5B">
        <w:rPr>
          <w:lang w:val="en-US"/>
        </w:rPr>
        <w:t xml:space="preserve"> response factors relative to methyl </w:t>
      </w:r>
      <w:proofErr w:type="spellStart"/>
      <w:r w:rsidR="006D3CCD" w:rsidRPr="00722C5B">
        <w:rPr>
          <w:lang w:val="en-US"/>
        </w:rPr>
        <w:t>tridecanoate</w:t>
      </w:r>
      <w:proofErr w:type="spellEnd"/>
      <w:r w:rsidR="006D3CCD" w:rsidRPr="00722C5B">
        <w:rPr>
          <w:lang w:val="en-US"/>
        </w:rPr>
        <w:t xml:space="preserve"> used as internal standard were determined using a calibration standard solution (GLC-Nest</w:t>
      </w:r>
      <w:r w:rsidR="00C02A5D" w:rsidRPr="00722C5B">
        <w:rPr>
          <w:lang w:val="en-US"/>
        </w:rPr>
        <w:t>le36 from Nu-</w:t>
      </w:r>
      <w:proofErr w:type="spellStart"/>
      <w:r w:rsidR="00C02A5D" w:rsidRPr="00722C5B">
        <w:rPr>
          <w:lang w:val="en-US"/>
        </w:rPr>
        <w:t>Ch</w:t>
      </w:r>
      <w:r w:rsidR="006D3CCD" w:rsidRPr="00722C5B">
        <w:rPr>
          <w:lang w:val="en-US"/>
        </w:rPr>
        <w:t>ek</w:t>
      </w:r>
      <w:proofErr w:type="spellEnd"/>
      <w:r w:rsidR="006D3CCD" w:rsidRPr="00722C5B">
        <w:rPr>
          <w:lang w:val="en-US"/>
        </w:rPr>
        <w:t xml:space="preserve">-Prep) </w:t>
      </w:r>
      <w:r w:rsidR="00115773" w:rsidRPr="00722C5B">
        <w:rPr>
          <w:lang w:val="en-US"/>
        </w:rPr>
        <w:t xml:space="preserve">and corresponding peaks were identified in samples by the comparison of retention times (RT) determined </w:t>
      </w:r>
      <w:r w:rsidR="00450977" w:rsidRPr="00722C5B">
        <w:rPr>
          <w:lang w:val="en-US"/>
        </w:rPr>
        <w:t>with</w:t>
      </w:r>
      <w:r w:rsidR="00115773" w:rsidRPr="00722C5B">
        <w:rPr>
          <w:lang w:val="en-US"/>
        </w:rPr>
        <w:t xml:space="preserve"> the calibration standard. The </w:t>
      </w:r>
      <w:r w:rsidR="00D76C59" w:rsidRPr="00722C5B">
        <w:rPr>
          <w:lang w:val="en-US"/>
        </w:rPr>
        <w:t>FA</w:t>
      </w:r>
      <w:r w:rsidR="00115773" w:rsidRPr="00722C5B">
        <w:rPr>
          <w:lang w:val="en-US"/>
        </w:rPr>
        <w:t xml:space="preserve"> profile w</w:t>
      </w:r>
      <w:r w:rsidR="00D76C59" w:rsidRPr="00722C5B">
        <w:rPr>
          <w:lang w:val="en-US"/>
        </w:rPr>
        <w:t>as</w:t>
      </w:r>
      <w:r w:rsidR="00115773" w:rsidRPr="00722C5B">
        <w:rPr>
          <w:lang w:val="en-US"/>
        </w:rPr>
        <w:t xml:space="preserve"> then calculated using methyl </w:t>
      </w:r>
      <w:proofErr w:type="spellStart"/>
      <w:r w:rsidR="00115773" w:rsidRPr="00722C5B">
        <w:rPr>
          <w:lang w:val="en-US"/>
        </w:rPr>
        <w:t>tridecanoate</w:t>
      </w:r>
      <w:proofErr w:type="spellEnd"/>
      <w:r w:rsidR="00115773" w:rsidRPr="00722C5B">
        <w:rPr>
          <w:lang w:val="en-US"/>
        </w:rPr>
        <w:t xml:space="preserve"> as internal standard </w:t>
      </w:r>
      <w:r w:rsidR="00D76C59" w:rsidRPr="00722C5B">
        <w:rPr>
          <w:lang w:val="en-US"/>
        </w:rPr>
        <w:t xml:space="preserve">and </w:t>
      </w:r>
      <w:r w:rsidR="006D3CCD" w:rsidRPr="00722C5B">
        <w:rPr>
          <w:lang w:val="en-US"/>
        </w:rPr>
        <w:t xml:space="preserve">results were </w:t>
      </w:r>
      <w:r w:rsidR="00D76C59" w:rsidRPr="00722C5B">
        <w:rPr>
          <w:lang w:val="en-US"/>
        </w:rPr>
        <w:t>e</w:t>
      </w:r>
      <w:r w:rsidR="006D3CCD" w:rsidRPr="00722C5B">
        <w:rPr>
          <w:lang w:val="en-US"/>
        </w:rPr>
        <w:t xml:space="preserve">xpressed </w:t>
      </w:r>
      <w:r w:rsidR="00917F45" w:rsidRPr="00722C5B">
        <w:rPr>
          <w:lang w:val="en-US"/>
        </w:rPr>
        <w:t>in grams of FA</w:t>
      </w:r>
      <w:r w:rsidR="005E2C7E" w:rsidRPr="00722C5B">
        <w:rPr>
          <w:lang w:val="en-US"/>
        </w:rPr>
        <w:t>/100 </w:t>
      </w:r>
      <w:r w:rsidR="00A82C69" w:rsidRPr="00722C5B">
        <w:rPr>
          <w:lang w:val="en-US"/>
        </w:rPr>
        <w:t>g</w:t>
      </w:r>
      <w:r w:rsidR="00917F45" w:rsidRPr="00722C5B">
        <w:rPr>
          <w:lang w:val="en-US"/>
        </w:rPr>
        <w:t xml:space="preserve"> total FA</w:t>
      </w:r>
      <w:r w:rsidR="00115773" w:rsidRPr="00722C5B">
        <w:rPr>
          <w:lang w:val="en-US"/>
        </w:rPr>
        <w:t>.</w:t>
      </w:r>
    </w:p>
    <w:p w:rsidR="000903BB" w:rsidRPr="00722C5B" w:rsidRDefault="000903BB" w:rsidP="005C4A26">
      <w:pPr>
        <w:spacing w:line="480" w:lineRule="auto"/>
        <w:jc w:val="both"/>
        <w:rPr>
          <w:lang w:val="en-US"/>
        </w:rPr>
      </w:pPr>
    </w:p>
    <w:p w:rsidR="009448CC" w:rsidRPr="00722C5B" w:rsidRDefault="009448CC" w:rsidP="005C4A26">
      <w:pPr>
        <w:spacing w:line="480" w:lineRule="auto"/>
        <w:jc w:val="both"/>
        <w:rPr>
          <w:i/>
          <w:lang w:val="en-US"/>
        </w:rPr>
      </w:pPr>
      <w:r w:rsidRPr="00722C5B">
        <w:rPr>
          <w:i/>
          <w:lang w:val="en-US"/>
        </w:rPr>
        <w:t>Oil stability index (OSI)</w:t>
      </w:r>
      <w:r w:rsidR="00C74DE4" w:rsidRPr="00722C5B">
        <w:rPr>
          <w:i/>
          <w:lang w:val="en-US"/>
        </w:rPr>
        <w:t xml:space="preserve"> test</w:t>
      </w:r>
    </w:p>
    <w:p w:rsidR="009E5429" w:rsidRPr="00722C5B" w:rsidRDefault="009448CC" w:rsidP="005C4A26">
      <w:pPr>
        <w:spacing w:line="480" w:lineRule="auto"/>
        <w:jc w:val="both"/>
        <w:rPr>
          <w:lang w:val="en-US"/>
        </w:rPr>
      </w:pPr>
      <w:r w:rsidRPr="00722C5B">
        <w:rPr>
          <w:color w:val="000000" w:themeColor="text1"/>
          <w:lang w:val="en-US"/>
        </w:rPr>
        <w:t>Oil stability index</w:t>
      </w:r>
      <w:r w:rsidR="00456489" w:rsidRPr="00722C5B">
        <w:rPr>
          <w:color w:val="000000" w:themeColor="text1"/>
          <w:lang w:val="en-US"/>
        </w:rPr>
        <w:t xml:space="preserve">, or </w:t>
      </w:r>
      <w:r w:rsidRPr="00722C5B">
        <w:rPr>
          <w:color w:val="000000" w:themeColor="text1"/>
          <w:lang w:val="en-US"/>
        </w:rPr>
        <w:t>OSI</w:t>
      </w:r>
      <w:r w:rsidR="00FE0220">
        <w:rPr>
          <w:color w:val="000000" w:themeColor="text1"/>
          <w:lang w:val="en-US"/>
        </w:rPr>
        <w:t xml:space="preserve"> (also called </w:t>
      </w:r>
      <w:proofErr w:type="spellStart"/>
      <w:r w:rsidR="00FE0220">
        <w:rPr>
          <w:color w:val="000000" w:themeColor="text1"/>
          <w:lang w:val="en-US"/>
        </w:rPr>
        <w:t>Rancimat</w:t>
      </w:r>
      <w:proofErr w:type="spellEnd"/>
      <w:r w:rsidR="00FE0220">
        <w:rPr>
          <w:color w:val="000000" w:themeColor="text1"/>
          <w:lang w:val="en-US"/>
        </w:rPr>
        <w:t>)</w:t>
      </w:r>
      <w:r w:rsidR="00456489" w:rsidRPr="00722C5B">
        <w:rPr>
          <w:color w:val="000000" w:themeColor="text1"/>
          <w:lang w:val="en-US"/>
        </w:rPr>
        <w:t>,</w:t>
      </w:r>
      <w:r w:rsidRPr="00722C5B">
        <w:rPr>
          <w:color w:val="000000" w:themeColor="text1"/>
          <w:lang w:val="en-US"/>
        </w:rPr>
        <w:t xml:space="preserve"> of the bulk oils with or without added antioxidants was measured </w:t>
      </w:r>
      <w:r w:rsidR="00EB2E6C" w:rsidRPr="00722C5B">
        <w:rPr>
          <w:lang w:val="en-US"/>
        </w:rPr>
        <w:t>at 110 °C</w:t>
      </w:r>
      <w:r w:rsidR="00EB2E6C" w:rsidRPr="00722C5B">
        <w:rPr>
          <w:color w:val="000000" w:themeColor="text1"/>
          <w:lang w:val="en-US"/>
        </w:rPr>
        <w:t xml:space="preserve"> </w:t>
      </w:r>
      <w:r w:rsidRPr="00722C5B">
        <w:rPr>
          <w:color w:val="000000" w:themeColor="text1"/>
          <w:lang w:val="en-US"/>
        </w:rPr>
        <w:t xml:space="preserve">in triplicates </w:t>
      </w:r>
      <w:r w:rsidR="003731F5" w:rsidRPr="00722C5B">
        <w:rPr>
          <w:rFonts w:eastAsia="Arial Unicode MS"/>
          <w:color w:val="000000" w:themeColor="text1"/>
          <w:lang w:val="en-US"/>
        </w:rPr>
        <w:t xml:space="preserve">with a </w:t>
      </w:r>
      <w:proofErr w:type="spellStart"/>
      <w:r w:rsidR="003731F5" w:rsidRPr="00722C5B">
        <w:rPr>
          <w:rFonts w:eastAsia="Arial Unicode MS"/>
          <w:color w:val="000000" w:themeColor="text1"/>
          <w:lang w:val="en-US"/>
        </w:rPr>
        <w:t>Rancimat</w:t>
      </w:r>
      <w:proofErr w:type="spellEnd"/>
      <w:r w:rsidR="003731F5" w:rsidRPr="00722C5B">
        <w:rPr>
          <w:rFonts w:eastAsia="Arial Unicode MS"/>
          <w:color w:val="000000" w:themeColor="text1"/>
          <w:lang w:val="en-US"/>
        </w:rPr>
        <w:t xml:space="preserve"> instrument (Model 743; </w:t>
      </w:r>
      <w:proofErr w:type="spellStart"/>
      <w:r w:rsidR="003731F5" w:rsidRPr="00722C5B">
        <w:rPr>
          <w:rFonts w:eastAsia="Arial Unicode MS"/>
          <w:color w:val="000000" w:themeColor="text1"/>
          <w:lang w:val="en-US"/>
        </w:rPr>
        <w:t>Metrohm</w:t>
      </w:r>
      <w:proofErr w:type="spellEnd"/>
      <w:r w:rsidR="003731F5" w:rsidRPr="00722C5B">
        <w:rPr>
          <w:rFonts w:eastAsia="Arial Unicode MS"/>
          <w:color w:val="000000" w:themeColor="text1"/>
          <w:lang w:val="en-US"/>
        </w:rPr>
        <w:t xml:space="preserve"> Ltd., </w:t>
      </w:r>
      <w:proofErr w:type="spellStart"/>
      <w:r w:rsidR="003731F5" w:rsidRPr="00722C5B">
        <w:rPr>
          <w:rFonts w:eastAsia="Arial Unicode MS"/>
          <w:color w:val="000000" w:themeColor="text1"/>
          <w:lang w:val="en-US"/>
        </w:rPr>
        <w:t>Herisau</w:t>
      </w:r>
      <w:proofErr w:type="spellEnd"/>
      <w:r w:rsidR="003731F5" w:rsidRPr="00722C5B">
        <w:rPr>
          <w:rFonts w:eastAsia="Arial Unicode MS"/>
          <w:color w:val="000000" w:themeColor="text1"/>
          <w:lang w:val="en-US"/>
        </w:rPr>
        <w:t>, Switzerland)</w:t>
      </w:r>
      <w:r w:rsidRPr="00722C5B">
        <w:rPr>
          <w:color w:val="000000" w:themeColor="text1"/>
          <w:lang w:val="en-US"/>
        </w:rPr>
        <w:t xml:space="preserve"> </w:t>
      </w:r>
      <w:r w:rsidRPr="00722C5B">
        <w:rPr>
          <w:lang w:val="en-US"/>
        </w:rPr>
        <w:t xml:space="preserve">according to </w:t>
      </w:r>
      <w:r w:rsidR="008D12AD" w:rsidRPr="00722C5B">
        <w:rPr>
          <w:lang w:val="en-US"/>
        </w:rPr>
        <w:t>ISO-6886 (2006)</w:t>
      </w:r>
      <w:r w:rsidR="00D83F69" w:rsidRPr="00722C5B">
        <w:rPr>
          <w:lang w:val="en-US"/>
        </w:rPr>
        <w:t xml:space="preserve">. </w:t>
      </w:r>
      <w:r w:rsidR="00456489" w:rsidRPr="00722C5B">
        <w:rPr>
          <w:lang w:val="en-US"/>
        </w:rPr>
        <w:t>Only the supplemented SOs that exhibited a</w:t>
      </w:r>
      <w:r w:rsidR="00B4518F" w:rsidRPr="00722C5B">
        <w:rPr>
          <w:lang w:val="en-US"/>
        </w:rPr>
        <w:t xml:space="preserve"> marked</w:t>
      </w:r>
      <w:r w:rsidR="00456489" w:rsidRPr="00722C5B">
        <w:rPr>
          <w:lang w:val="en-US"/>
        </w:rPr>
        <w:t xml:space="preserve"> ‘stabilization effect’ in the OSI test were then submitted to storage stability</w:t>
      </w:r>
      <w:r w:rsidR="002676F6" w:rsidRPr="00722C5B">
        <w:rPr>
          <w:lang w:val="en-US"/>
        </w:rPr>
        <w:t xml:space="preserve"> testing in order better understand the mechanism of action.</w:t>
      </w:r>
    </w:p>
    <w:p w:rsidR="009C7F28" w:rsidRPr="00722C5B" w:rsidRDefault="009C7F28" w:rsidP="005C4A26">
      <w:pPr>
        <w:spacing w:line="480" w:lineRule="auto"/>
        <w:jc w:val="both"/>
        <w:rPr>
          <w:color w:val="000000" w:themeColor="text1"/>
          <w:lang w:val="en-US"/>
        </w:rPr>
      </w:pPr>
    </w:p>
    <w:p w:rsidR="003A52F7" w:rsidRPr="00722C5B" w:rsidRDefault="00F84EC4" w:rsidP="005C4A26">
      <w:pPr>
        <w:spacing w:line="480" w:lineRule="auto"/>
        <w:jc w:val="both"/>
        <w:rPr>
          <w:i/>
          <w:lang w:val="en-US"/>
        </w:rPr>
      </w:pPr>
      <w:r w:rsidRPr="00722C5B">
        <w:rPr>
          <w:i/>
          <w:lang w:val="en-US"/>
        </w:rPr>
        <w:t>Storage Stability Test</w:t>
      </w:r>
    </w:p>
    <w:p w:rsidR="003A52F7" w:rsidRPr="00722C5B" w:rsidRDefault="00456489" w:rsidP="005C4A26">
      <w:pPr>
        <w:spacing w:line="480" w:lineRule="auto"/>
        <w:jc w:val="both"/>
        <w:rPr>
          <w:rFonts w:cs="Arial"/>
          <w:lang w:val="en-US" w:eastAsia="fr-CH"/>
        </w:rPr>
      </w:pPr>
      <w:r w:rsidRPr="00722C5B">
        <w:rPr>
          <w:lang w:val="en-US"/>
        </w:rPr>
        <w:t>The bulk HOSFO and SO</w:t>
      </w:r>
      <w:r w:rsidR="00131234" w:rsidRPr="00722C5B">
        <w:rPr>
          <w:lang w:val="en-US"/>
        </w:rPr>
        <w:t>,</w:t>
      </w:r>
      <w:r w:rsidRPr="00722C5B">
        <w:rPr>
          <w:lang w:val="en-US"/>
        </w:rPr>
        <w:t xml:space="preserve"> as well as the supplemented SOs</w:t>
      </w:r>
      <w:r w:rsidR="00131234" w:rsidRPr="00722C5B">
        <w:rPr>
          <w:lang w:val="en-US"/>
        </w:rPr>
        <w:t xml:space="preserve">, </w:t>
      </w:r>
      <w:r w:rsidR="00D76C59" w:rsidRPr="00722C5B">
        <w:rPr>
          <w:lang w:val="en-US"/>
        </w:rPr>
        <w:t xml:space="preserve">were individually </w:t>
      </w:r>
      <w:proofErr w:type="spellStart"/>
      <w:r w:rsidR="00F84EC4" w:rsidRPr="00722C5B">
        <w:rPr>
          <w:lang w:val="en-US"/>
        </w:rPr>
        <w:t>aliquoted</w:t>
      </w:r>
      <w:proofErr w:type="spellEnd"/>
      <w:r w:rsidR="00F84EC4" w:rsidRPr="00722C5B">
        <w:rPr>
          <w:lang w:val="en-US"/>
        </w:rPr>
        <w:t xml:space="preserve"> into </w:t>
      </w:r>
      <w:r w:rsidR="00D76C59" w:rsidRPr="00722C5B">
        <w:rPr>
          <w:lang w:val="en-US"/>
        </w:rPr>
        <w:t>50 </w:t>
      </w:r>
      <w:r w:rsidR="002D7B75" w:rsidRPr="00722C5B">
        <w:rPr>
          <w:lang w:val="en-US"/>
        </w:rPr>
        <w:t>g amber bottl</w:t>
      </w:r>
      <w:r w:rsidR="00D76C59" w:rsidRPr="00722C5B">
        <w:rPr>
          <w:lang w:val="en-US"/>
        </w:rPr>
        <w:t>es</w:t>
      </w:r>
      <w:r w:rsidR="00A97F36" w:rsidRPr="00722C5B">
        <w:rPr>
          <w:lang w:val="en-US"/>
        </w:rPr>
        <w:t xml:space="preserve"> for </w:t>
      </w:r>
      <w:proofErr w:type="spellStart"/>
      <w:r w:rsidR="00A97F36" w:rsidRPr="00722C5B">
        <w:rPr>
          <w:lang w:val="en-US"/>
        </w:rPr>
        <w:t>hydroperoxide</w:t>
      </w:r>
      <w:proofErr w:type="spellEnd"/>
      <w:r w:rsidR="00A97F36" w:rsidRPr="00722C5B">
        <w:rPr>
          <w:lang w:val="en-US"/>
        </w:rPr>
        <w:t xml:space="preserve"> tests</w:t>
      </w:r>
      <w:r w:rsidR="00D76C59" w:rsidRPr="00722C5B">
        <w:rPr>
          <w:lang w:val="en-US"/>
        </w:rPr>
        <w:t xml:space="preserve">. </w:t>
      </w:r>
      <w:r w:rsidR="002676F6" w:rsidRPr="00722C5B">
        <w:rPr>
          <w:lang w:val="en-US"/>
        </w:rPr>
        <w:t>Further, the o</w:t>
      </w:r>
      <w:r w:rsidR="00D76C59" w:rsidRPr="00722C5B">
        <w:rPr>
          <w:lang w:val="en-US"/>
        </w:rPr>
        <w:t xml:space="preserve">ils were </w:t>
      </w:r>
      <w:r w:rsidR="00A97F36" w:rsidRPr="00722C5B">
        <w:rPr>
          <w:lang w:val="en-US"/>
        </w:rPr>
        <w:t>transferred</w:t>
      </w:r>
      <w:r w:rsidR="00D76C59" w:rsidRPr="00722C5B">
        <w:rPr>
          <w:lang w:val="en-US"/>
        </w:rPr>
        <w:t xml:space="preserve"> in</w:t>
      </w:r>
      <w:r w:rsidR="00A97F36" w:rsidRPr="00722C5B">
        <w:rPr>
          <w:lang w:val="en-US"/>
        </w:rPr>
        <w:t>to</w:t>
      </w:r>
      <w:r w:rsidR="00D76C59" w:rsidRPr="00722C5B">
        <w:rPr>
          <w:lang w:val="en-US"/>
        </w:rPr>
        <w:t xml:space="preserve"> 20 </w:t>
      </w:r>
      <w:r w:rsidR="002D7B75" w:rsidRPr="00722C5B">
        <w:rPr>
          <w:lang w:val="en-US"/>
        </w:rPr>
        <w:t>m</w:t>
      </w:r>
      <w:r w:rsidR="00231436" w:rsidRPr="00722C5B">
        <w:rPr>
          <w:lang w:val="en-US"/>
        </w:rPr>
        <w:t>L</w:t>
      </w:r>
      <w:r w:rsidR="002D7B75" w:rsidRPr="00722C5B">
        <w:rPr>
          <w:lang w:val="en-US"/>
        </w:rPr>
        <w:t xml:space="preserve"> headspace</w:t>
      </w:r>
      <w:r w:rsidR="00C058E5" w:rsidRPr="00722C5B">
        <w:rPr>
          <w:lang w:val="en-US"/>
        </w:rPr>
        <w:t xml:space="preserve"> solid-phase </w:t>
      </w:r>
      <w:proofErr w:type="spellStart"/>
      <w:r w:rsidR="00C058E5" w:rsidRPr="00722C5B">
        <w:rPr>
          <w:lang w:val="en-US"/>
        </w:rPr>
        <w:t>microextraction</w:t>
      </w:r>
      <w:proofErr w:type="spellEnd"/>
      <w:r w:rsidR="00C058E5" w:rsidRPr="00722C5B">
        <w:rPr>
          <w:lang w:val="en-US"/>
        </w:rPr>
        <w:t xml:space="preserve"> (</w:t>
      </w:r>
      <w:r w:rsidR="002D7B75" w:rsidRPr="00722C5B">
        <w:rPr>
          <w:rFonts w:cs="Arial"/>
          <w:lang w:val="en-US" w:eastAsia="fr-CH"/>
        </w:rPr>
        <w:t>SPME</w:t>
      </w:r>
      <w:r w:rsidR="00C058E5" w:rsidRPr="00722C5B">
        <w:rPr>
          <w:rFonts w:cs="Arial"/>
          <w:lang w:val="en-US" w:eastAsia="fr-CH"/>
        </w:rPr>
        <w:t>)</w:t>
      </w:r>
      <w:r w:rsidR="002D7B75" w:rsidRPr="00722C5B">
        <w:rPr>
          <w:rFonts w:cs="Arial"/>
          <w:lang w:val="en-US" w:eastAsia="fr-CH"/>
        </w:rPr>
        <w:t xml:space="preserve"> amber glass </w:t>
      </w:r>
      <w:r w:rsidR="002D7B75" w:rsidRPr="00722C5B">
        <w:rPr>
          <w:lang w:val="en-US"/>
        </w:rPr>
        <w:t>vials for vol</w:t>
      </w:r>
      <w:r w:rsidR="00192C8A" w:rsidRPr="00722C5B">
        <w:rPr>
          <w:lang w:val="en-US"/>
        </w:rPr>
        <w:t xml:space="preserve">atile </w:t>
      </w:r>
      <w:r w:rsidR="00F84EC4" w:rsidRPr="00722C5B">
        <w:rPr>
          <w:lang w:val="en-US"/>
        </w:rPr>
        <w:t>(</w:t>
      </w:r>
      <w:proofErr w:type="spellStart"/>
      <w:r w:rsidR="00192C8A" w:rsidRPr="00722C5B">
        <w:rPr>
          <w:lang w:val="en-US"/>
        </w:rPr>
        <w:t>hexanal</w:t>
      </w:r>
      <w:proofErr w:type="spellEnd"/>
      <w:r w:rsidR="00F84EC4" w:rsidRPr="00722C5B">
        <w:rPr>
          <w:lang w:val="en-US"/>
        </w:rPr>
        <w:t>) analyses</w:t>
      </w:r>
      <w:r w:rsidR="00C058E5" w:rsidRPr="00722C5B">
        <w:rPr>
          <w:lang w:val="en-US"/>
        </w:rPr>
        <w:t xml:space="preserve"> via GC tandem mass spectrometry (or GC-MS)</w:t>
      </w:r>
      <w:r w:rsidR="00192C8A" w:rsidRPr="00722C5B">
        <w:rPr>
          <w:lang w:val="en-US"/>
        </w:rPr>
        <w:t>. Special attention</w:t>
      </w:r>
      <w:r w:rsidR="00D76C59" w:rsidRPr="00722C5B">
        <w:rPr>
          <w:lang w:val="en-US"/>
        </w:rPr>
        <w:t xml:space="preserve"> was</w:t>
      </w:r>
      <w:r w:rsidR="002D7B75" w:rsidRPr="00722C5B">
        <w:rPr>
          <w:lang w:val="en-US"/>
        </w:rPr>
        <w:t xml:space="preserve"> </w:t>
      </w:r>
      <w:r w:rsidR="00EB2E6C">
        <w:rPr>
          <w:lang w:val="en-US"/>
        </w:rPr>
        <w:t>given</w:t>
      </w:r>
      <w:r w:rsidR="00EB2E6C" w:rsidRPr="00722C5B">
        <w:rPr>
          <w:lang w:val="en-US"/>
        </w:rPr>
        <w:t xml:space="preserve"> </w:t>
      </w:r>
      <w:r w:rsidR="002D7B75" w:rsidRPr="00722C5B">
        <w:rPr>
          <w:lang w:val="en-US"/>
        </w:rPr>
        <w:t xml:space="preserve">during the </w:t>
      </w:r>
      <w:r w:rsidR="00192C8A" w:rsidRPr="00722C5B">
        <w:rPr>
          <w:lang w:val="en-US"/>
        </w:rPr>
        <w:t>manual sampling</w:t>
      </w:r>
      <w:r w:rsidR="00F84EC4" w:rsidRPr="00722C5B">
        <w:rPr>
          <w:lang w:val="en-US"/>
        </w:rPr>
        <w:t xml:space="preserve"> in order to </w:t>
      </w:r>
      <w:r w:rsidR="002D7B75" w:rsidRPr="00722C5B">
        <w:rPr>
          <w:lang w:val="en-US"/>
        </w:rPr>
        <w:t xml:space="preserve">allow for </w:t>
      </w:r>
      <w:r w:rsidR="00F84EC4" w:rsidRPr="00722C5B">
        <w:rPr>
          <w:lang w:val="en-US"/>
        </w:rPr>
        <w:t xml:space="preserve">a similar </w:t>
      </w:r>
      <w:r w:rsidR="002D7B75" w:rsidRPr="00722C5B">
        <w:rPr>
          <w:lang w:val="en-US"/>
        </w:rPr>
        <w:t>headspace</w:t>
      </w:r>
      <w:r w:rsidR="00F84EC4" w:rsidRPr="00722C5B">
        <w:rPr>
          <w:lang w:val="en-US"/>
        </w:rPr>
        <w:t xml:space="preserve"> in </w:t>
      </w:r>
      <w:r w:rsidR="00A97F36" w:rsidRPr="00722C5B">
        <w:rPr>
          <w:lang w:val="en-US"/>
        </w:rPr>
        <w:t xml:space="preserve">the </w:t>
      </w:r>
      <w:r w:rsidR="00F84EC4" w:rsidRPr="00722C5B">
        <w:rPr>
          <w:lang w:val="en-US"/>
        </w:rPr>
        <w:t xml:space="preserve">containers, </w:t>
      </w:r>
      <w:r w:rsidR="002D7B75" w:rsidRPr="00722C5B">
        <w:rPr>
          <w:lang w:val="en-US"/>
        </w:rPr>
        <w:t xml:space="preserve">and </w:t>
      </w:r>
      <w:r w:rsidR="00F84EC4" w:rsidRPr="00722C5B">
        <w:rPr>
          <w:lang w:val="en-US"/>
        </w:rPr>
        <w:t>thus</w:t>
      </w:r>
      <w:r w:rsidR="00A97F36" w:rsidRPr="00722C5B">
        <w:rPr>
          <w:lang w:val="en-US"/>
        </w:rPr>
        <w:t>,</w:t>
      </w:r>
      <w:r w:rsidR="00F84EC4" w:rsidRPr="00722C5B">
        <w:rPr>
          <w:lang w:val="en-US"/>
        </w:rPr>
        <w:t xml:space="preserve"> the </w:t>
      </w:r>
      <w:r w:rsidR="00F84EC4" w:rsidRPr="00722C5B">
        <w:rPr>
          <w:lang w:val="en-US"/>
        </w:rPr>
        <w:lastRenderedPageBreak/>
        <w:t xml:space="preserve">same </w:t>
      </w:r>
      <w:r w:rsidR="002D7B75" w:rsidRPr="00722C5B">
        <w:rPr>
          <w:lang w:val="en-US"/>
        </w:rPr>
        <w:t>oxygen availability</w:t>
      </w:r>
      <w:r w:rsidR="00F84EC4" w:rsidRPr="00722C5B">
        <w:rPr>
          <w:lang w:val="en-US"/>
        </w:rPr>
        <w:t>.</w:t>
      </w:r>
      <w:r w:rsidR="002D7B75" w:rsidRPr="00722C5B">
        <w:rPr>
          <w:lang w:val="en-US"/>
        </w:rPr>
        <w:t xml:space="preserve"> </w:t>
      </w:r>
      <w:r w:rsidR="00783436" w:rsidRPr="00722C5B">
        <w:rPr>
          <w:lang w:val="en-US"/>
        </w:rPr>
        <w:t>Further, a special aluminum</w:t>
      </w:r>
      <w:r w:rsidR="002D7B75" w:rsidRPr="00722C5B">
        <w:rPr>
          <w:lang w:val="en-US"/>
        </w:rPr>
        <w:t xml:space="preserve"> membrane </w:t>
      </w:r>
      <w:r w:rsidR="00A97F36" w:rsidRPr="00722C5B">
        <w:rPr>
          <w:lang w:val="en-US"/>
        </w:rPr>
        <w:t>w</w:t>
      </w:r>
      <w:r w:rsidR="002D7B75" w:rsidRPr="00722C5B">
        <w:rPr>
          <w:lang w:val="en-US"/>
        </w:rPr>
        <w:t xml:space="preserve">as inserted between the top of the headspace SPME vial and the septa </w:t>
      </w:r>
      <w:r w:rsidR="00A97F36" w:rsidRPr="00722C5B">
        <w:rPr>
          <w:lang w:val="en-US"/>
        </w:rPr>
        <w:t xml:space="preserve">to </w:t>
      </w:r>
      <w:r w:rsidR="002D7B75" w:rsidRPr="00722C5B">
        <w:rPr>
          <w:lang w:val="en-US"/>
        </w:rPr>
        <w:t>prevent loss of volatiles during the storage</w:t>
      </w:r>
      <w:r w:rsidR="00192C8A" w:rsidRPr="00722C5B">
        <w:rPr>
          <w:lang w:val="en-US"/>
        </w:rPr>
        <w:t xml:space="preserve"> study</w:t>
      </w:r>
      <w:r w:rsidR="002D7B75" w:rsidRPr="00722C5B">
        <w:rPr>
          <w:lang w:val="en-US"/>
        </w:rPr>
        <w:t xml:space="preserve">. </w:t>
      </w:r>
      <w:r w:rsidR="00A97F36" w:rsidRPr="00722C5B">
        <w:rPr>
          <w:lang w:val="en-US"/>
        </w:rPr>
        <w:t xml:space="preserve">The amber bottles and SPME vials </w:t>
      </w:r>
      <w:r w:rsidR="002D7B75" w:rsidRPr="00722C5B">
        <w:rPr>
          <w:rFonts w:cs="Arial"/>
          <w:lang w:val="en-US" w:eastAsia="fr-CH"/>
        </w:rPr>
        <w:t>were stored in triplicates at 35</w:t>
      </w:r>
      <w:r w:rsidR="00D76C59" w:rsidRPr="00722C5B">
        <w:rPr>
          <w:rFonts w:cs="Arial"/>
          <w:lang w:val="en-US" w:eastAsia="fr-CH"/>
        </w:rPr>
        <w:t> </w:t>
      </w:r>
      <w:r w:rsidR="00192C8A" w:rsidRPr="00722C5B">
        <w:rPr>
          <w:lang w:val="en-US" w:eastAsia="fr-CH"/>
        </w:rPr>
        <w:t>°</w:t>
      </w:r>
      <w:r w:rsidR="002D7B75" w:rsidRPr="00722C5B">
        <w:rPr>
          <w:rFonts w:cs="Arial"/>
          <w:lang w:val="en-US" w:eastAsia="fr-CH"/>
        </w:rPr>
        <w:t xml:space="preserve">C (accelerated conditions) </w:t>
      </w:r>
      <w:r w:rsidR="00131234" w:rsidRPr="00722C5B">
        <w:rPr>
          <w:rFonts w:cs="Arial"/>
          <w:lang w:val="en-US" w:eastAsia="fr-CH"/>
        </w:rPr>
        <w:t xml:space="preserve">for up to a </w:t>
      </w:r>
      <w:r w:rsidR="000358E7">
        <w:rPr>
          <w:rFonts w:cs="Arial"/>
          <w:lang w:val="en-US" w:eastAsia="fr-CH"/>
        </w:rPr>
        <w:t>28</w:t>
      </w:r>
      <w:r w:rsidR="00D76C59" w:rsidRPr="00722C5B">
        <w:rPr>
          <w:rFonts w:cs="Arial"/>
          <w:lang w:val="en-US" w:eastAsia="fr-CH"/>
        </w:rPr>
        <w:t> </w:t>
      </w:r>
      <w:r w:rsidR="002D7B75" w:rsidRPr="00722C5B">
        <w:rPr>
          <w:rFonts w:cs="Arial"/>
          <w:lang w:val="en-US" w:eastAsia="fr-CH"/>
        </w:rPr>
        <w:t>w</w:t>
      </w:r>
      <w:r w:rsidR="00A97F36" w:rsidRPr="00722C5B">
        <w:rPr>
          <w:rFonts w:cs="Arial"/>
          <w:lang w:val="en-US" w:eastAsia="fr-CH"/>
        </w:rPr>
        <w:t>eek storage period</w:t>
      </w:r>
      <w:r w:rsidR="000358E7">
        <w:rPr>
          <w:rFonts w:cs="Arial"/>
          <w:lang w:val="en-US" w:eastAsia="fr-CH"/>
        </w:rPr>
        <w:t>, and sampled each 4 weeks (normally).</w:t>
      </w:r>
      <w:r w:rsidR="00D76C59" w:rsidRPr="00722C5B">
        <w:rPr>
          <w:rFonts w:cs="Arial"/>
          <w:lang w:val="en-US" w:eastAsia="fr-CH"/>
        </w:rPr>
        <w:t xml:space="preserve"> Th</w:t>
      </w:r>
      <w:r w:rsidR="00A97F36" w:rsidRPr="00722C5B">
        <w:rPr>
          <w:rFonts w:cs="Arial"/>
          <w:lang w:val="en-US" w:eastAsia="fr-CH"/>
        </w:rPr>
        <w:t>e storage</w:t>
      </w:r>
      <w:r w:rsidR="00D76C59" w:rsidRPr="00722C5B">
        <w:rPr>
          <w:rFonts w:cs="Arial"/>
          <w:lang w:val="en-US" w:eastAsia="fr-CH"/>
        </w:rPr>
        <w:t xml:space="preserve"> period </w:t>
      </w:r>
      <w:r w:rsidR="002D7B75" w:rsidRPr="00722C5B">
        <w:rPr>
          <w:rFonts w:cs="Arial"/>
          <w:lang w:val="en-US" w:eastAsia="fr-CH"/>
        </w:rPr>
        <w:t xml:space="preserve">was chosen based on the </w:t>
      </w:r>
      <w:r w:rsidR="004D03C5" w:rsidRPr="00722C5B">
        <w:rPr>
          <w:rFonts w:cs="Arial"/>
          <w:lang w:val="en-US" w:eastAsia="fr-CH"/>
        </w:rPr>
        <w:t>normal maximum time limit (6-7 </w:t>
      </w:r>
      <w:r w:rsidR="00A97F36" w:rsidRPr="00722C5B">
        <w:rPr>
          <w:rFonts w:cs="Arial"/>
          <w:lang w:val="en-US" w:eastAsia="fr-CH"/>
        </w:rPr>
        <w:t xml:space="preserve">months) that lipid raw materials are stored at </w:t>
      </w:r>
      <w:r w:rsidR="002D7B75" w:rsidRPr="00722C5B">
        <w:rPr>
          <w:rFonts w:cs="Arial"/>
          <w:lang w:val="en-US" w:eastAsia="fr-CH"/>
        </w:rPr>
        <w:t xml:space="preserve">food </w:t>
      </w:r>
      <w:r w:rsidR="00A97F36" w:rsidRPr="00722C5B">
        <w:rPr>
          <w:rFonts w:cs="Arial"/>
          <w:lang w:val="en-US" w:eastAsia="fr-CH"/>
        </w:rPr>
        <w:t>manufacturing facilities before inclusion into finished products</w:t>
      </w:r>
      <w:r w:rsidR="007666BA" w:rsidRPr="00722C5B">
        <w:rPr>
          <w:rFonts w:cs="Arial"/>
          <w:lang w:val="en-US" w:eastAsia="fr-CH"/>
        </w:rPr>
        <w:t xml:space="preserve">. </w:t>
      </w:r>
      <w:r w:rsidR="00F300E1" w:rsidRPr="00722C5B">
        <w:rPr>
          <w:rFonts w:cs="Arial"/>
          <w:lang w:val="en-US"/>
        </w:rPr>
        <w:t xml:space="preserve">Samples for </w:t>
      </w:r>
      <w:proofErr w:type="spellStart"/>
      <w:r w:rsidR="00F300E1" w:rsidRPr="00722C5B">
        <w:rPr>
          <w:rFonts w:cs="Arial"/>
          <w:lang w:val="en-US"/>
        </w:rPr>
        <w:t>hydroperoxide</w:t>
      </w:r>
      <w:proofErr w:type="spellEnd"/>
      <w:r w:rsidR="00F300E1" w:rsidRPr="00722C5B">
        <w:rPr>
          <w:rFonts w:cs="Arial"/>
          <w:lang w:val="en-US"/>
        </w:rPr>
        <w:t xml:space="preserve"> and </w:t>
      </w:r>
      <w:proofErr w:type="spellStart"/>
      <w:r w:rsidR="00F300E1" w:rsidRPr="00722C5B">
        <w:rPr>
          <w:rFonts w:cs="Arial"/>
          <w:lang w:val="en-US"/>
        </w:rPr>
        <w:t>hexan</w:t>
      </w:r>
      <w:r w:rsidR="004D03C5" w:rsidRPr="00722C5B">
        <w:rPr>
          <w:rFonts w:cs="Arial"/>
          <w:lang w:val="en-US"/>
        </w:rPr>
        <w:t>al</w:t>
      </w:r>
      <w:proofErr w:type="spellEnd"/>
      <w:r w:rsidR="004D03C5" w:rsidRPr="00722C5B">
        <w:rPr>
          <w:rFonts w:cs="Arial"/>
          <w:lang w:val="en-US"/>
        </w:rPr>
        <w:t xml:space="preserve"> analyses were staggered by 1 </w:t>
      </w:r>
      <w:r w:rsidR="00F300E1" w:rsidRPr="00722C5B">
        <w:rPr>
          <w:rFonts w:cs="Arial"/>
          <w:lang w:val="en-US"/>
        </w:rPr>
        <w:t>w</w:t>
      </w:r>
      <w:r w:rsidR="002C0BAD" w:rsidRPr="00722C5B">
        <w:rPr>
          <w:rFonts w:cs="Arial"/>
          <w:lang w:val="en-US"/>
        </w:rPr>
        <w:t>ee</w:t>
      </w:r>
      <w:r w:rsidR="00F300E1" w:rsidRPr="00722C5B">
        <w:rPr>
          <w:rFonts w:cs="Arial"/>
          <w:lang w:val="en-US"/>
        </w:rPr>
        <w:t>k when put into the storage ovens to allow for constant sampling and analysis over the storage period.</w:t>
      </w:r>
    </w:p>
    <w:p w:rsidR="00A97F36" w:rsidRPr="00722C5B" w:rsidRDefault="00A97F36" w:rsidP="005C4A26">
      <w:pPr>
        <w:spacing w:line="480" w:lineRule="auto"/>
        <w:jc w:val="both"/>
        <w:rPr>
          <w:lang w:val="en-US"/>
        </w:rPr>
      </w:pPr>
    </w:p>
    <w:p w:rsidR="003A52F7" w:rsidRPr="00722C5B" w:rsidRDefault="003A52F7" w:rsidP="005C4A26">
      <w:pPr>
        <w:spacing w:line="480" w:lineRule="auto"/>
        <w:jc w:val="both"/>
        <w:rPr>
          <w:u w:val="single"/>
          <w:lang w:val="en-US" w:eastAsia="fr-CH"/>
        </w:rPr>
      </w:pPr>
      <w:r w:rsidRPr="00722C5B">
        <w:rPr>
          <w:u w:val="single"/>
          <w:lang w:val="en-US" w:eastAsia="fr-CH"/>
        </w:rPr>
        <w:t>Peroxide value (PV)</w:t>
      </w:r>
      <w:r w:rsidR="00C74DE4" w:rsidRPr="00722C5B">
        <w:rPr>
          <w:u w:val="single"/>
          <w:lang w:val="en-US" w:eastAsia="fr-CH"/>
        </w:rPr>
        <w:t xml:space="preserve"> test</w:t>
      </w:r>
    </w:p>
    <w:p w:rsidR="0095322D" w:rsidRPr="00722C5B" w:rsidRDefault="00AB10F9" w:rsidP="005C4A26">
      <w:pPr>
        <w:autoSpaceDE w:val="0"/>
        <w:autoSpaceDN w:val="0"/>
        <w:adjustRightInd w:val="0"/>
        <w:spacing w:line="480" w:lineRule="auto"/>
        <w:jc w:val="both"/>
        <w:rPr>
          <w:lang w:val="en-US"/>
        </w:rPr>
      </w:pPr>
      <w:r w:rsidRPr="00722C5B">
        <w:rPr>
          <w:color w:val="000000" w:themeColor="text1"/>
          <w:lang w:val="en-US"/>
        </w:rPr>
        <w:t xml:space="preserve">Peroxide value (PV) was measured in </w:t>
      </w:r>
      <w:r w:rsidR="007B392F" w:rsidRPr="00722C5B">
        <w:rPr>
          <w:color w:val="000000" w:themeColor="text1"/>
          <w:lang w:val="en-US"/>
        </w:rPr>
        <w:t>triplicates</w:t>
      </w:r>
      <w:r w:rsidRPr="00722C5B">
        <w:rPr>
          <w:color w:val="000000" w:themeColor="text1"/>
          <w:lang w:val="en-US"/>
        </w:rPr>
        <w:t xml:space="preserve"> </w:t>
      </w:r>
      <w:r w:rsidR="00D76C59" w:rsidRPr="00722C5B">
        <w:rPr>
          <w:rFonts w:eastAsia="Arial Unicode MS"/>
          <w:color w:val="000000" w:themeColor="text1"/>
          <w:lang w:val="en-US"/>
        </w:rPr>
        <w:t>by titration with 0.1</w:t>
      </w:r>
      <w:r w:rsidR="00F42388" w:rsidRPr="00722C5B">
        <w:rPr>
          <w:rFonts w:eastAsia="Arial Unicode MS"/>
          <w:color w:val="000000" w:themeColor="text1"/>
          <w:lang w:val="en-US"/>
        </w:rPr>
        <w:t> </w:t>
      </w:r>
      <w:r w:rsidR="00571EE1" w:rsidRPr="00722C5B">
        <w:rPr>
          <w:rFonts w:eastAsia="Arial Unicode MS"/>
          <w:color w:val="000000" w:themeColor="text1"/>
          <w:lang w:val="en-US"/>
        </w:rPr>
        <w:t xml:space="preserve">N sodium </w:t>
      </w:r>
      <w:proofErr w:type="spellStart"/>
      <w:r w:rsidR="00571EE1" w:rsidRPr="00722C5B">
        <w:rPr>
          <w:rFonts w:eastAsia="Arial Unicode MS"/>
          <w:color w:val="000000" w:themeColor="text1"/>
          <w:lang w:val="en-US"/>
        </w:rPr>
        <w:t>thiosulphate</w:t>
      </w:r>
      <w:proofErr w:type="spellEnd"/>
      <w:r w:rsidR="00571EE1" w:rsidRPr="00722C5B">
        <w:rPr>
          <w:rFonts w:eastAsia="Arial Unicode MS"/>
          <w:color w:val="000000" w:themeColor="text1"/>
          <w:lang w:val="en-US"/>
        </w:rPr>
        <w:t xml:space="preserve">, using starch indicator </w:t>
      </w:r>
      <w:r w:rsidRPr="00722C5B">
        <w:rPr>
          <w:color w:val="000000" w:themeColor="text1"/>
          <w:lang w:val="en-US"/>
        </w:rPr>
        <w:t>according to AOCS Cd 8b</w:t>
      </w:r>
      <w:r w:rsidRPr="00722C5B">
        <w:rPr>
          <w:lang w:val="en-US"/>
        </w:rPr>
        <w:t>-90</w:t>
      </w:r>
      <w:r w:rsidR="0080065C" w:rsidRPr="00722C5B">
        <w:rPr>
          <w:lang w:val="en-US"/>
        </w:rPr>
        <w:t xml:space="preserve"> </w:t>
      </w:r>
      <w:r w:rsidR="003B7C5B" w:rsidRPr="00722C5B">
        <w:rPr>
          <w:lang w:val="en-US"/>
        </w:rPr>
        <w:t>(2011</w:t>
      </w:r>
      <w:r w:rsidR="00D21257" w:rsidRPr="00722C5B">
        <w:rPr>
          <w:lang w:val="en-US"/>
        </w:rPr>
        <w:t>)</w:t>
      </w:r>
      <w:r w:rsidR="0080065C" w:rsidRPr="00722C5B">
        <w:rPr>
          <w:lang w:val="en-US"/>
        </w:rPr>
        <w:t>.</w:t>
      </w:r>
      <w:r w:rsidR="00D21257" w:rsidRPr="00722C5B">
        <w:rPr>
          <w:lang w:val="en-US"/>
        </w:rPr>
        <w:t xml:space="preserve"> </w:t>
      </w:r>
      <w:r w:rsidR="007E4507" w:rsidRPr="00722C5B">
        <w:rPr>
          <w:lang w:val="en-US"/>
        </w:rPr>
        <w:t xml:space="preserve">Results of this assay were reported in </w:t>
      </w:r>
      <w:proofErr w:type="spellStart"/>
      <w:r w:rsidR="007E4507" w:rsidRPr="00722C5B">
        <w:rPr>
          <w:lang w:val="en-US"/>
        </w:rPr>
        <w:t>milli</w:t>
      </w:r>
      <w:proofErr w:type="spellEnd"/>
      <w:r w:rsidR="007E4507" w:rsidRPr="00722C5B">
        <w:rPr>
          <w:lang w:val="en-US"/>
        </w:rPr>
        <w:t xml:space="preserve">-equivalents of peroxides per kg of oil sample </w:t>
      </w:r>
      <w:r w:rsidR="007E4507" w:rsidRPr="00722C5B">
        <w:rPr>
          <w:rFonts w:eastAsia="Arial Unicode MS"/>
          <w:lang w:val="en-US"/>
        </w:rPr>
        <w:t xml:space="preserve">(or </w:t>
      </w:r>
      <w:proofErr w:type="spellStart"/>
      <w:r w:rsidR="007E4507" w:rsidRPr="00722C5B">
        <w:rPr>
          <w:rFonts w:eastAsia="Arial Unicode MS"/>
          <w:lang w:val="en-US"/>
        </w:rPr>
        <w:t>meq</w:t>
      </w:r>
      <w:proofErr w:type="spellEnd"/>
      <w:r w:rsidR="007E4507" w:rsidRPr="00722C5B">
        <w:rPr>
          <w:rFonts w:eastAsia="Arial Unicode MS"/>
          <w:lang w:val="en-US"/>
        </w:rPr>
        <w:t xml:space="preserve"> O</w:t>
      </w:r>
      <w:r w:rsidR="007E4507" w:rsidRPr="00722C5B">
        <w:rPr>
          <w:rFonts w:eastAsia="Arial Unicode MS"/>
          <w:vertAlign w:val="subscript"/>
          <w:lang w:val="en-US"/>
        </w:rPr>
        <w:t>2</w:t>
      </w:r>
      <w:r w:rsidR="007E4507" w:rsidRPr="00722C5B">
        <w:rPr>
          <w:rFonts w:eastAsia="Arial Unicode MS"/>
          <w:lang w:val="en-US"/>
        </w:rPr>
        <w:t>/kg oil).</w:t>
      </w:r>
    </w:p>
    <w:p w:rsidR="0095322D" w:rsidRPr="00722C5B" w:rsidRDefault="0095322D" w:rsidP="005C4A26">
      <w:pPr>
        <w:autoSpaceDE w:val="0"/>
        <w:autoSpaceDN w:val="0"/>
        <w:adjustRightInd w:val="0"/>
        <w:spacing w:line="480" w:lineRule="auto"/>
        <w:jc w:val="both"/>
        <w:rPr>
          <w:color w:val="000000" w:themeColor="text1"/>
          <w:lang w:val="en-US"/>
        </w:rPr>
      </w:pPr>
    </w:p>
    <w:p w:rsidR="003A52F7" w:rsidRPr="00722C5B" w:rsidRDefault="003A52F7" w:rsidP="005C4A26">
      <w:pPr>
        <w:spacing w:line="480" w:lineRule="auto"/>
        <w:jc w:val="both"/>
        <w:rPr>
          <w:u w:val="single"/>
          <w:lang w:val="fr-CH" w:eastAsia="fr-CH"/>
        </w:rPr>
      </w:pPr>
      <w:proofErr w:type="spellStart"/>
      <w:r w:rsidRPr="00722C5B">
        <w:rPr>
          <w:u w:val="single"/>
          <w:lang w:val="fr-CH"/>
        </w:rPr>
        <w:t>Hexanal</w:t>
      </w:r>
      <w:proofErr w:type="spellEnd"/>
      <w:r w:rsidRPr="00722C5B">
        <w:rPr>
          <w:u w:val="single"/>
          <w:lang w:val="fr-CH"/>
        </w:rPr>
        <w:t xml:space="preserve"> quantification</w:t>
      </w:r>
      <w:r w:rsidR="00BA554A" w:rsidRPr="00722C5B">
        <w:rPr>
          <w:u w:val="single"/>
          <w:lang w:val="fr-CH"/>
        </w:rPr>
        <w:t xml:space="preserve"> via SPME GC-MS</w:t>
      </w:r>
    </w:p>
    <w:p w:rsidR="009A0402" w:rsidRPr="00722C5B" w:rsidRDefault="003B67B0" w:rsidP="005C4A26">
      <w:pPr>
        <w:autoSpaceDE w:val="0"/>
        <w:autoSpaceDN w:val="0"/>
        <w:adjustRightInd w:val="0"/>
        <w:spacing w:line="480" w:lineRule="auto"/>
        <w:jc w:val="both"/>
        <w:rPr>
          <w:lang w:val="en-US"/>
        </w:rPr>
      </w:pPr>
      <w:proofErr w:type="spellStart"/>
      <w:r w:rsidRPr="00722C5B">
        <w:rPr>
          <w:lang w:val="en-US"/>
        </w:rPr>
        <w:t>Hexanal</w:t>
      </w:r>
      <w:proofErr w:type="spellEnd"/>
      <w:r w:rsidRPr="00722C5B">
        <w:rPr>
          <w:lang w:val="en-US"/>
        </w:rPr>
        <w:t xml:space="preserve"> concentrations in the challenged lipids</w:t>
      </w:r>
      <w:r w:rsidR="00A541BA" w:rsidRPr="00722C5B">
        <w:rPr>
          <w:lang w:val="en-US"/>
        </w:rPr>
        <w:t xml:space="preserve"> were determined </w:t>
      </w:r>
      <w:r w:rsidR="007B392F" w:rsidRPr="00722C5B">
        <w:rPr>
          <w:lang w:val="en-US"/>
        </w:rPr>
        <w:t xml:space="preserve">on triplicate samples </w:t>
      </w:r>
      <w:r w:rsidR="00A541BA" w:rsidRPr="00722C5B">
        <w:rPr>
          <w:lang w:val="en-US"/>
        </w:rPr>
        <w:t xml:space="preserve">following </w:t>
      </w:r>
      <w:r w:rsidR="00C058E5" w:rsidRPr="00722C5B">
        <w:rPr>
          <w:lang w:val="en-US"/>
        </w:rPr>
        <w:t>a</w:t>
      </w:r>
      <w:r w:rsidR="00A541BA" w:rsidRPr="00722C5B">
        <w:rPr>
          <w:lang w:val="en-US"/>
        </w:rPr>
        <w:t xml:space="preserve"> method </w:t>
      </w:r>
      <w:r w:rsidR="00231436" w:rsidRPr="00722C5B">
        <w:rPr>
          <w:lang w:val="en-US"/>
        </w:rPr>
        <w:t xml:space="preserve">previously </w:t>
      </w:r>
      <w:r w:rsidR="00A541BA" w:rsidRPr="00722C5B">
        <w:rPr>
          <w:lang w:val="en-US"/>
        </w:rPr>
        <w:t xml:space="preserve">described </w:t>
      </w:r>
      <w:r w:rsidR="00C058E5" w:rsidRPr="00722C5B">
        <w:rPr>
          <w:lang w:val="en-US"/>
        </w:rPr>
        <w:t xml:space="preserve">in the literature </w:t>
      </w:r>
      <w:r w:rsidR="00422750" w:rsidRPr="00722C5B">
        <w:rPr>
          <w:lang w:val="en-US"/>
        </w:rPr>
        <w:t>(</w:t>
      </w:r>
      <w:proofErr w:type="spellStart"/>
      <w:r w:rsidR="00422750" w:rsidRPr="00722C5B">
        <w:rPr>
          <w:lang w:val="en-US"/>
        </w:rPr>
        <w:t>Giuffrida</w:t>
      </w:r>
      <w:proofErr w:type="spellEnd"/>
      <w:r w:rsidR="00422750" w:rsidRPr="00722C5B">
        <w:rPr>
          <w:lang w:val="en-US"/>
        </w:rPr>
        <w:t xml:space="preserve"> </w:t>
      </w:r>
      <w:r w:rsidR="00422750" w:rsidRPr="00722C5B">
        <w:rPr>
          <w:i/>
          <w:lang w:val="en-US"/>
        </w:rPr>
        <w:t>et al.</w:t>
      </w:r>
      <w:r w:rsidR="00422750" w:rsidRPr="00722C5B">
        <w:rPr>
          <w:lang w:val="en-US"/>
        </w:rPr>
        <w:t>, 2005).</w:t>
      </w:r>
      <w:r w:rsidR="00A541BA" w:rsidRPr="00722C5B">
        <w:rPr>
          <w:lang w:val="en-US"/>
        </w:rPr>
        <w:t xml:space="preserve"> </w:t>
      </w:r>
      <w:r w:rsidRPr="00722C5B">
        <w:rPr>
          <w:iCs/>
          <w:color w:val="000000" w:themeColor="text1"/>
          <w:lang w:val="en-US"/>
        </w:rPr>
        <w:t>Quantification using isotopic dilution method (</w:t>
      </w:r>
      <w:r w:rsidRPr="00722C5B">
        <w:rPr>
          <w:i/>
          <w:iCs/>
          <w:color w:val="000000" w:themeColor="text1"/>
          <w:lang w:val="en-US"/>
        </w:rPr>
        <w:t xml:space="preserve">i.e. </w:t>
      </w:r>
      <w:r w:rsidRPr="00722C5B">
        <w:rPr>
          <w:iCs/>
          <w:color w:val="000000" w:themeColor="text1"/>
          <w:lang w:val="en-US"/>
        </w:rPr>
        <w:t xml:space="preserve">with labeled </w:t>
      </w:r>
      <w:r w:rsidRPr="00722C5B">
        <w:rPr>
          <w:rFonts w:cs="Arial"/>
          <w:lang w:val="en-US" w:eastAsia="fr-CH"/>
        </w:rPr>
        <w:t>hexanal-d</w:t>
      </w:r>
      <w:r w:rsidRPr="00722C5B">
        <w:rPr>
          <w:rFonts w:cs="Arial"/>
          <w:vertAlign w:val="subscript"/>
          <w:lang w:val="en-US" w:eastAsia="fr-CH"/>
        </w:rPr>
        <w:t xml:space="preserve">12 </w:t>
      </w:r>
      <w:r w:rsidRPr="00722C5B">
        <w:rPr>
          <w:iCs/>
          <w:color w:val="000000" w:themeColor="text1"/>
          <w:lang w:val="en-US"/>
        </w:rPr>
        <w:t>as internal standard) was deemed necessary in order to avoid competition on the SPME fiber with other volatiles present in the headspace. S</w:t>
      </w:r>
      <w:r w:rsidR="00307A84" w:rsidRPr="00722C5B">
        <w:rPr>
          <w:iCs/>
          <w:lang w:val="en-US"/>
        </w:rPr>
        <w:t>ample</w:t>
      </w:r>
      <w:r w:rsidR="00A541BA" w:rsidRPr="00722C5B">
        <w:rPr>
          <w:lang w:val="en-US"/>
        </w:rPr>
        <w:t>s were weighed (2±0.01</w:t>
      </w:r>
      <w:r w:rsidR="005F1C73" w:rsidRPr="00722C5B">
        <w:rPr>
          <w:lang w:val="en-US"/>
        </w:rPr>
        <w:t> </w:t>
      </w:r>
      <w:r w:rsidR="00A541BA" w:rsidRPr="00722C5B">
        <w:rPr>
          <w:lang w:val="en-US"/>
        </w:rPr>
        <w:t>g) in a head</w:t>
      </w:r>
      <w:r w:rsidR="005F1C73" w:rsidRPr="00722C5B">
        <w:rPr>
          <w:lang w:val="en-US"/>
        </w:rPr>
        <w:t>space SPME amber glass vial (20 </w:t>
      </w:r>
      <w:r w:rsidR="00A541BA" w:rsidRPr="00722C5B">
        <w:rPr>
          <w:lang w:val="en-US"/>
        </w:rPr>
        <w:t>ml) and spiked with hexanal-d</w:t>
      </w:r>
      <w:r w:rsidR="00A541BA" w:rsidRPr="00722C5B">
        <w:rPr>
          <w:vertAlign w:val="subscript"/>
          <w:lang w:val="en-US"/>
        </w:rPr>
        <w:t>12</w:t>
      </w:r>
      <w:r w:rsidR="00A541BA" w:rsidRPr="00722C5B">
        <w:rPr>
          <w:lang w:val="en-US"/>
        </w:rPr>
        <w:t xml:space="preserve"> (120</w:t>
      </w:r>
      <w:r w:rsidR="005F1C73" w:rsidRPr="00722C5B">
        <w:rPr>
          <w:rFonts w:cs="Arial"/>
          <w:lang w:val="en-US" w:eastAsia="fr-CH"/>
        </w:rPr>
        <w:t> </w:t>
      </w:r>
      <w:r w:rsidR="00A541BA" w:rsidRPr="00722C5B">
        <w:rPr>
          <w:rFonts w:cs="Arial"/>
          <w:lang w:val="fr-CH" w:eastAsia="fr-CH"/>
        </w:rPr>
        <w:t>μ</w:t>
      </w:r>
      <w:r w:rsidR="00A541BA" w:rsidRPr="00722C5B">
        <w:rPr>
          <w:rFonts w:cs="Arial"/>
          <w:lang w:val="en-US" w:eastAsia="fr-CH"/>
        </w:rPr>
        <w:t>g</w:t>
      </w:r>
      <w:r w:rsidR="00A541BA" w:rsidRPr="00722C5B">
        <w:rPr>
          <w:lang w:val="en-US"/>
        </w:rPr>
        <w:t xml:space="preserve">) as internal standard </w:t>
      </w:r>
      <w:r w:rsidR="00D507AB" w:rsidRPr="00722C5B">
        <w:rPr>
          <w:lang w:val="en-US"/>
        </w:rPr>
        <w:t xml:space="preserve">using a calibrated syringe </w:t>
      </w:r>
      <w:r w:rsidR="00A541BA" w:rsidRPr="00722C5B">
        <w:rPr>
          <w:lang w:val="en-US"/>
        </w:rPr>
        <w:t xml:space="preserve">before the analysis. The SPME conditions were the following: </w:t>
      </w:r>
      <w:r w:rsidR="00307A84" w:rsidRPr="00722C5B">
        <w:rPr>
          <w:lang w:val="en-US"/>
        </w:rPr>
        <w:t xml:space="preserve">the </w:t>
      </w:r>
      <w:r w:rsidR="00A541BA" w:rsidRPr="00722C5B">
        <w:rPr>
          <w:lang w:val="en-US"/>
        </w:rPr>
        <w:t xml:space="preserve">fiber selected </w:t>
      </w:r>
      <w:r w:rsidR="00307A84" w:rsidRPr="00722C5B">
        <w:rPr>
          <w:lang w:val="en-US"/>
        </w:rPr>
        <w:t xml:space="preserve">was a </w:t>
      </w:r>
      <w:proofErr w:type="spellStart"/>
      <w:r w:rsidR="00307A84" w:rsidRPr="00722C5B">
        <w:rPr>
          <w:lang w:val="en-US"/>
        </w:rPr>
        <w:t>divinylbenzene</w:t>
      </w:r>
      <w:proofErr w:type="spellEnd"/>
      <w:r w:rsidR="00307A84" w:rsidRPr="00722C5B">
        <w:rPr>
          <w:lang w:val="en-US"/>
        </w:rPr>
        <w:t>/</w:t>
      </w:r>
      <w:proofErr w:type="spellStart"/>
      <w:r w:rsidR="00307A84" w:rsidRPr="00722C5B">
        <w:rPr>
          <w:lang w:val="en-US"/>
        </w:rPr>
        <w:t>carboxen</w:t>
      </w:r>
      <w:proofErr w:type="spellEnd"/>
      <w:r w:rsidR="00307A84" w:rsidRPr="00722C5B">
        <w:rPr>
          <w:lang w:val="en-US"/>
        </w:rPr>
        <w:t>/</w:t>
      </w:r>
      <w:proofErr w:type="spellStart"/>
      <w:r w:rsidR="00307A84" w:rsidRPr="00722C5B">
        <w:rPr>
          <w:lang w:val="en-US"/>
        </w:rPr>
        <w:t>polydimethylsiloxane</w:t>
      </w:r>
      <w:proofErr w:type="spellEnd"/>
      <w:r w:rsidR="00307A84" w:rsidRPr="00722C5B">
        <w:rPr>
          <w:lang w:val="en-US"/>
        </w:rPr>
        <w:t xml:space="preserve"> (</w:t>
      </w:r>
      <w:r w:rsidR="00A541BA" w:rsidRPr="00722C5B">
        <w:rPr>
          <w:lang w:val="en-US"/>
        </w:rPr>
        <w:t>DVB/CAR/PDMS</w:t>
      </w:r>
      <w:r w:rsidR="00307A84" w:rsidRPr="00722C5B">
        <w:rPr>
          <w:lang w:val="en-US"/>
        </w:rPr>
        <w:t xml:space="preserve">; </w:t>
      </w:r>
      <w:proofErr w:type="spellStart"/>
      <w:r w:rsidR="00A541BA" w:rsidRPr="00722C5B">
        <w:rPr>
          <w:lang w:val="en-US"/>
        </w:rPr>
        <w:t>Supelco</w:t>
      </w:r>
      <w:proofErr w:type="spellEnd"/>
      <w:r w:rsidR="00A541BA" w:rsidRPr="00722C5B">
        <w:rPr>
          <w:lang w:val="en-US"/>
        </w:rPr>
        <w:t xml:space="preserve">, Palo Alto, USA) </w:t>
      </w:r>
      <w:r w:rsidR="00307A84" w:rsidRPr="00722C5B">
        <w:rPr>
          <w:lang w:val="en-US"/>
        </w:rPr>
        <w:t xml:space="preserve">with an </w:t>
      </w:r>
      <w:r w:rsidR="00A541BA" w:rsidRPr="00722C5B">
        <w:rPr>
          <w:lang w:val="en-US"/>
        </w:rPr>
        <w:t xml:space="preserve">equilibration temperature </w:t>
      </w:r>
      <w:r w:rsidR="00307A84" w:rsidRPr="00722C5B">
        <w:rPr>
          <w:lang w:val="en-US"/>
        </w:rPr>
        <w:t xml:space="preserve">of </w:t>
      </w:r>
      <w:r w:rsidR="00A541BA" w:rsidRPr="00722C5B">
        <w:rPr>
          <w:lang w:val="en-US"/>
        </w:rPr>
        <w:t>37</w:t>
      </w:r>
      <w:r w:rsidR="00307A84" w:rsidRPr="00722C5B">
        <w:rPr>
          <w:lang w:val="en-US"/>
        </w:rPr>
        <w:t xml:space="preserve"> </w:t>
      </w:r>
      <w:r w:rsidR="00A541BA" w:rsidRPr="00722C5B">
        <w:rPr>
          <w:lang w:val="en-US"/>
        </w:rPr>
        <w:t>°C, incubation time 30</w:t>
      </w:r>
      <w:r w:rsidR="005F1C73" w:rsidRPr="00722C5B">
        <w:rPr>
          <w:lang w:val="en-US"/>
        </w:rPr>
        <w:t> </w:t>
      </w:r>
      <w:r w:rsidR="00A541BA" w:rsidRPr="00722C5B">
        <w:rPr>
          <w:lang w:val="en-US"/>
        </w:rPr>
        <w:t>min</w:t>
      </w:r>
      <w:r w:rsidR="00307A84" w:rsidRPr="00722C5B">
        <w:rPr>
          <w:lang w:val="en-US"/>
        </w:rPr>
        <w:t>,</w:t>
      </w:r>
      <w:r w:rsidR="00A541BA" w:rsidRPr="00722C5B">
        <w:rPr>
          <w:lang w:val="en-US"/>
        </w:rPr>
        <w:t xml:space="preserve"> and </w:t>
      </w:r>
      <w:r w:rsidR="00307A84" w:rsidRPr="00722C5B">
        <w:rPr>
          <w:lang w:val="en-US"/>
        </w:rPr>
        <w:t xml:space="preserve">a </w:t>
      </w:r>
      <w:r w:rsidR="00A541BA" w:rsidRPr="00722C5B">
        <w:rPr>
          <w:lang w:val="en-US"/>
        </w:rPr>
        <w:t xml:space="preserve">desorption time </w:t>
      </w:r>
      <w:r w:rsidR="00307A84" w:rsidRPr="00722C5B">
        <w:rPr>
          <w:lang w:val="en-US"/>
        </w:rPr>
        <w:t xml:space="preserve">of </w:t>
      </w:r>
      <w:r w:rsidR="00A541BA" w:rsidRPr="00722C5B">
        <w:rPr>
          <w:lang w:val="en-US"/>
        </w:rPr>
        <w:t>30</w:t>
      </w:r>
      <w:r w:rsidR="005F1C73" w:rsidRPr="00722C5B">
        <w:rPr>
          <w:lang w:val="en-US"/>
        </w:rPr>
        <w:t> </w:t>
      </w:r>
      <w:r w:rsidR="00F27C20" w:rsidRPr="00722C5B">
        <w:rPr>
          <w:lang w:val="en-US"/>
        </w:rPr>
        <w:t>s</w:t>
      </w:r>
      <w:r w:rsidR="009A0402" w:rsidRPr="00722C5B">
        <w:rPr>
          <w:lang w:val="en-US"/>
        </w:rPr>
        <w:t>.</w:t>
      </w:r>
    </w:p>
    <w:p w:rsidR="00A541BA" w:rsidRPr="00722C5B" w:rsidRDefault="00A541BA" w:rsidP="009A0402">
      <w:pPr>
        <w:autoSpaceDE w:val="0"/>
        <w:autoSpaceDN w:val="0"/>
        <w:adjustRightInd w:val="0"/>
        <w:spacing w:line="480" w:lineRule="auto"/>
        <w:ind w:firstLine="284"/>
        <w:jc w:val="both"/>
        <w:rPr>
          <w:rFonts w:cs="Arial"/>
          <w:lang w:val="en-US" w:eastAsia="fr-CH"/>
        </w:rPr>
      </w:pPr>
      <w:r w:rsidRPr="00722C5B">
        <w:rPr>
          <w:lang w:val="en-US"/>
        </w:rPr>
        <w:lastRenderedPageBreak/>
        <w:t xml:space="preserve">The GC-MS analyses were performed on a Thermo </w:t>
      </w:r>
      <w:proofErr w:type="spellStart"/>
      <w:r w:rsidRPr="00722C5B">
        <w:rPr>
          <w:lang w:val="en-US"/>
        </w:rPr>
        <w:t>Finningan</w:t>
      </w:r>
      <w:proofErr w:type="spellEnd"/>
      <w:r w:rsidRPr="00722C5B">
        <w:rPr>
          <w:lang w:val="en-US"/>
        </w:rPr>
        <w:t xml:space="preserve"> GC TOP 8000 coupled to a Thermo </w:t>
      </w:r>
      <w:proofErr w:type="spellStart"/>
      <w:r w:rsidRPr="00722C5B">
        <w:rPr>
          <w:lang w:val="en-US"/>
        </w:rPr>
        <w:t>Finningan</w:t>
      </w:r>
      <w:proofErr w:type="spellEnd"/>
      <w:r w:rsidRPr="00722C5B">
        <w:rPr>
          <w:lang w:val="en-US"/>
        </w:rPr>
        <w:t xml:space="preserve"> Voyager </w:t>
      </w:r>
      <w:proofErr w:type="spellStart"/>
      <w:r w:rsidRPr="00722C5B">
        <w:rPr>
          <w:lang w:val="en-US"/>
        </w:rPr>
        <w:t>quadrupole</w:t>
      </w:r>
      <w:proofErr w:type="spellEnd"/>
      <w:r w:rsidRPr="00722C5B">
        <w:rPr>
          <w:lang w:val="en-US"/>
        </w:rPr>
        <w:t xml:space="preserve"> mass spectrometer </w:t>
      </w:r>
      <w:r w:rsidR="00FE0220">
        <w:rPr>
          <w:lang w:val="en-US"/>
        </w:rPr>
        <w:t xml:space="preserve">and equipped with a CTC PAL injector configured for SPME experiments </w:t>
      </w:r>
      <w:r w:rsidRPr="00722C5B">
        <w:rPr>
          <w:lang w:val="en-US"/>
        </w:rPr>
        <w:t>(</w:t>
      </w:r>
      <w:proofErr w:type="spellStart"/>
      <w:r w:rsidRPr="00722C5B">
        <w:rPr>
          <w:lang w:val="en-US"/>
        </w:rPr>
        <w:t>Brechbühler</w:t>
      </w:r>
      <w:proofErr w:type="spellEnd"/>
      <w:r w:rsidRPr="00722C5B" w:rsidDel="00363DED">
        <w:rPr>
          <w:lang w:val="en-US"/>
        </w:rPr>
        <w:t xml:space="preserve"> </w:t>
      </w:r>
      <w:proofErr w:type="spellStart"/>
      <w:r w:rsidRPr="00722C5B">
        <w:rPr>
          <w:lang w:val="en-US"/>
        </w:rPr>
        <w:t>Schlieren</w:t>
      </w:r>
      <w:proofErr w:type="spellEnd"/>
      <w:r w:rsidRPr="00722C5B">
        <w:rPr>
          <w:lang w:val="en-US"/>
        </w:rPr>
        <w:t>, Switzerland). The GC injection was performed on a split</w:t>
      </w:r>
      <w:r w:rsidR="00DD6F1B" w:rsidRPr="00722C5B">
        <w:rPr>
          <w:lang w:val="en-US"/>
        </w:rPr>
        <w:t>-</w:t>
      </w:r>
      <w:r w:rsidRPr="00722C5B">
        <w:rPr>
          <w:lang w:val="en-US"/>
        </w:rPr>
        <w:t>less injector with linear velocity of 30 mL/min. Helium was selected as carrier gas at constant pressure of 150</w:t>
      </w:r>
      <w:r w:rsidR="005F1C73" w:rsidRPr="00722C5B">
        <w:rPr>
          <w:lang w:val="en-US"/>
        </w:rPr>
        <w:t> </w:t>
      </w:r>
      <w:proofErr w:type="spellStart"/>
      <w:r w:rsidR="00D24D9B">
        <w:rPr>
          <w:lang w:val="en-US"/>
        </w:rPr>
        <w:t>k</w:t>
      </w:r>
      <w:r w:rsidRPr="00722C5B">
        <w:rPr>
          <w:lang w:val="en-US"/>
        </w:rPr>
        <w:t>Pa</w:t>
      </w:r>
      <w:proofErr w:type="spellEnd"/>
      <w:r w:rsidRPr="00722C5B">
        <w:rPr>
          <w:lang w:val="en-US"/>
        </w:rPr>
        <w:t xml:space="preserve">. A DB-5MS </w:t>
      </w:r>
      <w:r w:rsidRPr="00722C5B">
        <w:rPr>
          <w:rFonts w:cs="Arial"/>
          <w:lang w:val="en-US" w:eastAsia="fr-CH"/>
        </w:rPr>
        <w:t>(</w:t>
      </w:r>
      <w:r w:rsidR="00FE0220">
        <w:rPr>
          <w:rFonts w:cs="Arial"/>
          <w:lang w:val="en-US" w:eastAsia="fr-CH"/>
        </w:rPr>
        <w:t xml:space="preserve">5% phenyl 95% dimethyl </w:t>
      </w:r>
      <w:proofErr w:type="spellStart"/>
      <w:r w:rsidR="002A442D" w:rsidRPr="00722C5B">
        <w:rPr>
          <w:rFonts w:cs="Arial"/>
          <w:lang w:val="en-US" w:eastAsia="fr-CH"/>
        </w:rPr>
        <w:t>arylene</w:t>
      </w:r>
      <w:proofErr w:type="spellEnd"/>
      <w:r w:rsidR="002A442D" w:rsidRPr="00722C5B">
        <w:rPr>
          <w:rFonts w:cs="Arial"/>
          <w:lang w:val="en-US" w:eastAsia="fr-CH"/>
        </w:rPr>
        <w:t xml:space="preserve"> </w:t>
      </w:r>
      <w:proofErr w:type="spellStart"/>
      <w:r w:rsidR="00FE0220">
        <w:rPr>
          <w:rFonts w:cs="Arial"/>
          <w:lang w:val="en-US" w:eastAsia="fr-CH"/>
        </w:rPr>
        <w:t>siloxane</w:t>
      </w:r>
      <w:proofErr w:type="spellEnd"/>
      <w:r w:rsidR="00FE0220">
        <w:rPr>
          <w:rFonts w:cs="Arial"/>
          <w:lang w:val="en-US" w:eastAsia="fr-CH"/>
        </w:rPr>
        <w:t xml:space="preserve"> stati</w:t>
      </w:r>
      <w:r w:rsidR="002A442D" w:rsidRPr="00722C5B">
        <w:rPr>
          <w:rFonts w:cs="Arial"/>
          <w:lang w:val="en-US" w:eastAsia="fr-CH"/>
        </w:rPr>
        <w:t xml:space="preserve">onary phase; </w:t>
      </w:r>
      <w:proofErr w:type="spellStart"/>
      <w:r w:rsidRPr="00722C5B">
        <w:rPr>
          <w:lang w:val="en-US"/>
        </w:rPr>
        <w:t>Brechbühler</w:t>
      </w:r>
      <w:proofErr w:type="spellEnd"/>
      <w:r w:rsidRPr="00722C5B">
        <w:rPr>
          <w:lang w:val="en-US"/>
        </w:rPr>
        <w:t xml:space="preserve">, </w:t>
      </w:r>
      <w:proofErr w:type="spellStart"/>
      <w:r w:rsidRPr="00722C5B">
        <w:rPr>
          <w:lang w:val="en-US"/>
        </w:rPr>
        <w:t>Schlieren</w:t>
      </w:r>
      <w:proofErr w:type="spellEnd"/>
      <w:r w:rsidRPr="00722C5B">
        <w:rPr>
          <w:lang w:val="en-US"/>
        </w:rPr>
        <w:t>, Switzerland</w:t>
      </w:r>
      <w:r w:rsidRPr="00722C5B" w:rsidDel="00D52E23">
        <w:rPr>
          <w:rFonts w:cs="Arial"/>
          <w:lang w:val="en-US" w:eastAsia="fr-CH"/>
        </w:rPr>
        <w:t>)</w:t>
      </w:r>
      <w:r w:rsidRPr="00722C5B">
        <w:rPr>
          <w:rFonts w:cs="Arial"/>
          <w:lang w:val="en-US" w:eastAsia="fr-CH"/>
        </w:rPr>
        <w:t xml:space="preserve"> capillary column with </w:t>
      </w:r>
      <w:r w:rsidRPr="00722C5B">
        <w:rPr>
          <w:lang w:val="en-US"/>
        </w:rPr>
        <w:t>60</w:t>
      </w:r>
      <w:r w:rsidR="005F1C73" w:rsidRPr="00722C5B">
        <w:rPr>
          <w:lang w:val="en-US"/>
        </w:rPr>
        <w:t> </w:t>
      </w:r>
      <w:r w:rsidRPr="00722C5B">
        <w:rPr>
          <w:lang w:val="en-US"/>
        </w:rPr>
        <w:t>m length, 0.25</w:t>
      </w:r>
      <w:r w:rsidR="005F1C73" w:rsidRPr="00722C5B">
        <w:rPr>
          <w:lang w:val="en-US"/>
        </w:rPr>
        <w:t> </w:t>
      </w:r>
      <w:r w:rsidRPr="00722C5B">
        <w:rPr>
          <w:lang w:val="en-US"/>
        </w:rPr>
        <w:t xml:space="preserve">mm internal diameter and </w:t>
      </w:r>
      <w:r w:rsidRPr="00722C5B">
        <w:rPr>
          <w:rFonts w:cs="Arial"/>
          <w:lang w:val="en-US" w:eastAsia="fr-CH"/>
        </w:rPr>
        <w:t>0.25</w:t>
      </w:r>
      <w:r w:rsidR="005F1C73" w:rsidRPr="00722C5B">
        <w:rPr>
          <w:rFonts w:cs="Arial"/>
          <w:lang w:val="en-US" w:eastAsia="fr-CH"/>
        </w:rPr>
        <w:t> </w:t>
      </w:r>
      <w:r w:rsidRPr="00722C5B">
        <w:rPr>
          <w:rFonts w:cs="Arial"/>
          <w:lang w:val="fr-CH" w:eastAsia="fr-CH"/>
        </w:rPr>
        <w:t>μ</w:t>
      </w:r>
      <w:r w:rsidRPr="00722C5B">
        <w:rPr>
          <w:rFonts w:cs="Arial"/>
          <w:lang w:val="en-US" w:eastAsia="fr-CH"/>
        </w:rPr>
        <w:t xml:space="preserve">m film </w:t>
      </w:r>
      <w:proofErr w:type="gramStart"/>
      <w:r w:rsidRPr="00722C5B">
        <w:rPr>
          <w:rFonts w:cs="Arial"/>
          <w:lang w:val="en-US" w:eastAsia="fr-CH"/>
        </w:rPr>
        <w:t>thickness</w:t>
      </w:r>
      <w:proofErr w:type="gramEnd"/>
      <w:r w:rsidRPr="00722C5B">
        <w:rPr>
          <w:rFonts w:cs="Arial"/>
          <w:lang w:val="en-US" w:eastAsia="fr-CH"/>
        </w:rPr>
        <w:t xml:space="preserve"> was used. The column temperature was held at 50</w:t>
      </w:r>
      <w:r w:rsidR="005F1C73" w:rsidRPr="00722C5B">
        <w:rPr>
          <w:rFonts w:cs="Arial"/>
          <w:lang w:val="en-US" w:eastAsia="fr-CH"/>
        </w:rPr>
        <w:t> </w:t>
      </w:r>
      <w:r w:rsidR="00D507AB" w:rsidRPr="00722C5B">
        <w:rPr>
          <w:lang w:val="en-US" w:eastAsia="fr-CH"/>
        </w:rPr>
        <w:t>°</w:t>
      </w:r>
      <w:r w:rsidR="00D507AB" w:rsidRPr="00722C5B">
        <w:rPr>
          <w:rFonts w:cs="Arial"/>
          <w:lang w:val="en-US" w:eastAsia="fr-CH"/>
        </w:rPr>
        <w:t>C</w:t>
      </w:r>
      <w:r w:rsidRPr="00722C5B">
        <w:rPr>
          <w:rFonts w:cs="Arial"/>
          <w:lang w:val="en-US" w:eastAsia="fr-CH"/>
        </w:rPr>
        <w:t xml:space="preserve"> for 10</w:t>
      </w:r>
      <w:r w:rsidR="005F1C73" w:rsidRPr="00722C5B">
        <w:rPr>
          <w:rFonts w:cs="Arial"/>
          <w:lang w:val="en-US" w:eastAsia="fr-CH"/>
        </w:rPr>
        <w:t> </w:t>
      </w:r>
      <w:r w:rsidRPr="00722C5B">
        <w:rPr>
          <w:rFonts w:cs="Arial"/>
          <w:lang w:val="en-US" w:eastAsia="fr-CH"/>
        </w:rPr>
        <w:t>min and increased to 250</w:t>
      </w:r>
      <w:r w:rsidR="005F1C73" w:rsidRPr="00722C5B">
        <w:rPr>
          <w:rFonts w:cs="Arial"/>
          <w:lang w:val="en-US" w:eastAsia="fr-CH"/>
        </w:rPr>
        <w:t> </w:t>
      </w:r>
      <w:r w:rsidR="00D507AB" w:rsidRPr="00722C5B">
        <w:rPr>
          <w:lang w:val="en-US" w:eastAsia="fr-CH"/>
        </w:rPr>
        <w:t>°</w:t>
      </w:r>
      <w:r w:rsidR="00D507AB" w:rsidRPr="00722C5B">
        <w:rPr>
          <w:rFonts w:cs="Arial"/>
          <w:lang w:val="en-US" w:eastAsia="fr-CH"/>
        </w:rPr>
        <w:t>C</w:t>
      </w:r>
      <w:r w:rsidRPr="00722C5B">
        <w:rPr>
          <w:rFonts w:cs="Arial"/>
          <w:lang w:val="en-US" w:eastAsia="fr-CH"/>
        </w:rPr>
        <w:t xml:space="preserve"> at 10</w:t>
      </w:r>
      <w:r w:rsidR="005F1C73" w:rsidRPr="00722C5B">
        <w:rPr>
          <w:rFonts w:cs="Arial"/>
          <w:lang w:val="en-US" w:eastAsia="fr-CH"/>
        </w:rPr>
        <w:t> </w:t>
      </w:r>
      <w:r w:rsidRPr="00722C5B">
        <w:rPr>
          <w:rFonts w:cs="Arial"/>
          <w:lang w:val="en-US" w:eastAsia="fr-CH"/>
        </w:rPr>
        <w:t xml:space="preserve">°C/min and maintained </w:t>
      </w:r>
      <w:r w:rsidR="00DD6F1B" w:rsidRPr="00722C5B">
        <w:rPr>
          <w:rFonts w:cs="Arial"/>
          <w:lang w:val="en-US" w:eastAsia="fr-CH"/>
        </w:rPr>
        <w:t xml:space="preserve">at 250 </w:t>
      </w:r>
      <w:r w:rsidR="00DD6F1B" w:rsidRPr="00722C5B">
        <w:rPr>
          <w:lang w:val="en-US" w:eastAsia="fr-CH"/>
        </w:rPr>
        <w:t>°</w:t>
      </w:r>
      <w:r w:rsidR="00DD6F1B" w:rsidRPr="00722C5B">
        <w:rPr>
          <w:rFonts w:cs="Arial"/>
          <w:lang w:val="en-US" w:eastAsia="fr-CH"/>
        </w:rPr>
        <w:t xml:space="preserve">C for </w:t>
      </w:r>
      <w:r w:rsidRPr="00722C5B">
        <w:rPr>
          <w:rFonts w:cs="Arial"/>
          <w:lang w:val="en-US" w:eastAsia="fr-CH"/>
        </w:rPr>
        <w:t>10</w:t>
      </w:r>
      <w:r w:rsidR="005F1C73" w:rsidRPr="00722C5B">
        <w:rPr>
          <w:rFonts w:cs="Arial"/>
          <w:lang w:val="en-US" w:eastAsia="fr-CH"/>
        </w:rPr>
        <w:t> </w:t>
      </w:r>
      <w:r w:rsidRPr="00722C5B">
        <w:rPr>
          <w:rFonts w:cs="Arial"/>
          <w:lang w:val="en-US" w:eastAsia="fr-CH"/>
        </w:rPr>
        <w:t>min. The temperatures of the ion source and transfer line were 200 and 220</w:t>
      </w:r>
      <w:r w:rsidR="005F1C73" w:rsidRPr="00722C5B">
        <w:rPr>
          <w:rFonts w:cs="Arial"/>
          <w:lang w:val="en-US" w:eastAsia="fr-CH"/>
        </w:rPr>
        <w:t> </w:t>
      </w:r>
      <w:r w:rsidRPr="00722C5B">
        <w:rPr>
          <w:rFonts w:cs="Arial"/>
          <w:lang w:val="en-US" w:eastAsia="fr-CH"/>
        </w:rPr>
        <w:t>°C, respectively. Electron impact mass spectra were recorded at 500</w:t>
      </w:r>
      <w:r w:rsidR="00894E6B" w:rsidRPr="00722C5B">
        <w:rPr>
          <w:rFonts w:cs="Arial"/>
          <w:lang w:val="en-US" w:eastAsia="fr-CH"/>
        </w:rPr>
        <w:t> </w:t>
      </w:r>
      <w:r w:rsidRPr="00722C5B">
        <w:rPr>
          <w:rFonts w:cs="Arial"/>
          <w:lang w:val="en-US" w:eastAsia="fr-CH"/>
        </w:rPr>
        <w:t>V in the 35-250</w:t>
      </w:r>
      <w:r w:rsidR="00894E6B" w:rsidRPr="00722C5B">
        <w:rPr>
          <w:rFonts w:cs="Arial"/>
          <w:lang w:val="en-US" w:eastAsia="fr-CH"/>
        </w:rPr>
        <w:t> micron</w:t>
      </w:r>
      <w:r w:rsidRPr="00722C5B">
        <w:rPr>
          <w:rFonts w:cs="Arial"/>
          <w:lang w:val="en-US" w:eastAsia="fr-CH"/>
        </w:rPr>
        <w:t xml:space="preserve"> mass range, </w:t>
      </w:r>
      <w:proofErr w:type="gramStart"/>
      <w:r w:rsidRPr="00722C5B">
        <w:rPr>
          <w:rFonts w:cs="Arial"/>
          <w:lang w:val="en-US" w:eastAsia="fr-CH"/>
        </w:rPr>
        <w:t>at two scans/s</w:t>
      </w:r>
      <w:proofErr w:type="gramEnd"/>
      <w:r w:rsidRPr="00722C5B">
        <w:rPr>
          <w:rFonts w:cs="Arial"/>
          <w:lang w:val="en-US" w:eastAsia="fr-CH"/>
        </w:rPr>
        <w:t xml:space="preserve">. </w:t>
      </w:r>
      <w:r w:rsidR="00C058E5" w:rsidRPr="00722C5B">
        <w:rPr>
          <w:rFonts w:cs="Arial"/>
          <w:lang w:val="en-US" w:eastAsia="fr-CH"/>
        </w:rPr>
        <w:t>The c</w:t>
      </w:r>
      <w:r w:rsidRPr="00722C5B">
        <w:rPr>
          <w:rFonts w:cs="Arial"/>
          <w:lang w:val="en-US" w:eastAsia="fr-CH"/>
        </w:rPr>
        <w:t xml:space="preserve">oncentration of </w:t>
      </w:r>
      <w:proofErr w:type="spellStart"/>
      <w:r w:rsidR="00C058E5" w:rsidRPr="00722C5B">
        <w:rPr>
          <w:rFonts w:cs="Arial"/>
          <w:lang w:val="en-US" w:eastAsia="fr-CH"/>
        </w:rPr>
        <w:t>hexanal</w:t>
      </w:r>
      <w:proofErr w:type="spellEnd"/>
      <w:r w:rsidRPr="00722C5B">
        <w:rPr>
          <w:rFonts w:cs="Arial"/>
          <w:lang w:val="en-US" w:eastAsia="fr-CH"/>
        </w:rPr>
        <w:t xml:space="preserve"> was determined in </w:t>
      </w:r>
      <w:r w:rsidR="00C058E5" w:rsidRPr="00722C5B">
        <w:rPr>
          <w:rFonts w:cs="Arial"/>
          <w:lang w:val="en-US" w:eastAsia="fr-CH"/>
        </w:rPr>
        <w:t>triplicate samples</w:t>
      </w:r>
      <w:r w:rsidRPr="00722C5B">
        <w:rPr>
          <w:rFonts w:cs="Arial"/>
          <w:lang w:val="en-US" w:eastAsia="fr-CH"/>
        </w:rPr>
        <w:t xml:space="preserve"> from </w:t>
      </w:r>
      <w:r w:rsidR="00C058E5" w:rsidRPr="00722C5B">
        <w:rPr>
          <w:rFonts w:cs="Arial"/>
          <w:lang w:val="en-US" w:eastAsia="fr-CH"/>
        </w:rPr>
        <w:t xml:space="preserve">the </w:t>
      </w:r>
      <w:r w:rsidRPr="00722C5B">
        <w:rPr>
          <w:rFonts w:cs="Arial"/>
          <w:lang w:val="en-US" w:eastAsia="fr-CH"/>
        </w:rPr>
        <w:t xml:space="preserve">peak area </w:t>
      </w:r>
      <w:r w:rsidR="00C058E5" w:rsidRPr="00722C5B">
        <w:rPr>
          <w:rFonts w:cs="Arial"/>
          <w:lang w:val="en-US" w:eastAsia="fr-CH"/>
        </w:rPr>
        <w:t>of</w:t>
      </w:r>
      <w:r w:rsidRPr="00722C5B">
        <w:rPr>
          <w:rFonts w:cs="Arial"/>
          <w:lang w:val="en-US" w:eastAsia="fr-CH"/>
        </w:rPr>
        <w:t xml:space="preserve"> the labeled internal standard (hexanal-d</w:t>
      </w:r>
      <w:r w:rsidRPr="00722C5B">
        <w:rPr>
          <w:rFonts w:cs="Arial"/>
          <w:vertAlign w:val="subscript"/>
          <w:lang w:val="en-US" w:eastAsia="fr-CH"/>
        </w:rPr>
        <w:t>12</w:t>
      </w:r>
      <w:r w:rsidRPr="00722C5B">
        <w:rPr>
          <w:rFonts w:cs="Arial"/>
          <w:lang w:val="en-US" w:eastAsia="fr-CH"/>
        </w:rPr>
        <w:t xml:space="preserve">). </w:t>
      </w:r>
      <w:r w:rsidR="00D405F6" w:rsidRPr="00722C5B">
        <w:rPr>
          <w:rFonts w:cs="Arial"/>
          <w:lang w:val="en-US" w:eastAsia="fr-CH"/>
        </w:rPr>
        <w:t>In explanation, t</w:t>
      </w:r>
      <w:r w:rsidRPr="00722C5B">
        <w:rPr>
          <w:rFonts w:cs="Arial"/>
          <w:lang w:val="en-US" w:eastAsia="fr-CH"/>
        </w:rPr>
        <w:t xml:space="preserve">he quantification of </w:t>
      </w:r>
      <w:proofErr w:type="spellStart"/>
      <w:r w:rsidR="00C058E5" w:rsidRPr="00722C5B">
        <w:rPr>
          <w:rFonts w:cs="Arial"/>
          <w:lang w:val="en-US" w:eastAsia="fr-CH"/>
        </w:rPr>
        <w:t>hexanal</w:t>
      </w:r>
      <w:proofErr w:type="spellEnd"/>
      <w:r w:rsidRPr="00722C5B">
        <w:rPr>
          <w:rFonts w:cs="Arial"/>
          <w:lang w:val="en-US" w:eastAsia="fr-CH"/>
        </w:rPr>
        <w:t xml:space="preserve"> was performed by making a calibration curve of </w:t>
      </w:r>
      <w:proofErr w:type="spellStart"/>
      <w:r w:rsidRPr="00722C5B">
        <w:rPr>
          <w:rFonts w:cs="Arial"/>
          <w:lang w:val="en-US" w:eastAsia="fr-CH"/>
        </w:rPr>
        <w:t>hexanal</w:t>
      </w:r>
      <w:proofErr w:type="spellEnd"/>
      <w:r w:rsidRPr="00722C5B">
        <w:rPr>
          <w:rFonts w:cs="Arial"/>
          <w:lang w:val="en-US" w:eastAsia="fr-CH"/>
        </w:rPr>
        <w:t xml:space="preserve"> in </w:t>
      </w:r>
      <w:r w:rsidR="006655D0" w:rsidRPr="00722C5B">
        <w:rPr>
          <w:rFonts w:cs="Arial"/>
          <w:lang w:val="en-US" w:eastAsia="fr-CH"/>
        </w:rPr>
        <w:t>oil</w:t>
      </w:r>
      <w:r w:rsidRPr="00722C5B">
        <w:rPr>
          <w:rFonts w:cs="Arial"/>
          <w:lang w:val="en-US" w:eastAsia="fr-CH"/>
        </w:rPr>
        <w:t xml:space="preserve"> against </w:t>
      </w:r>
      <w:r w:rsidR="00DD6F1B" w:rsidRPr="00722C5B">
        <w:rPr>
          <w:rFonts w:cs="Arial"/>
          <w:lang w:val="en-US" w:eastAsia="fr-CH"/>
        </w:rPr>
        <w:t xml:space="preserve">the </w:t>
      </w:r>
      <w:r w:rsidRPr="00722C5B">
        <w:rPr>
          <w:rFonts w:cs="Arial"/>
          <w:lang w:val="en-US" w:eastAsia="fr-CH"/>
        </w:rPr>
        <w:t>internal standard</w:t>
      </w:r>
      <w:r w:rsidR="00D83F69" w:rsidRPr="00722C5B">
        <w:rPr>
          <w:rFonts w:cs="Arial"/>
          <w:lang w:val="en-US" w:eastAsia="fr-CH"/>
        </w:rPr>
        <w:t xml:space="preserve">. </w:t>
      </w:r>
      <w:r w:rsidRPr="00722C5B">
        <w:rPr>
          <w:rFonts w:cs="Arial"/>
          <w:lang w:val="en-US" w:eastAsia="fr-CH"/>
        </w:rPr>
        <w:t>The amount of volatile</w:t>
      </w:r>
      <w:r w:rsidR="00D405F6" w:rsidRPr="00722C5B">
        <w:rPr>
          <w:rFonts w:cs="Arial"/>
          <w:lang w:val="en-US" w:eastAsia="fr-CH"/>
        </w:rPr>
        <w:t xml:space="preserve"> </w:t>
      </w:r>
      <w:proofErr w:type="spellStart"/>
      <w:r w:rsidR="00D405F6" w:rsidRPr="00722C5B">
        <w:rPr>
          <w:rFonts w:cs="Arial"/>
          <w:lang w:val="en-US" w:eastAsia="fr-CH"/>
        </w:rPr>
        <w:t>hexanal</w:t>
      </w:r>
      <w:proofErr w:type="spellEnd"/>
      <w:r w:rsidRPr="00722C5B">
        <w:rPr>
          <w:rFonts w:cs="Arial"/>
          <w:lang w:val="en-US" w:eastAsia="fr-CH"/>
        </w:rPr>
        <w:t xml:space="preserve"> (expressed in </w:t>
      </w:r>
      <w:proofErr w:type="gramStart"/>
      <w:r w:rsidRPr="00722C5B">
        <w:rPr>
          <w:rFonts w:cs="Arial"/>
          <w:lang w:val="fr-CH" w:eastAsia="fr-CH"/>
        </w:rPr>
        <w:t>μ</w:t>
      </w:r>
      <w:r w:rsidRPr="00722C5B">
        <w:rPr>
          <w:rFonts w:cs="Arial"/>
          <w:lang w:val="en-US" w:eastAsia="fr-CH"/>
        </w:rPr>
        <w:t>g/g</w:t>
      </w:r>
      <w:r w:rsidR="003D5E69" w:rsidRPr="00722C5B">
        <w:rPr>
          <w:rFonts w:cs="Arial"/>
          <w:lang w:val="en-US" w:eastAsia="fr-CH"/>
        </w:rPr>
        <w:t>,</w:t>
      </w:r>
      <w:proofErr w:type="gramEnd"/>
      <w:r w:rsidR="003D5E69" w:rsidRPr="00722C5B">
        <w:rPr>
          <w:rFonts w:cs="Arial"/>
          <w:lang w:val="en-US" w:eastAsia="fr-CH"/>
        </w:rPr>
        <w:t xml:space="preserve"> or ppm</w:t>
      </w:r>
      <w:r w:rsidRPr="00722C5B">
        <w:rPr>
          <w:rFonts w:cs="Arial"/>
          <w:lang w:val="en-US" w:eastAsia="fr-CH"/>
        </w:rPr>
        <w:t>) was calculated acco</w:t>
      </w:r>
      <w:r w:rsidR="00FF2620" w:rsidRPr="00722C5B">
        <w:rPr>
          <w:rFonts w:cs="Arial"/>
          <w:lang w:val="en-US" w:eastAsia="fr-CH"/>
        </w:rPr>
        <w:t xml:space="preserve">rding to the following equation: </w:t>
      </w:r>
    </w:p>
    <w:p w:rsidR="00FF2620" w:rsidRPr="00722C5B" w:rsidRDefault="00FF2620" w:rsidP="005C4A26">
      <w:pPr>
        <w:autoSpaceDE w:val="0"/>
        <w:autoSpaceDN w:val="0"/>
        <w:adjustRightInd w:val="0"/>
        <w:spacing w:line="480" w:lineRule="auto"/>
        <w:jc w:val="both"/>
        <w:rPr>
          <w:rFonts w:cs="Arial"/>
          <w:lang w:val="en-US" w:eastAsia="fr-CH"/>
        </w:rPr>
      </w:pPr>
    </w:p>
    <w:p w:rsidR="00A541BA" w:rsidRPr="00722C5B" w:rsidRDefault="00A541BA" w:rsidP="005C4A26">
      <w:pPr>
        <w:spacing w:line="480" w:lineRule="auto"/>
        <w:jc w:val="both"/>
        <w:rPr>
          <w:rFonts w:cs="Arial"/>
        </w:rPr>
      </w:pPr>
      <w:r w:rsidRPr="00722C5B">
        <w:rPr>
          <w:rFonts w:cs="Arial"/>
          <w:position w:val="-24"/>
        </w:rPr>
        <w:object w:dxaOrig="25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4pt;height:38.5pt" o:ole="">
            <v:imagedata r:id="rId8" o:title=""/>
          </v:shape>
          <o:OLEObject Type="Embed" ProgID="Equation.3" ShapeID="_x0000_i1025" DrawAspect="Content" ObjectID="_1467565765" r:id="rId9"/>
        </w:object>
      </w:r>
    </w:p>
    <w:p w:rsidR="00A541BA" w:rsidRPr="00722C5B" w:rsidRDefault="004215AF" w:rsidP="005C4A26">
      <w:pPr>
        <w:autoSpaceDE w:val="0"/>
        <w:autoSpaceDN w:val="0"/>
        <w:adjustRightInd w:val="0"/>
        <w:spacing w:line="480" w:lineRule="auto"/>
        <w:jc w:val="both"/>
        <w:rPr>
          <w:rFonts w:cs="Arial"/>
          <w:i/>
          <w:lang w:val="en-US" w:eastAsia="fr-CH"/>
        </w:rPr>
      </w:pPr>
      <w:r w:rsidRPr="00722C5B">
        <w:rPr>
          <w:rFonts w:cs="Arial"/>
          <w:i/>
          <w:lang w:val="en-US" w:eastAsia="fr-CH"/>
        </w:rPr>
        <w:t>[</w:t>
      </w:r>
      <w:r w:rsidR="00FF2620" w:rsidRPr="00722C5B">
        <w:rPr>
          <w:rFonts w:cs="Arial"/>
          <w:i/>
          <w:lang w:val="en-US" w:eastAsia="fr-CH"/>
        </w:rPr>
        <w:t xml:space="preserve">Note: </w:t>
      </w:r>
      <w:r w:rsidR="00A541BA" w:rsidRPr="00722C5B">
        <w:rPr>
          <w:rFonts w:cs="Arial"/>
          <w:i/>
          <w:lang w:val="en-US" w:eastAsia="fr-CH"/>
        </w:rPr>
        <w:t xml:space="preserve">AA = area of </w:t>
      </w:r>
      <w:proofErr w:type="spellStart"/>
      <w:r w:rsidR="00A541BA" w:rsidRPr="00722C5B">
        <w:rPr>
          <w:rFonts w:cs="Arial"/>
          <w:i/>
          <w:lang w:val="en-US" w:eastAsia="fr-CH"/>
        </w:rPr>
        <w:t>hexanal</w:t>
      </w:r>
      <w:proofErr w:type="spellEnd"/>
      <w:r w:rsidR="00A541BA" w:rsidRPr="00722C5B">
        <w:rPr>
          <w:rFonts w:cs="Arial"/>
          <w:i/>
          <w:lang w:val="en-US" w:eastAsia="fr-CH"/>
        </w:rPr>
        <w:t xml:space="preserve"> in the sample, AIS = area of internal standard in sample, I = intercept of the calibration curve’s equation, S = slope of the calibration’s curve equation, m = amount of internal standard (</w:t>
      </w:r>
      <w:r w:rsidR="00A541BA" w:rsidRPr="00722C5B">
        <w:rPr>
          <w:rFonts w:cs="Arial"/>
          <w:i/>
          <w:lang w:val="fr-CH" w:eastAsia="fr-CH"/>
        </w:rPr>
        <w:t>μ</w:t>
      </w:r>
      <w:r w:rsidR="00D405F6" w:rsidRPr="00722C5B">
        <w:rPr>
          <w:rFonts w:cs="Arial"/>
          <w:i/>
          <w:lang w:val="en-US" w:eastAsia="fr-CH"/>
        </w:rPr>
        <w:t>g)</w:t>
      </w:r>
      <w:r w:rsidRPr="00722C5B">
        <w:rPr>
          <w:rFonts w:cs="Arial"/>
          <w:i/>
          <w:lang w:val="en-US" w:eastAsia="fr-CH"/>
        </w:rPr>
        <w:t>,</w:t>
      </w:r>
      <w:r w:rsidR="00D405F6" w:rsidRPr="00722C5B">
        <w:rPr>
          <w:rFonts w:cs="Arial"/>
          <w:i/>
          <w:lang w:val="en-US" w:eastAsia="fr-CH"/>
        </w:rPr>
        <w:t xml:space="preserve"> and SW = sample weight (g)</w:t>
      </w:r>
      <w:r w:rsidRPr="00722C5B">
        <w:rPr>
          <w:rFonts w:cs="Arial"/>
          <w:i/>
          <w:lang w:val="en-US" w:eastAsia="fr-CH"/>
        </w:rPr>
        <w:t>]</w:t>
      </w:r>
    </w:p>
    <w:p w:rsidR="00F00FFF" w:rsidRDefault="00F00FFF" w:rsidP="00F00FFF">
      <w:pPr>
        <w:spacing w:line="480" w:lineRule="auto"/>
        <w:jc w:val="both"/>
        <w:rPr>
          <w:lang w:val="en-US"/>
        </w:rPr>
      </w:pPr>
    </w:p>
    <w:p w:rsidR="00F00FFF" w:rsidRPr="00D83906" w:rsidRDefault="00F00FFF" w:rsidP="00F00FFF">
      <w:pPr>
        <w:spacing w:line="480" w:lineRule="auto"/>
        <w:jc w:val="both"/>
        <w:rPr>
          <w:i/>
          <w:lang w:val="en-US"/>
        </w:rPr>
      </w:pPr>
      <w:r w:rsidRPr="00D83906">
        <w:rPr>
          <w:i/>
          <w:lang w:val="en-US"/>
        </w:rPr>
        <w:t>Statistical analyses</w:t>
      </w:r>
    </w:p>
    <w:p w:rsidR="00D41E1A" w:rsidRDefault="00F00FFF" w:rsidP="00F00FFF">
      <w:pPr>
        <w:spacing w:line="480" w:lineRule="auto"/>
        <w:jc w:val="both"/>
        <w:rPr>
          <w:lang w:val="en-US"/>
        </w:rPr>
      </w:pPr>
      <w:r w:rsidRPr="00F00FFF">
        <w:rPr>
          <w:lang w:val="en-US"/>
        </w:rPr>
        <w:t xml:space="preserve">The results were </w:t>
      </w:r>
      <w:proofErr w:type="spellStart"/>
      <w:r w:rsidRPr="00F00FFF">
        <w:rPr>
          <w:lang w:val="en-US"/>
        </w:rPr>
        <w:t>analysed</w:t>
      </w:r>
      <w:proofErr w:type="spellEnd"/>
      <w:r w:rsidRPr="00F00FFF">
        <w:rPr>
          <w:lang w:val="en-US"/>
        </w:rPr>
        <w:t xml:space="preserve"> statistically by analysis of variance (ANOVA) for significance (p ≤ 0.05) using Minitab 15.1.0 software (Minitab Inc., State College, PA, USA). All results were </w:t>
      </w:r>
      <w:r w:rsidRPr="00F00FFF">
        <w:rPr>
          <w:lang w:val="en-US"/>
        </w:rPr>
        <w:lastRenderedPageBreak/>
        <w:t xml:space="preserve">reported as the mean and standard deviation determined from at least </w:t>
      </w:r>
      <w:r w:rsidR="007E446A">
        <w:rPr>
          <w:lang w:val="en-US"/>
        </w:rPr>
        <w:t>six</w:t>
      </w:r>
      <w:r w:rsidRPr="00F00FFF">
        <w:rPr>
          <w:lang w:val="en-US"/>
        </w:rPr>
        <w:t xml:space="preserve"> </w:t>
      </w:r>
      <w:r w:rsidR="007E446A">
        <w:rPr>
          <w:lang w:val="en-US"/>
        </w:rPr>
        <w:t>measurements</w:t>
      </w:r>
      <w:r w:rsidRPr="00F00FFF">
        <w:rPr>
          <w:lang w:val="en-US"/>
        </w:rPr>
        <w:t xml:space="preserve"> on individual samples.</w:t>
      </w:r>
    </w:p>
    <w:p w:rsidR="00F00FFF" w:rsidRPr="00722C5B" w:rsidRDefault="00F00FFF" w:rsidP="00F00FFF">
      <w:pPr>
        <w:spacing w:line="480" w:lineRule="auto"/>
        <w:jc w:val="both"/>
        <w:rPr>
          <w:lang w:val="en-US"/>
        </w:rPr>
      </w:pPr>
    </w:p>
    <w:p w:rsidR="0041710A" w:rsidRPr="00722C5B" w:rsidRDefault="0041710A" w:rsidP="005C4A26">
      <w:pPr>
        <w:spacing w:line="480" w:lineRule="auto"/>
        <w:jc w:val="both"/>
        <w:rPr>
          <w:b/>
          <w:lang w:val="en-US"/>
        </w:rPr>
      </w:pPr>
      <w:r w:rsidRPr="00722C5B">
        <w:rPr>
          <w:b/>
          <w:lang w:val="en-US"/>
        </w:rPr>
        <w:t>Results and Discussion</w:t>
      </w:r>
    </w:p>
    <w:p w:rsidR="002F54BE" w:rsidRPr="00722C5B" w:rsidRDefault="002F54BE" w:rsidP="002F54BE">
      <w:pPr>
        <w:spacing w:line="480" w:lineRule="auto"/>
        <w:jc w:val="both"/>
        <w:rPr>
          <w:i/>
          <w:lang w:val="en-US"/>
        </w:rPr>
      </w:pPr>
      <w:r w:rsidRPr="00722C5B">
        <w:rPr>
          <w:i/>
          <w:lang w:val="en-US"/>
        </w:rPr>
        <w:t>Fatty acid composition</w:t>
      </w:r>
    </w:p>
    <w:p w:rsidR="00385DC3" w:rsidRPr="00722C5B" w:rsidRDefault="007666BA" w:rsidP="005C4A26">
      <w:pPr>
        <w:shd w:val="clear" w:color="auto" w:fill="FFFFFF" w:themeFill="background1"/>
        <w:spacing w:line="480" w:lineRule="auto"/>
        <w:jc w:val="both"/>
        <w:rPr>
          <w:rFonts w:eastAsia="Arial Unicode MS"/>
          <w:color w:val="000000" w:themeColor="text1"/>
          <w:lang w:val="en-US"/>
        </w:rPr>
      </w:pPr>
      <w:r w:rsidRPr="00722C5B">
        <w:rPr>
          <w:rFonts w:eastAsia="Arial Unicode MS"/>
          <w:color w:val="000000" w:themeColor="text1"/>
          <w:lang w:val="en-US"/>
        </w:rPr>
        <w:t>Fatty acid composition data from the commercial HOSFO and SO were summarized and app</w:t>
      </w:r>
      <w:r w:rsidR="00B32EF6" w:rsidRPr="00722C5B">
        <w:rPr>
          <w:rFonts w:eastAsia="Arial Unicode MS"/>
          <w:color w:val="000000" w:themeColor="text1"/>
          <w:lang w:val="en-US"/>
        </w:rPr>
        <w:t xml:space="preserve">ear in </w:t>
      </w:r>
      <w:bookmarkStart w:id="0" w:name="OLE_LINK3"/>
      <w:bookmarkStart w:id="1" w:name="OLE_LINK4"/>
      <w:r w:rsidR="00B32EF6" w:rsidRPr="00722C5B">
        <w:rPr>
          <w:rFonts w:eastAsia="Arial Unicode MS"/>
          <w:b/>
          <w:color w:val="000000" w:themeColor="text1"/>
          <w:lang w:val="en-US"/>
        </w:rPr>
        <w:t xml:space="preserve">Table </w:t>
      </w:r>
      <w:bookmarkEnd w:id="0"/>
      <w:bookmarkEnd w:id="1"/>
      <w:r w:rsidR="00B32EF6" w:rsidRPr="00722C5B">
        <w:rPr>
          <w:rFonts w:eastAsia="Arial Unicode MS"/>
          <w:b/>
          <w:color w:val="000000" w:themeColor="text1"/>
          <w:lang w:val="en-US"/>
        </w:rPr>
        <w:t>2</w:t>
      </w:r>
      <w:r w:rsidR="00B32EF6" w:rsidRPr="00722C5B">
        <w:rPr>
          <w:rFonts w:eastAsia="Arial Unicode MS"/>
          <w:color w:val="000000" w:themeColor="text1"/>
          <w:lang w:val="en-US"/>
        </w:rPr>
        <w:t xml:space="preserve">. As seen in </w:t>
      </w:r>
      <w:r w:rsidR="00B32EF6" w:rsidRPr="00722C5B">
        <w:rPr>
          <w:rFonts w:eastAsia="Arial Unicode MS"/>
          <w:b/>
          <w:color w:val="000000" w:themeColor="text1"/>
          <w:lang w:val="en-US"/>
        </w:rPr>
        <w:t xml:space="preserve">Table 2 </w:t>
      </w:r>
      <w:r w:rsidR="00B32EF6" w:rsidRPr="00722C5B">
        <w:rPr>
          <w:rFonts w:eastAsia="Arial Unicode MS"/>
          <w:color w:val="000000" w:themeColor="text1"/>
          <w:lang w:val="en-US"/>
        </w:rPr>
        <w:t xml:space="preserve">linoleic acid </w:t>
      </w:r>
      <w:r w:rsidR="00D53F72" w:rsidRPr="00722C5B">
        <w:rPr>
          <w:rFonts w:eastAsia="Arial Unicode MS"/>
          <w:color w:val="000000" w:themeColor="text1"/>
          <w:lang w:val="en-US"/>
        </w:rPr>
        <w:t xml:space="preserve">(18:2, </w:t>
      </w:r>
      <w:r w:rsidR="00D53F72" w:rsidRPr="00722C5B">
        <w:rPr>
          <w:rFonts w:ascii="Symbol" w:eastAsia="Arial Unicode MS" w:hAnsi="Symbol"/>
          <w:color w:val="000000" w:themeColor="text1"/>
          <w:lang w:val="en-US"/>
        </w:rPr>
        <w:t></w:t>
      </w:r>
      <w:r w:rsidR="00D53F72" w:rsidRPr="00722C5B">
        <w:rPr>
          <w:rFonts w:eastAsia="Arial Unicode MS"/>
          <w:color w:val="000000" w:themeColor="text1"/>
          <w:lang w:val="en-US"/>
        </w:rPr>
        <w:t xml:space="preserve">6) </w:t>
      </w:r>
      <w:r w:rsidR="00B32EF6" w:rsidRPr="00722C5B">
        <w:rPr>
          <w:rFonts w:eastAsia="Arial Unicode MS"/>
          <w:color w:val="000000" w:themeColor="text1"/>
          <w:lang w:val="en-US"/>
        </w:rPr>
        <w:t xml:space="preserve">was the </w:t>
      </w:r>
      <w:r w:rsidR="0020768F" w:rsidRPr="00722C5B">
        <w:rPr>
          <w:rFonts w:eastAsia="Arial Unicode MS"/>
          <w:color w:val="000000" w:themeColor="text1"/>
          <w:lang w:val="en-US"/>
        </w:rPr>
        <w:t>most abundant</w:t>
      </w:r>
      <w:r w:rsidR="00E06A60" w:rsidRPr="00722C5B">
        <w:rPr>
          <w:rFonts w:eastAsia="Arial Unicode MS"/>
          <w:color w:val="000000" w:themeColor="text1"/>
          <w:lang w:val="en-US"/>
        </w:rPr>
        <w:t xml:space="preserve"> </w:t>
      </w:r>
      <w:r w:rsidR="004D03C5" w:rsidRPr="00722C5B">
        <w:rPr>
          <w:rFonts w:eastAsia="Arial Unicode MS"/>
          <w:color w:val="000000" w:themeColor="text1"/>
          <w:lang w:val="en-US"/>
        </w:rPr>
        <w:t xml:space="preserve">unsaturated </w:t>
      </w:r>
      <w:r w:rsidR="00E06A60" w:rsidRPr="00722C5B">
        <w:rPr>
          <w:rFonts w:eastAsia="Arial Unicode MS"/>
          <w:color w:val="000000" w:themeColor="text1"/>
          <w:lang w:val="en-US"/>
        </w:rPr>
        <w:t xml:space="preserve">fatty acid </w:t>
      </w:r>
      <w:r w:rsidR="00D53F72" w:rsidRPr="00722C5B">
        <w:rPr>
          <w:rFonts w:eastAsia="Arial Unicode MS"/>
          <w:color w:val="000000" w:themeColor="text1"/>
          <w:lang w:val="en-US"/>
        </w:rPr>
        <w:t xml:space="preserve">present in SO </w:t>
      </w:r>
      <w:r w:rsidR="00E06A60" w:rsidRPr="00722C5B">
        <w:rPr>
          <w:rFonts w:eastAsia="Arial Unicode MS"/>
          <w:color w:val="000000" w:themeColor="text1"/>
          <w:lang w:val="en-US"/>
        </w:rPr>
        <w:t>(</w:t>
      </w:r>
      <w:r w:rsidR="00D53F72" w:rsidRPr="00722C5B">
        <w:rPr>
          <w:rFonts w:eastAsia="Arial Unicode MS"/>
          <w:color w:val="000000" w:themeColor="text1"/>
          <w:lang w:val="en-US"/>
        </w:rPr>
        <w:t>52.4</w:t>
      </w:r>
      <w:r w:rsidR="00894E6B" w:rsidRPr="00722C5B">
        <w:rPr>
          <w:rFonts w:eastAsia="Arial Unicode MS"/>
          <w:color w:val="000000" w:themeColor="text1"/>
          <w:lang w:val="en-US"/>
        </w:rPr>
        <w:t> </w:t>
      </w:r>
      <w:r w:rsidR="00E06A60" w:rsidRPr="00722C5B">
        <w:rPr>
          <w:rFonts w:eastAsia="Arial Unicode MS"/>
          <w:color w:val="000000" w:themeColor="text1"/>
          <w:lang w:val="en-US"/>
        </w:rPr>
        <w:t>g</w:t>
      </w:r>
      <w:r w:rsidR="00D53F72" w:rsidRPr="00722C5B">
        <w:rPr>
          <w:rFonts w:eastAsia="Arial Unicode MS"/>
          <w:color w:val="000000" w:themeColor="text1"/>
          <w:lang w:val="en-US"/>
        </w:rPr>
        <w:t xml:space="preserve"> FA</w:t>
      </w:r>
      <w:r w:rsidR="00E06A60" w:rsidRPr="00722C5B">
        <w:rPr>
          <w:rFonts w:eastAsia="Arial Unicode MS"/>
          <w:color w:val="000000" w:themeColor="text1"/>
          <w:lang w:val="en-US"/>
        </w:rPr>
        <w:t>/</w:t>
      </w:r>
      <w:r w:rsidR="004D03C5" w:rsidRPr="00722C5B">
        <w:rPr>
          <w:rFonts w:eastAsia="Arial Unicode MS"/>
          <w:color w:val="000000" w:themeColor="text1"/>
          <w:lang w:val="en-US"/>
        </w:rPr>
        <w:t>100 </w:t>
      </w:r>
      <w:r w:rsidR="00D53F72" w:rsidRPr="00722C5B">
        <w:rPr>
          <w:rFonts w:eastAsia="Arial Unicode MS"/>
          <w:color w:val="000000" w:themeColor="text1"/>
          <w:lang w:val="en-US"/>
        </w:rPr>
        <w:t>g total FA</w:t>
      </w:r>
      <w:r w:rsidR="00E06A60" w:rsidRPr="00722C5B">
        <w:rPr>
          <w:rFonts w:eastAsia="Arial Unicode MS"/>
          <w:color w:val="000000" w:themeColor="text1"/>
          <w:lang w:val="en-US"/>
        </w:rPr>
        <w:t>) followed by oleic</w:t>
      </w:r>
      <w:r w:rsidR="00D53F72" w:rsidRPr="00722C5B">
        <w:rPr>
          <w:rFonts w:eastAsia="Arial Unicode MS"/>
          <w:color w:val="000000" w:themeColor="text1"/>
          <w:lang w:val="en-US"/>
        </w:rPr>
        <w:t xml:space="preserve"> acid </w:t>
      </w:r>
      <w:r w:rsidR="00E06A60" w:rsidRPr="00722C5B">
        <w:rPr>
          <w:rFonts w:eastAsia="Arial Unicode MS"/>
          <w:color w:val="000000" w:themeColor="text1"/>
          <w:lang w:val="en-US"/>
        </w:rPr>
        <w:t>(</w:t>
      </w:r>
      <w:r w:rsidR="00D53F72" w:rsidRPr="00722C5B">
        <w:rPr>
          <w:rFonts w:eastAsia="Arial Unicode MS"/>
          <w:color w:val="000000" w:themeColor="text1"/>
          <w:lang w:val="en-US"/>
        </w:rPr>
        <w:t xml:space="preserve">18:1, </w:t>
      </w:r>
      <w:r w:rsidR="00D53F72" w:rsidRPr="00722C5B">
        <w:rPr>
          <w:rFonts w:ascii="Symbol" w:eastAsia="Arial Unicode MS" w:hAnsi="Symbol"/>
          <w:color w:val="000000" w:themeColor="text1"/>
          <w:lang w:val="en-US"/>
        </w:rPr>
        <w:t></w:t>
      </w:r>
      <w:r w:rsidR="00D53F72" w:rsidRPr="00722C5B">
        <w:rPr>
          <w:rFonts w:eastAsia="Arial Unicode MS"/>
          <w:color w:val="000000" w:themeColor="text1"/>
          <w:lang w:val="en-US"/>
        </w:rPr>
        <w:t xml:space="preserve">9; </w:t>
      </w:r>
      <w:r w:rsidR="00E06A60" w:rsidRPr="00722C5B">
        <w:rPr>
          <w:rFonts w:eastAsia="Arial Unicode MS"/>
          <w:color w:val="000000" w:themeColor="text1"/>
          <w:lang w:val="en-US"/>
        </w:rPr>
        <w:t>2</w:t>
      </w:r>
      <w:r w:rsidR="007B22A1" w:rsidRPr="00722C5B">
        <w:rPr>
          <w:rFonts w:eastAsia="Arial Unicode MS"/>
          <w:color w:val="000000" w:themeColor="text1"/>
          <w:lang w:val="en-US"/>
        </w:rPr>
        <w:t>3</w:t>
      </w:r>
      <w:r w:rsidR="00E06A60" w:rsidRPr="00722C5B">
        <w:rPr>
          <w:rFonts w:eastAsia="Arial Unicode MS"/>
          <w:color w:val="000000" w:themeColor="text1"/>
          <w:lang w:val="en-US"/>
        </w:rPr>
        <w:t>.</w:t>
      </w:r>
      <w:r w:rsidR="007B22A1" w:rsidRPr="00722C5B">
        <w:rPr>
          <w:rFonts w:eastAsia="Arial Unicode MS"/>
          <w:color w:val="000000" w:themeColor="text1"/>
          <w:lang w:val="en-US"/>
        </w:rPr>
        <w:t>7</w:t>
      </w:r>
      <w:r w:rsidR="00894E6B" w:rsidRPr="00722C5B">
        <w:rPr>
          <w:rFonts w:eastAsia="Arial Unicode MS"/>
          <w:color w:val="000000" w:themeColor="text1"/>
          <w:lang w:val="en-US"/>
        </w:rPr>
        <w:t> </w:t>
      </w:r>
      <w:r w:rsidR="00E06A60" w:rsidRPr="00722C5B">
        <w:rPr>
          <w:rFonts w:eastAsia="Arial Unicode MS"/>
          <w:color w:val="000000" w:themeColor="text1"/>
          <w:lang w:val="en-US"/>
        </w:rPr>
        <w:t>g/</w:t>
      </w:r>
      <w:r w:rsidR="004D03C5" w:rsidRPr="00722C5B">
        <w:rPr>
          <w:rFonts w:eastAsia="Arial Unicode MS"/>
          <w:color w:val="000000" w:themeColor="text1"/>
          <w:lang w:val="en-US"/>
        </w:rPr>
        <w:t>100 g total FA</w:t>
      </w:r>
      <w:r w:rsidR="00E06A60" w:rsidRPr="00722C5B">
        <w:rPr>
          <w:rFonts w:eastAsia="Arial Unicode MS"/>
          <w:color w:val="000000" w:themeColor="text1"/>
          <w:lang w:val="en-US"/>
        </w:rPr>
        <w:t xml:space="preserve">) and </w:t>
      </w:r>
      <w:r w:rsidR="004D03C5" w:rsidRPr="00722C5B">
        <w:rPr>
          <w:rFonts w:ascii="Symbol" w:eastAsia="Arial Unicode MS" w:hAnsi="Symbol"/>
          <w:color w:val="000000" w:themeColor="text1"/>
          <w:lang w:val="en-US"/>
        </w:rPr>
        <w:t></w:t>
      </w:r>
      <w:r w:rsidR="004D03C5" w:rsidRPr="00722C5B">
        <w:rPr>
          <w:rFonts w:eastAsia="Arial Unicode MS"/>
          <w:color w:val="000000" w:themeColor="text1"/>
          <w:lang w:val="en-US"/>
        </w:rPr>
        <w:t>-</w:t>
      </w:r>
      <w:proofErr w:type="spellStart"/>
      <w:r w:rsidR="00E06A60" w:rsidRPr="00722C5B">
        <w:rPr>
          <w:rFonts w:eastAsia="Arial Unicode MS"/>
          <w:color w:val="000000" w:themeColor="text1"/>
          <w:lang w:val="en-US"/>
        </w:rPr>
        <w:t>linolenic</w:t>
      </w:r>
      <w:proofErr w:type="spellEnd"/>
      <w:r w:rsidR="00E06A60" w:rsidRPr="00722C5B">
        <w:rPr>
          <w:rFonts w:eastAsia="Arial Unicode MS"/>
          <w:color w:val="000000" w:themeColor="text1"/>
          <w:lang w:val="en-US"/>
        </w:rPr>
        <w:t xml:space="preserve"> </w:t>
      </w:r>
      <w:r w:rsidR="00D53F72" w:rsidRPr="00722C5B">
        <w:rPr>
          <w:rFonts w:eastAsia="Arial Unicode MS"/>
          <w:color w:val="000000" w:themeColor="text1"/>
          <w:lang w:val="en-US"/>
        </w:rPr>
        <w:t xml:space="preserve">acid </w:t>
      </w:r>
      <w:r w:rsidR="00E06A60" w:rsidRPr="00722C5B">
        <w:rPr>
          <w:rFonts w:eastAsia="Arial Unicode MS"/>
          <w:color w:val="000000" w:themeColor="text1"/>
          <w:lang w:val="en-US"/>
        </w:rPr>
        <w:t>(</w:t>
      </w:r>
      <w:r w:rsidR="00D53F72" w:rsidRPr="00722C5B">
        <w:rPr>
          <w:rFonts w:eastAsia="Arial Unicode MS"/>
          <w:color w:val="000000" w:themeColor="text1"/>
          <w:lang w:val="en-US"/>
        </w:rPr>
        <w:t xml:space="preserve">18:3, </w:t>
      </w:r>
      <w:r w:rsidR="00D53F72" w:rsidRPr="00722C5B">
        <w:rPr>
          <w:rFonts w:ascii="Symbol" w:eastAsia="Arial Unicode MS" w:hAnsi="Symbol"/>
          <w:color w:val="000000" w:themeColor="text1"/>
          <w:lang w:val="en-US"/>
        </w:rPr>
        <w:t></w:t>
      </w:r>
      <w:r w:rsidR="00D53F72" w:rsidRPr="00722C5B">
        <w:rPr>
          <w:rFonts w:eastAsia="Arial Unicode MS"/>
          <w:color w:val="000000" w:themeColor="text1"/>
          <w:lang w:val="en-US"/>
        </w:rPr>
        <w:t xml:space="preserve">3; </w:t>
      </w:r>
      <w:r w:rsidR="00121182" w:rsidRPr="00722C5B">
        <w:rPr>
          <w:rFonts w:eastAsia="Arial Unicode MS"/>
          <w:color w:val="000000" w:themeColor="text1"/>
          <w:lang w:val="en-US"/>
        </w:rPr>
        <w:t xml:space="preserve">5.4 g/100 g </w:t>
      </w:r>
      <w:r w:rsidR="004D03C5" w:rsidRPr="00722C5B">
        <w:rPr>
          <w:rFonts w:eastAsia="Arial Unicode MS"/>
          <w:color w:val="000000" w:themeColor="text1"/>
          <w:lang w:val="en-US"/>
        </w:rPr>
        <w:t>total FA</w:t>
      </w:r>
      <w:r w:rsidR="00121182" w:rsidRPr="00722C5B">
        <w:rPr>
          <w:rFonts w:eastAsia="Arial Unicode MS"/>
          <w:color w:val="000000" w:themeColor="text1"/>
          <w:lang w:val="en-US"/>
        </w:rPr>
        <w:t xml:space="preserve">) acids in </w:t>
      </w:r>
      <w:r w:rsidR="00532F06" w:rsidRPr="00722C5B">
        <w:rPr>
          <w:rFonts w:eastAsia="Arial Unicode MS"/>
          <w:color w:val="000000" w:themeColor="text1"/>
          <w:lang w:val="en-US"/>
        </w:rPr>
        <w:t>SO</w:t>
      </w:r>
      <w:r w:rsidR="00E06A60" w:rsidRPr="00722C5B">
        <w:rPr>
          <w:rFonts w:eastAsia="Arial Unicode MS"/>
          <w:color w:val="000000" w:themeColor="text1"/>
          <w:lang w:val="en-US"/>
        </w:rPr>
        <w:t xml:space="preserve">. </w:t>
      </w:r>
      <w:r w:rsidR="004D03C5" w:rsidRPr="00722C5B">
        <w:rPr>
          <w:rFonts w:eastAsia="Arial Unicode MS"/>
          <w:color w:val="000000" w:themeColor="text1"/>
          <w:lang w:val="en-US"/>
        </w:rPr>
        <w:t xml:space="preserve">Being a high-oleic variant of a vegetable oil, HOSFO </w:t>
      </w:r>
      <w:r w:rsidR="00121182" w:rsidRPr="00722C5B">
        <w:rPr>
          <w:rFonts w:eastAsia="Arial Unicode MS"/>
          <w:color w:val="000000" w:themeColor="text1"/>
          <w:lang w:val="en-US"/>
        </w:rPr>
        <w:t>ha</w:t>
      </w:r>
      <w:r w:rsidR="004D03C5" w:rsidRPr="00722C5B">
        <w:rPr>
          <w:rFonts w:eastAsia="Arial Unicode MS"/>
          <w:color w:val="000000" w:themeColor="text1"/>
          <w:lang w:val="en-US"/>
        </w:rPr>
        <w:t>d</w:t>
      </w:r>
      <w:r w:rsidR="00121182" w:rsidRPr="00722C5B">
        <w:rPr>
          <w:rFonts w:eastAsia="Arial Unicode MS"/>
          <w:color w:val="000000" w:themeColor="text1"/>
          <w:lang w:val="en-US"/>
        </w:rPr>
        <w:t xml:space="preserve"> </w:t>
      </w:r>
      <w:r w:rsidR="004D03C5" w:rsidRPr="00722C5B">
        <w:rPr>
          <w:rFonts w:eastAsia="Arial Unicode MS"/>
          <w:color w:val="000000" w:themeColor="text1"/>
          <w:lang w:val="en-US"/>
        </w:rPr>
        <w:t xml:space="preserve">a similar distribution of fatty acid </w:t>
      </w:r>
      <w:r w:rsidR="00A1272C" w:rsidRPr="00722C5B">
        <w:rPr>
          <w:rFonts w:eastAsia="Arial Unicode MS"/>
          <w:color w:val="000000" w:themeColor="text1"/>
          <w:lang w:val="en-US"/>
        </w:rPr>
        <w:t>classes</w:t>
      </w:r>
      <w:r w:rsidR="004D03C5" w:rsidRPr="00722C5B">
        <w:rPr>
          <w:rFonts w:eastAsia="Arial Unicode MS"/>
          <w:color w:val="000000" w:themeColor="text1"/>
          <w:lang w:val="en-US"/>
        </w:rPr>
        <w:t xml:space="preserve">, but </w:t>
      </w:r>
      <w:r w:rsidR="00B4518F" w:rsidRPr="00722C5B">
        <w:rPr>
          <w:rFonts w:eastAsia="Arial Unicode MS"/>
          <w:color w:val="000000" w:themeColor="text1"/>
          <w:lang w:val="en-US"/>
        </w:rPr>
        <w:t>much</w:t>
      </w:r>
      <w:r w:rsidR="00121182" w:rsidRPr="00722C5B">
        <w:rPr>
          <w:rFonts w:eastAsia="Arial Unicode MS"/>
          <w:color w:val="000000" w:themeColor="text1"/>
          <w:lang w:val="en-US"/>
        </w:rPr>
        <w:t xml:space="preserve"> higher amounts of oleic acid (</w:t>
      </w:r>
      <w:r w:rsidR="004D03C5" w:rsidRPr="00722C5B">
        <w:rPr>
          <w:rFonts w:eastAsia="Arial Unicode MS"/>
          <w:color w:val="000000" w:themeColor="text1"/>
          <w:lang w:val="en-US"/>
        </w:rPr>
        <w:t>80</w:t>
      </w:r>
      <w:r w:rsidR="00121182" w:rsidRPr="00722C5B">
        <w:rPr>
          <w:rFonts w:eastAsia="Arial Unicode MS"/>
          <w:color w:val="000000" w:themeColor="text1"/>
          <w:lang w:val="en-US"/>
        </w:rPr>
        <w:t>.</w:t>
      </w:r>
      <w:r w:rsidR="004D03C5" w:rsidRPr="00722C5B">
        <w:rPr>
          <w:rFonts w:eastAsia="Arial Unicode MS"/>
          <w:color w:val="000000" w:themeColor="text1"/>
          <w:lang w:val="en-US"/>
        </w:rPr>
        <w:t>3</w:t>
      </w:r>
      <w:r w:rsidR="00121182" w:rsidRPr="00722C5B">
        <w:rPr>
          <w:rFonts w:eastAsia="Arial Unicode MS"/>
          <w:color w:val="000000" w:themeColor="text1"/>
          <w:lang w:val="en-US"/>
        </w:rPr>
        <w:t xml:space="preserve"> g/100 g </w:t>
      </w:r>
      <w:r w:rsidR="004D03C5" w:rsidRPr="00722C5B">
        <w:rPr>
          <w:rFonts w:eastAsia="Arial Unicode MS"/>
          <w:color w:val="000000" w:themeColor="text1"/>
          <w:lang w:val="en-US"/>
        </w:rPr>
        <w:t>total FA</w:t>
      </w:r>
      <w:r w:rsidR="00121182" w:rsidRPr="00722C5B">
        <w:rPr>
          <w:rFonts w:eastAsia="Arial Unicode MS"/>
          <w:color w:val="000000" w:themeColor="text1"/>
          <w:lang w:val="en-US"/>
        </w:rPr>
        <w:t>)</w:t>
      </w:r>
      <w:r w:rsidR="004D03C5" w:rsidRPr="00722C5B">
        <w:rPr>
          <w:rFonts w:eastAsia="Arial Unicode MS"/>
          <w:color w:val="000000" w:themeColor="text1"/>
          <w:lang w:val="en-US"/>
        </w:rPr>
        <w:t xml:space="preserve">. Linoleic acid and </w:t>
      </w:r>
      <w:r w:rsidR="004D03C5" w:rsidRPr="00722C5B">
        <w:rPr>
          <w:rFonts w:ascii="Symbol" w:eastAsia="Arial Unicode MS" w:hAnsi="Symbol"/>
          <w:color w:val="000000" w:themeColor="text1"/>
          <w:lang w:val="en-US"/>
        </w:rPr>
        <w:t></w:t>
      </w:r>
      <w:r w:rsidR="004D03C5" w:rsidRPr="00722C5B">
        <w:rPr>
          <w:rFonts w:eastAsia="Arial Unicode MS"/>
          <w:color w:val="000000" w:themeColor="text1"/>
          <w:lang w:val="en-US"/>
        </w:rPr>
        <w:t>-</w:t>
      </w:r>
      <w:proofErr w:type="spellStart"/>
      <w:r w:rsidR="004D03C5" w:rsidRPr="00722C5B">
        <w:rPr>
          <w:rFonts w:eastAsia="Arial Unicode MS"/>
          <w:color w:val="000000" w:themeColor="text1"/>
          <w:lang w:val="en-US"/>
        </w:rPr>
        <w:t>linolenic</w:t>
      </w:r>
      <w:proofErr w:type="spellEnd"/>
      <w:r w:rsidR="004D03C5" w:rsidRPr="00722C5B">
        <w:rPr>
          <w:rFonts w:eastAsia="Arial Unicode MS"/>
          <w:color w:val="000000" w:themeColor="text1"/>
          <w:lang w:val="en-US"/>
        </w:rPr>
        <w:t xml:space="preserve"> acid contents in HOSFO were also quite lower than compared to SO</w:t>
      </w:r>
      <w:r w:rsidR="002C0BAD" w:rsidRPr="00722C5B">
        <w:rPr>
          <w:rFonts w:eastAsia="Arial Unicode MS"/>
          <w:color w:val="000000" w:themeColor="text1"/>
          <w:lang w:val="en-US"/>
        </w:rPr>
        <w:t xml:space="preserve"> (</w:t>
      </w:r>
      <w:r w:rsidR="002C0BAD" w:rsidRPr="00722C5B">
        <w:rPr>
          <w:rFonts w:eastAsia="Arial Unicode MS"/>
          <w:i/>
          <w:color w:val="000000" w:themeColor="text1"/>
          <w:lang w:val="en-US"/>
        </w:rPr>
        <w:t>i.e.</w:t>
      </w:r>
      <w:r w:rsidR="002C0BAD" w:rsidRPr="00722C5B">
        <w:rPr>
          <w:rFonts w:eastAsia="Arial Unicode MS"/>
          <w:color w:val="000000" w:themeColor="text1"/>
          <w:lang w:val="en-US"/>
        </w:rPr>
        <w:t>, at 10.7 and 0.10 g/100 g total FA, respectively)</w:t>
      </w:r>
      <w:r w:rsidR="004D03C5" w:rsidRPr="00722C5B">
        <w:rPr>
          <w:rFonts w:eastAsia="Arial Unicode MS"/>
          <w:color w:val="000000" w:themeColor="text1"/>
          <w:lang w:val="en-US"/>
        </w:rPr>
        <w:t>.</w:t>
      </w:r>
      <w:r w:rsidR="00BB386F" w:rsidRPr="00722C5B">
        <w:rPr>
          <w:rFonts w:eastAsia="Arial Unicode MS"/>
          <w:color w:val="000000" w:themeColor="text1"/>
          <w:lang w:val="en-US"/>
        </w:rPr>
        <w:t xml:space="preserve"> In general, it is quite well accepted that </w:t>
      </w:r>
      <w:r w:rsidR="004C39D5" w:rsidRPr="00722C5B">
        <w:rPr>
          <w:rFonts w:eastAsia="Arial Unicode MS"/>
          <w:color w:val="000000" w:themeColor="text1"/>
          <w:lang w:val="en-US"/>
        </w:rPr>
        <w:t>as the</w:t>
      </w:r>
      <w:r w:rsidR="00BB386F" w:rsidRPr="00722C5B">
        <w:rPr>
          <w:rFonts w:eastAsia="Arial Unicode MS"/>
          <w:color w:val="000000" w:themeColor="text1"/>
          <w:lang w:val="en-US"/>
        </w:rPr>
        <w:t xml:space="preserve"> </w:t>
      </w:r>
      <w:r w:rsidR="004C39D5" w:rsidRPr="00722C5B">
        <w:rPr>
          <w:rFonts w:eastAsia="Arial Unicode MS"/>
          <w:color w:val="000000" w:themeColor="text1"/>
          <w:lang w:val="en-US"/>
        </w:rPr>
        <w:t xml:space="preserve">level (concentration) and extent (number of double bonds) of the </w:t>
      </w:r>
      <w:r w:rsidR="00BB386F" w:rsidRPr="00722C5B">
        <w:rPr>
          <w:rFonts w:eastAsia="Arial Unicode MS"/>
          <w:color w:val="000000" w:themeColor="text1"/>
          <w:lang w:val="en-US"/>
        </w:rPr>
        <w:t>unsaturation of lipids in oils</w:t>
      </w:r>
      <w:r w:rsidR="000A4A2A" w:rsidRPr="00722C5B">
        <w:rPr>
          <w:rFonts w:eastAsia="Arial Unicode MS"/>
          <w:color w:val="000000" w:themeColor="text1"/>
          <w:lang w:val="en-US"/>
        </w:rPr>
        <w:t xml:space="preserve"> increases</w:t>
      </w:r>
      <w:r w:rsidR="00BB386F" w:rsidRPr="00722C5B">
        <w:rPr>
          <w:rFonts w:eastAsia="Arial Unicode MS"/>
          <w:color w:val="000000" w:themeColor="text1"/>
          <w:lang w:val="en-US"/>
        </w:rPr>
        <w:t>, the more rapidly they will undergo autoxidation</w:t>
      </w:r>
      <w:r w:rsidR="000A4A2A" w:rsidRPr="00722C5B">
        <w:rPr>
          <w:rFonts w:eastAsia="Arial Unicode MS"/>
          <w:color w:val="000000" w:themeColor="text1"/>
          <w:lang w:val="en-US"/>
        </w:rPr>
        <w:t>. Martin-</w:t>
      </w:r>
      <w:proofErr w:type="spellStart"/>
      <w:r w:rsidR="000A4A2A" w:rsidRPr="00722C5B">
        <w:rPr>
          <w:rFonts w:eastAsia="Arial Unicode MS"/>
          <w:color w:val="000000" w:themeColor="text1"/>
          <w:lang w:val="en-US"/>
        </w:rPr>
        <w:t>Polvillo</w:t>
      </w:r>
      <w:proofErr w:type="spellEnd"/>
      <w:r w:rsidR="000A4A2A" w:rsidRPr="00722C5B">
        <w:rPr>
          <w:rFonts w:eastAsia="Arial Unicode MS"/>
          <w:color w:val="000000" w:themeColor="text1"/>
          <w:lang w:val="en-US"/>
        </w:rPr>
        <w:t xml:space="preserve"> </w:t>
      </w:r>
      <w:r w:rsidR="000A4A2A" w:rsidRPr="00722C5B">
        <w:rPr>
          <w:rFonts w:eastAsia="Arial Unicode MS"/>
          <w:i/>
          <w:color w:val="000000" w:themeColor="text1"/>
          <w:lang w:val="en-US"/>
        </w:rPr>
        <w:t>et al.</w:t>
      </w:r>
      <w:r w:rsidR="000A4A2A" w:rsidRPr="00722C5B">
        <w:rPr>
          <w:rFonts w:eastAsia="Arial Unicode MS"/>
          <w:color w:val="000000" w:themeColor="text1"/>
          <w:lang w:val="en-US"/>
        </w:rPr>
        <w:t xml:space="preserve"> (2004) demonstrate this</w:t>
      </w:r>
      <w:r w:rsidR="00F650E7" w:rsidRPr="00722C5B">
        <w:rPr>
          <w:rFonts w:eastAsia="Arial Unicode MS"/>
          <w:color w:val="000000" w:themeColor="text1"/>
          <w:lang w:val="en-US"/>
        </w:rPr>
        <w:t xml:space="preserve"> while comparing the oxidative stability of native </w:t>
      </w:r>
      <w:r w:rsidR="004C39D5" w:rsidRPr="00722C5B">
        <w:rPr>
          <w:rFonts w:eastAsia="Arial Unicode MS"/>
          <w:color w:val="000000" w:themeColor="text1"/>
          <w:lang w:val="en-US"/>
        </w:rPr>
        <w:t xml:space="preserve">and high-oleic sunflower oil </w:t>
      </w:r>
      <w:r w:rsidR="00F650E7" w:rsidRPr="00722C5B">
        <w:rPr>
          <w:rFonts w:eastAsia="Arial Unicode MS"/>
          <w:color w:val="000000" w:themeColor="text1"/>
          <w:lang w:val="en-US"/>
        </w:rPr>
        <w:t xml:space="preserve">during </w:t>
      </w:r>
      <w:r w:rsidR="000A4A2A" w:rsidRPr="00722C5B">
        <w:rPr>
          <w:rFonts w:eastAsia="Arial Unicode MS"/>
          <w:color w:val="000000" w:themeColor="text1"/>
          <w:lang w:val="en-US"/>
        </w:rPr>
        <w:t>long-term storage at ambient t</w:t>
      </w:r>
      <w:r w:rsidR="00A1272C" w:rsidRPr="00722C5B">
        <w:rPr>
          <w:rFonts w:eastAsia="Arial Unicode MS"/>
          <w:color w:val="000000" w:themeColor="text1"/>
          <w:lang w:val="en-US"/>
        </w:rPr>
        <w:t xml:space="preserve">emperatures. Given that the SO has </w:t>
      </w:r>
      <w:r w:rsidR="004C39D5" w:rsidRPr="00722C5B">
        <w:rPr>
          <w:rFonts w:eastAsia="Arial Unicode MS"/>
          <w:color w:val="000000" w:themeColor="text1"/>
          <w:lang w:val="en-US"/>
        </w:rPr>
        <w:t>a total polyunsaturated lipid</w:t>
      </w:r>
      <w:r w:rsidR="00A1272C" w:rsidRPr="00722C5B">
        <w:rPr>
          <w:rFonts w:eastAsia="Arial Unicode MS"/>
          <w:color w:val="000000" w:themeColor="text1"/>
          <w:lang w:val="en-US"/>
        </w:rPr>
        <w:t xml:space="preserve"> content of 58.2% and HOSFO only 10.8%,</w:t>
      </w:r>
      <w:r w:rsidR="00B4518F" w:rsidRPr="00722C5B">
        <w:rPr>
          <w:rFonts w:eastAsia="Arial Unicode MS"/>
          <w:color w:val="000000" w:themeColor="text1"/>
          <w:lang w:val="en-US"/>
        </w:rPr>
        <w:t xml:space="preserve"> it is logical that SO would be much </w:t>
      </w:r>
      <w:r w:rsidR="00A1272C" w:rsidRPr="00722C5B">
        <w:rPr>
          <w:rFonts w:eastAsia="Arial Unicode MS"/>
          <w:color w:val="000000" w:themeColor="text1"/>
          <w:lang w:val="en-US"/>
        </w:rPr>
        <w:t xml:space="preserve">less stable </w:t>
      </w:r>
      <w:r w:rsidR="004C39D5" w:rsidRPr="00722C5B">
        <w:rPr>
          <w:rFonts w:eastAsia="Arial Unicode MS"/>
          <w:color w:val="000000" w:themeColor="text1"/>
          <w:lang w:val="en-US"/>
        </w:rPr>
        <w:t xml:space="preserve">to </w:t>
      </w:r>
      <w:r w:rsidR="00A1272C" w:rsidRPr="00722C5B">
        <w:rPr>
          <w:rFonts w:eastAsia="Arial Unicode MS"/>
          <w:color w:val="000000" w:themeColor="text1"/>
          <w:lang w:val="en-US"/>
        </w:rPr>
        <w:t>lipid oxidation.</w:t>
      </w:r>
    </w:p>
    <w:p w:rsidR="00795EAC" w:rsidRPr="00722C5B" w:rsidRDefault="00795EAC" w:rsidP="002F54BE">
      <w:pPr>
        <w:spacing w:line="480" w:lineRule="auto"/>
        <w:jc w:val="both"/>
        <w:rPr>
          <w:lang w:val="en-US"/>
        </w:rPr>
      </w:pPr>
    </w:p>
    <w:p w:rsidR="002F54BE" w:rsidRPr="00722C5B" w:rsidRDefault="002F54BE" w:rsidP="002F54BE">
      <w:pPr>
        <w:spacing w:line="480" w:lineRule="auto"/>
        <w:jc w:val="both"/>
        <w:rPr>
          <w:i/>
          <w:lang w:val="en-US"/>
        </w:rPr>
      </w:pPr>
      <w:r w:rsidRPr="00722C5B">
        <w:rPr>
          <w:i/>
          <w:lang w:val="en-US"/>
        </w:rPr>
        <w:t>Oil stability index (OSI) test</w:t>
      </w:r>
    </w:p>
    <w:p w:rsidR="009A0402" w:rsidRPr="00722C5B" w:rsidRDefault="00E7468C" w:rsidP="000034EE">
      <w:pPr>
        <w:spacing w:line="480" w:lineRule="auto"/>
        <w:jc w:val="both"/>
        <w:rPr>
          <w:rFonts w:eastAsia="Arial Unicode MS"/>
          <w:color w:val="000000" w:themeColor="text1"/>
          <w:lang w:val="en-US" w:eastAsia="fr-CH"/>
        </w:rPr>
      </w:pPr>
      <w:r w:rsidRPr="00722C5B">
        <w:rPr>
          <w:rFonts w:eastAsia="Arial Unicode MS"/>
          <w:color w:val="000000" w:themeColor="text1"/>
          <w:lang w:val="en-US"/>
        </w:rPr>
        <w:t xml:space="preserve">Determination of the induction period, or overall </w:t>
      </w:r>
      <w:r w:rsidR="00456489" w:rsidRPr="00722C5B">
        <w:rPr>
          <w:rFonts w:eastAsia="Arial Unicode MS"/>
          <w:color w:val="000000" w:themeColor="text1"/>
          <w:lang w:val="en-US"/>
        </w:rPr>
        <w:t xml:space="preserve">oxidative </w:t>
      </w:r>
      <w:r w:rsidRPr="00722C5B">
        <w:rPr>
          <w:rFonts w:eastAsia="Arial Unicode MS"/>
          <w:color w:val="000000" w:themeColor="text1"/>
          <w:lang w:val="en-US"/>
        </w:rPr>
        <w:t xml:space="preserve">stability, of oil samples by the </w:t>
      </w:r>
      <w:proofErr w:type="spellStart"/>
      <w:r w:rsidRPr="00722C5B">
        <w:rPr>
          <w:rFonts w:eastAsia="Arial Unicode MS"/>
          <w:color w:val="000000" w:themeColor="text1"/>
          <w:lang w:val="en-US"/>
        </w:rPr>
        <w:t>Rancimat</w:t>
      </w:r>
      <w:proofErr w:type="spellEnd"/>
      <w:r w:rsidRPr="00722C5B">
        <w:rPr>
          <w:rFonts w:eastAsia="Arial Unicode MS"/>
          <w:color w:val="000000" w:themeColor="text1"/>
          <w:lang w:val="en-US"/>
        </w:rPr>
        <w:t xml:space="preserve"> method is the most widely applied industrial standard currently in use. As such, OSI scores are </w:t>
      </w:r>
      <w:r w:rsidR="00FA19EA" w:rsidRPr="00722C5B">
        <w:rPr>
          <w:rFonts w:eastAsia="Arial Unicode MS"/>
          <w:color w:val="000000" w:themeColor="text1"/>
          <w:lang w:val="en-US"/>
        </w:rPr>
        <w:t xml:space="preserve">often </w:t>
      </w:r>
      <w:r w:rsidR="009E4C41" w:rsidRPr="00722C5B">
        <w:rPr>
          <w:rFonts w:eastAsia="Arial Unicode MS"/>
          <w:color w:val="000000" w:themeColor="text1"/>
          <w:lang w:val="en-US"/>
        </w:rPr>
        <w:t>mandatory</w:t>
      </w:r>
      <w:r w:rsidRPr="00722C5B">
        <w:rPr>
          <w:rFonts w:eastAsia="Arial Unicode MS"/>
          <w:color w:val="000000" w:themeColor="text1"/>
          <w:lang w:val="en-US"/>
        </w:rPr>
        <w:t xml:space="preserve"> criteria</w:t>
      </w:r>
      <w:r w:rsidR="00FA19EA" w:rsidRPr="00722C5B">
        <w:rPr>
          <w:rFonts w:eastAsia="Arial Unicode MS"/>
          <w:color w:val="000000" w:themeColor="text1"/>
          <w:lang w:val="en-US"/>
        </w:rPr>
        <w:t xml:space="preserve"> </w:t>
      </w:r>
      <w:r w:rsidRPr="00722C5B">
        <w:rPr>
          <w:rFonts w:eastAsia="Arial Unicode MS"/>
          <w:color w:val="000000" w:themeColor="text1"/>
          <w:lang w:val="en-US"/>
        </w:rPr>
        <w:t>within purchasing specifications of food companies wh</w:t>
      </w:r>
      <w:r w:rsidR="00FA19EA" w:rsidRPr="00722C5B">
        <w:rPr>
          <w:rFonts w:eastAsia="Arial Unicode MS"/>
          <w:color w:val="000000" w:themeColor="text1"/>
          <w:lang w:val="en-US"/>
        </w:rPr>
        <w:t>ilst</w:t>
      </w:r>
      <w:r w:rsidRPr="00722C5B">
        <w:rPr>
          <w:rFonts w:eastAsia="Arial Unicode MS"/>
          <w:color w:val="000000" w:themeColor="text1"/>
          <w:lang w:val="en-US"/>
        </w:rPr>
        <w:t xml:space="preserve"> procuring large shipments of oils for food production. </w:t>
      </w:r>
      <w:r w:rsidR="004C39D5" w:rsidRPr="00722C5B">
        <w:rPr>
          <w:rFonts w:eastAsia="Arial Unicode MS"/>
          <w:color w:val="000000" w:themeColor="text1"/>
          <w:lang w:val="en-US" w:eastAsia="fr-CH"/>
        </w:rPr>
        <w:t xml:space="preserve">The OSI scores from the HOSFO, SO </w:t>
      </w:r>
      <w:r w:rsidR="004C39D5" w:rsidRPr="00722C5B">
        <w:rPr>
          <w:rFonts w:eastAsia="Arial Unicode MS"/>
          <w:color w:val="000000" w:themeColor="text1"/>
          <w:lang w:val="en-US" w:eastAsia="fr-CH"/>
        </w:rPr>
        <w:lastRenderedPageBreak/>
        <w:t xml:space="preserve">and SO containing various synthetic and natural antioxidant mixtures appear in </w:t>
      </w:r>
      <w:r w:rsidR="00EB2E6C">
        <w:rPr>
          <w:rFonts w:eastAsia="Arial Unicode MS"/>
          <w:b/>
          <w:color w:val="000000" w:themeColor="text1"/>
          <w:lang w:val="en-US" w:eastAsia="fr-CH"/>
        </w:rPr>
        <w:t>Table</w:t>
      </w:r>
      <w:r w:rsidR="00EB2E6C" w:rsidRPr="00722C5B">
        <w:rPr>
          <w:rFonts w:eastAsia="Arial Unicode MS"/>
          <w:b/>
          <w:color w:val="000000" w:themeColor="text1"/>
          <w:lang w:val="en-US" w:eastAsia="fr-CH"/>
        </w:rPr>
        <w:t xml:space="preserve"> </w:t>
      </w:r>
      <w:r w:rsidR="00A00C9F" w:rsidRPr="00722C5B">
        <w:rPr>
          <w:rFonts w:eastAsia="Arial Unicode MS"/>
          <w:b/>
          <w:color w:val="000000" w:themeColor="text1"/>
          <w:lang w:val="en-US" w:eastAsia="fr-CH"/>
        </w:rPr>
        <w:t>1</w:t>
      </w:r>
      <w:r w:rsidR="00FA19EA" w:rsidRPr="00722C5B">
        <w:rPr>
          <w:rFonts w:eastAsia="Arial Unicode MS"/>
          <w:color w:val="000000" w:themeColor="text1"/>
          <w:lang w:val="en-US" w:eastAsia="fr-CH"/>
        </w:rPr>
        <w:t xml:space="preserve">. </w:t>
      </w:r>
      <w:r w:rsidR="00574F3F">
        <w:rPr>
          <w:rFonts w:eastAsia="Arial Unicode MS"/>
          <w:color w:val="000000" w:themeColor="text1"/>
          <w:lang w:val="en-US" w:eastAsia="fr-CH"/>
        </w:rPr>
        <w:t xml:space="preserve">The majority of the antioxidant concentrations, mixtures and proportions included in this study were chosen based on previous screening experiments using the OSI for reference to the efficacy of such mixtures in limiting lipid oxidation </w:t>
      </w:r>
      <w:r w:rsidR="007A6851">
        <w:rPr>
          <w:rFonts w:eastAsia="Arial Unicode MS"/>
          <w:color w:val="000000" w:themeColor="text1"/>
          <w:lang w:val="en-US" w:eastAsia="fr-CH"/>
        </w:rPr>
        <w:t xml:space="preserve">in bulk oils </w:t>
      </w:r>
      <w:r w:rsidR="00574F3F">
        <w:rPr>
          <w:rFonts w:eastAsia="Arial Unicode MS"/>
          <w:color w:val="000000" w:themeColor="text1"/>
          <w:lang w:val="en-US" w:eastAsia="fr-CH"/>
        </w:rPr>
        <w:t xml:space="preserve">(data not shown). In the case of AP and BHA/BHT, more practical factors limited their usage herein such as solubility in oil (300ppm for AP) and legal limits </w:t>
      </w:r>
      <w:r w:rsidR="007A6851">
        <w:rPr>
          <w:rFonts w:eastAsia="Arial Unicode MS"/>
          <w:color w:val="000000" w:themeColor="text1"/>
          <w:lang w:val="en-US" w:eastAsia="fr-CH"/>
        </w:rPr>
        <w:t xml:space="preserve">for incorporation </w:t>
      </w:r>
      <w:r w:rsidR="00574F3F">
        <w:rPr>
          <w:rFonts w:eastAsia="Arial Unicode MS"/>
          <w:color w:val="000000" w:themeColor="text1"/>
          <w:lang w:val="en-US" w:eastAsia="fr-CH"/>
        </w:rPr>
        <w:t>(&lt;</w:t>
      </w:r>
      <w:r w:rsidR="003D6323">
        <w:rPr>
          <w:rFonts w:eastAsia="Arial Unicode MS"/>
          <w:color w:val="000000" w:themeColor="text1"/>
          <w:lang w:val="en-US" w:eastAsia="fr-CH"/>
        </w:rPr>
        <w:t xml:space="preserve"> </w:t>
      </w:r>
      <w:r w:rsidR="00574F3F">
        <w:rPr>
          <w:rFonts w:eastAsia="Arial Unicode MS"/>
          <w:color w:val="000000" w:themeColor="text1"/>
          <w:lang w:val="en-US" w:eastAsia="fr-CH"/>
        </w:rPr>
        <w:t xml:space="preserve">200ppm combined for most countries; </w:t>
      </w:r>
      <w:proofErr w:type="spellStart"/>
      <w:r w:rsidR="00574F3F">
        <w:rPr>
          <w:rFonts w:eastAsia="Arial Unicode MS"/>
          <w:color w:val="000000" w:themeColor="text1"/>
          <w:lang w:val="en-US" w:eastAsia="fr-CH"/>
        </w:rPr>
        <w:t>Shahidi</w:t>
      </w:r>
      <w:proofErr w:type="spellEnd"/>
      <w:r w:rsidR="00574F3F">
        <w:rPr>
          <w:rFonts w:eastAsia="Arial Unicode MS"/>
          <w:color w:val="000000" w:themeColor="text1"/>
          <w:lang w:val="en-US" w:eastAsia="fr-CH"/>
        </w:rPr>
        <w:t xml:space="preserve"> &amp; </w:t>
      </w:r>
      <w:proofErr w:type="spellStart"/>
      <w:r w:rsidR="00574F3F">
        <w:rPr>
          <w:rFonts w:eastAsia="Arial Unicode MS"/>
          <w:color w:val="000000" w:themeColor="text1"/>
          <w:lang w:val="en-US" w:eastAsia="fr-CH"/>
        </w:rPr>
        <w:t>Zhong</w:t>
      </w:r>
      <w:proofErr w:type="spellEnd"/>
      <w:r w:rsidR="00574F3F">
        <w:rPr>
          <w:rFonts w:eastAsia="Arial Unicode MS"/>
          <w:color w:val="000000" w:themeColor="text1"/>
          <w:lang w:val="en-US" w:eastAsia="fr-CH"/>
        </w:rPr>
        <w:t xml:space="preserve">, </w:t>
      </w:r>
      <w:r w:rsidR="007A6851">
        <w:rPr>
          <w:rFonts w:eastAsia="Arial Unicode MS"/>
          <w:color w:val="000000" w:themeColor="text1"/>
          <w:lang w:val="en-US" w:eastAsia="fr-CH"/>
        </w:rPr>
        <w:t>2005), respectively.</w:t>
      </w:r>
    </w:p>
    <w:p w:rsidR="0087525C" w:rsidRPr="00722C5B" w:rsidRDefault="009E4C41" w:rsidP="0091435E">
      <w:pPr>
        <w:spacing w:line="480" w:lineRule="auto"/>
        <w:ind w:firstLine="284"/>
        <w:jc w:val="both"/>
        <w:rPr>
          <w:rFonts w:eastAsia="Arial Unicode MS"/>
          <w:color w:val="000000" w:themeColor="text1"/>
          <w:lang w:val="en-US" w:eastAsia="fr-CH"/>
        </w:rPr>
      </w:pPr>
      <w:r w:rsidRPr="00722C5B">
        <w:rPr>
          <w:rFonts w:eastAsia="Arial Unicode MS"/>
          <w:color w:val="000000" w:themeColor="text1"/>
          <w:lang w:val="en-US" w:eastAsia="fr-CH"/>
        </w:rPr>
        <w:t>As suspected, HOSFO exhibited the highest oxidative stability of the oils tested with an induction period of 18.8 h. Native SO had the lowest OSI score with 5.9 h.</w:t>
      </w:r>
      <w:r w:rsidR="00BB4D6B" w:rsidRPr="00722C5B">
        <w:rPr>
          <w:rFonts w:eastAsia="Arial Unicode MS"/>
          <w:color w:val="000000" w:themeColor="text1"/>
          <w:lang w:val="en-US" w:eastAsia="fr-CH"/>
        </w:rPr>
        <w:t xml:space="preserve"> </w:t>
      </w:r>
      <w:r w:rsidR="00732D11" w:rsidRPr="00722C5B">
        <w:rPr>
          <w:rFonts w:eastAsia="Arial Unicode MS"/>
          <w:color w:val="000000" w:themeColor="text1"/>
          <w:lang w:val="en-US" w:eastAsia="fr-CH"/>
        </w:rPr>
        <w:t>The a</w:t>
      </w:r>
      <w:r w:rsidR="00BB4D6B" w:rsidRPr="00722C5B">
        <w:rPr>
          <w:rFonts w:eastAsia="Arial Unicode MS"/>
          <w:color w:val="000000" w:themeColor="text1"/>
          <w:lang w:val="en-US" w:eastAsia="fr-CH"/>
        </w:rPr>
        <w:t xml:space="preserve">ddition of commercial </w:t>
      </w:r>
      <w:r w:rsidRPr="00722C5B">
        <w:rPr>
          <w:rFonts w:eastAsia="Arial Unicode MS"/>
          <w:color w:val="000000" w:themeColor="text1"/>
          <w:lang w:val="en-US" w:eastAsia="fr-CH"/>
        </w:rPr>
        <w:t xml:space="preserve">synthetic </w:t>
      </w:r>
      <w:r w:rsidR="00BB4D6B" w:rsidRPr="00722C5B">
        <w:rPr>
          <w:rFonts w:eastAsia="Arial Unicode MS"/>
          <w:color w:val="000000" w:themeColor="text1"/>
          <w:lang w:val="en-US" w:eastAsia="fr-CH"/>
        </w:rPr>
        <w:t>antioxidants BHA and BHT</w:t>
      </w:r>
      <w:r w:rsidR="00732D11" w:rsidRPr="00722C5B">
        <w:rPr>
          <w:rFonts w:eastAsia="Arial Unicode MS"/>
          <w:color w:val="000000" w:themeColor="text1"/>
          <w:lang w:val="en-US" w:eastAsia="fr-CH"/>
        </w:rPr>
        <w:t xml:space="preserve"> alone </w:t>
      </w:r>
      <w:r w:rsidR="00B4518F" w:rsidRPr="00722C5B">
        <w:rPr>
          <w:rFonts w:eastAsia="Arial Unicode MS"/>
          <w:color w:val="000000" w:themeColor="text1"/>
          <w:lang w:val="en-US" w:eastAsia="fr-CH"/>
        </w:rPr>
        <w:t xml:space="preserve">in the concentrations tested </w:t>
      </w:r>
      <w:r w:rsidR="00732D11" w:rsidRPr="00722C5B">
        <w:rPr>
          <w:rFonts w:eastAsia="Arial Unicode MS"/>
          <w:color w:val="000000" w:themeColor="text1"/>
          <w:lang w:val="en-US" w:eastAsia="fr-CH"/>
        </w:rPr>
        <w:t xml:space="preserve">did not improve the stability of SO </w:t>
      </w:r>
      <w:r w:rsidR="00B4518F" w:rsidRPr="00722C5B">
        <w:rPr>
          <w:rFonts w:eastAsia="Arial Unicode MS"/>
          <w:color w:val="000000" w:themeColor="text1"/>
          <w:lang w:val="en-US" w:eastAsia="fr-CH"/>
        </w:rPr>
        <w:t>compared to the reference</w:t>
      </w:r>
      <w:r w:rsidR="00732D11" w:rsidRPr="00722C5B">
        <w:rPr>
          <w:rFonts w:eastAsia="Arial Unicode MS"/>
          <w:color w:val="000000" w:themeColor="text1"/>
          <w:lang w:val="en-US" w:eastAsia="fr-CH"/>
        </w:rPr>
        <w:t xml:space="preserve">. The </w:t>
      </w:r>
      <w:r w:rsidR="00BB4D6B" w:rsidRPr="00722C5B">
        <w:rPr>
          <w:rFonts w:cs="Arial"/>
          <w:color w:val="000000"/>
          <w:lang w:val="en-US"/>
        </w:rPr>
        <w:t xml:space="preserve">addition of </w:t>
      </w:r>
      <w:r w:rsidR="00BB4D6B" w:rsidRPr="00722C5B">
        <w:rPr>
          <w:rFonts w:eastAsia="Arial Unicode MS"/>
          <w:color w:val="000000" w:themeColor="text1"/>
          <w:lang w:val="en-US" w:eastAsia="fr-CH"/>
        </w:rPr>
        <w:t xml:space="preserve">BHA and BHT </w:t>
      </w:r>
      <w:r w:rsidR="00732D11" w:rsidRPr="00722C5B">
        <w:rPr>
          <w:rFonts w:eastAsia="Arial Unicode MS"/>
          <w:color w:val="000000" w:themeColor="text1"/>
          <w:lang w:val="en-US" w:eastAsia="fr-CH"/>
        </w:rPr>
        <w:t xml:space="preserve">together, however, improved the stability of </w:t>
      </w:r>
      <w:r w:rsidR="00894E6B" w:rsidRPr="00722C5B">
        <w:rPr>
          <w:rFonts w:eastAsia="Arial Unicode MS"/>
          <w:color w:val="000000" w:themeColor="text1"/>
          <w:lang w:val="en-US" w:eastAsia="fr-CH"/>
        </w:rPr>
        <w:t xml:space="preserve">SO </w:t>
      </w:r>
      <w:r w:rsidR="00732D11" w:rsidRPr="00722C5B">
        <w:rPr>
          <w:rFonts w:eastAsia="Arial Unicode MS"/>
          <w:color w:val="000000" w:themeColor="text1"/>
          <w:lang w:val="en-US" w:eastAsia="fr-CH"/>
        </w:rPr>
        <w:t xml:space="preserve">from 5.9 h </w:t>
      </w:r>
      <w:r w:rsidR="00894E6B" w:rsidRPr="00722C5B">
        <w:rPr>
          <w:rFonts w:eastAsia="Arial Unicode MS"/>
          <w:color w:val="000000" w:themeColor="text1"/>
          <w:lang w:val="en-US" w:eastAsia="fr-CH"/>
        </w:rPr>
        <w:t>to 8.7</w:t>
      </w:r>
      <w:r w:rsidR="00732D11" w:rsidRPr="00722C5B">
        <w:rPr>
          <w:rFonts w:eastAsia="Arial Unicode MS"/>
          <w:color w:val="000000" w:themeColor="text1"/>
          <w:lang w:val="en-US" w:eastAsia="fr-CH"/>
        </w:rPr>
        <w:t> </w:t>
      </w:r>
      <w:r w:rsidR="00BB4D6B" w:rsidRPr="00722C5B">
        <w:rPr>
          <w:rFonts w:eastAsia="Arial Unicode MS"/>
          <w:color w:val="000000" w:themeColor="text1"/>
          <w:lang w:val="en-US" w:eastAsia="fr-CH"/>
        </w:rPr>
        <w:t>h</w:t>
      </w:r>
      <w:r w:rsidR="00732D11" w:rsidRPr="00722C5B">
        <w:rPr>
          <w:rFonts w:eastAsia="Arial Unicode MS"/>
          <w:color w:val="000000" w:themeColor="text1"/>
          <w:lang w:val="en-US" w:eastAsia="fr-CH"/>
        </w:rPr>
        <w:t xml:space="preserve">. </w:t>
      </w:r>
      <w:r w:rsidR="002F1946" w:rsidRPr="00722C5B">
        <w:rPr>
          <w:rFonts w:eastAsia="Arial Unicode MS"/>
          <w:color w:val="000000" w:themeColor="text1"/>
          <w:lang w:val="en-US" w:eastAsia="fr-CH"/>
        </w:rPr>
        <w:t xml:space="preserve">A synergistic effect of BHA and BHT in the stabilization of radical-catalyzed autoxidation has long been known. </w:t>
      </w:r>
      <w:proofErr w:type="spellStart"/>
      <w:r w:rsidR="00422750" w:rsidRPr="00722C5B">
        <w:rPr>
          <w:rFonts w:eastAsia="Arial Unicode MS"/>
          <w:color w:val="000000" w:themeColor="text1"/>
          <w:lang w:val="en-US" w:eastAsia="fr-CH"/>
        </w:rPr>
        <w:t>Omura</w:t>
      </w:r>
      <w:proofErr w:type="spellEnd"/>
      <w:r w:rsidR="002F1946" w:rsidRPr="00722C5B">
        <w:rPr>
          <w:rFonts w:eastAsia="Arial Unicode MS"/>
          <w:color w:val="000000" w:themeColor="text1"/>
          <w:lang w:val="en-US" w:eastAsia="fr-CH"/>
        </w:rPr>
        <w:t xml:space="preserve"> (</w:t>
      </w:r>
      <w:r w:rsidR="00422750" w:rsidRPr="00722C5B">
        <w:rPr>
          <w:rFonts w:eastAsia="Arial Unicode MS"/>
          <w:color w:val="000000" w:themeColor="text1"/>
          <w:lang w:val="en-US" w:eastAsia="fr-CH"/>
        </w:rPr>
        <w:t>1995</w:t>
      </w:r>
      <w:r w:rsidR="002F1946" w:rsidRPr="00722C5B">
        <w:rPr>
          <w:rFonts w:eastAsia="Arial Unicode MS"/>
          <w:color w:val="000000" w:themeColor="text1"/>
          <w:lang w:val="en-US" w:eastAsia="fr-CH"/>
        </w:rPr>
        <w:t xml:space="preserve">) demonstrates the synergism between BHA and BHT through synthesis of their radicals </w:t>
      </w:r>
      <w:r w:rsidR="002F1946" w:rsidRPr="00722C5B">
        <w:rPr>
          <w:rFonts w:eastAsia="Arial Unicode MS"/>
          <w:i/>
          <w:color w:val="000000" w:themeColor="text1"/>
          <w:lang w:val="en-US" w:eastAsia="fr-CH"/>
        </w:rPr>
        <w:t>in vitro</w:t>
      </w:r>
      <w:r w:rsidR="00422750" w:rsidRPr="00722C5B">
        <w:rPr>
          <w:rFonts w:eastAsia="Arial Unicode MS"/>
          <w:color w:val="000000" w:themeColor="text1"/>
          <w:lang w:val="en-US" w:eastAsia="fr-CH"/>
        </w:rPr>
        <w:t>.</w:t>
      </w:r>
      <w:r w:rsidR="004C447A" w:rsidRPr="00722C5B">
        <w:rPr>
          <w:rFonts w:eastAsia="Arial Unicode MS"/>
          <w:color w:val="000000" w:themeColor="text1"/>
          <w:lang w:val="en-US" w:eastAsia="fr-CH"/>
        </w:rPr>
        <w:t xml:space="preserve"> </w:t>
      </w:r>
      <w:proofErr w:type="spellStart"/>
      <w:r w:rsidR="00BB4D6B" w:rsidRPr="00722C5B">
        <w:rPr>
          <w:rFonts w:eastAsia="Arial Unicode MS"/>
          <w:color w:val="000000" w:themeColor="text1"/>
          <w:lang w:val="en-US" w:eastAsia="fr-CH"/>
        </w:rPr>
        <w:t>Ascorbyl</w:t>
      </w:r>
      <w:proofErr w:type="spellEnd"/>
      <w:r w:rsidR="00BB4D6B" w:rsidRPr="00722C5B">
        <w:rPr>
          <w:rFonts w:eastAsia="Arial Unicode MS"/>
          <w:color w:val="000000" w:themeColor="text1"/>
          <w:lang w:val="en-US" w:eastAsia="fr-CH"/>
        </w:rPr>
        <w:t xml:space="preserve"> </w:t>
      </w:r>
      <w:proofErr w:type="spellStart"/>
      <w:r w:rsidR="00BB4D6B" w:rsidRPr="00722C5B">
        <w:rPr>
          <w:rFonts w:eastAsia="Arial Unicode MS"/>
          <w:color w:val="000000" w:themeColor="text1"/>
          <w:lang w:val="en-US" w:eastAsia="fr-CH"/>
        </w:rPr>
        <w:t>palmitate</w:t>
      </w:r>
      <w:proofErr w:type="spellEnd"/>
      <w:r w:rsidR="00BB4D6B" w:rsidRPr="00722C5B">
        <w:rPr>
          <w:rFonts w:eastAsia="Arial Unicode MS"/>
          <w:color w:val="000000" w:themeColor="text1"/>
          <w:lang w:val="en-US" w:eastAsia="fr-CH"/>
        </w:rPr>
        <w:t xml:space="preserve"> (AP)</w:t>
      </w:r>
      <w:r w:rsidR="004C447A" w:rsidRPr="00722C5B">
        <w:rPr>
          <w:rFonts w:eastAsia="Arial Unicode MS"/>
          <w:color w:val="000000" w:themeColor="text1"/>
          <w:lang w:val="en-US" w:eastAsia="fr-CH"/>
        </w:rPr>
        <w:t xml:space="preserve"> </w:t>
      </w:r>
      <w:r w:rsidR="0091435E" w:rsidRPr="00722C5B">
        <w:rPr>
          <w:rFonts w:eastAsia="Arial Unicode MS"/>
          <w:color w:val="000000" w:themeColor="text1"/>
          <w:lang w:val="en-US" w:eastAsia="fr-CH"/>
        </w:rPr>
        <w:t xml:space="preserve">when added </w:t>
      </w:r>
      <w:r w:rsidR="004C447A" w:rsidRPr="00722C5B">
        <w:rPr>
          <w:rFonts w:eastAsia="Arial Unicode MS"/>
          <w:color w:val="000000" w:themeColor="text1"/>
          <w:lang w:val="en-US" w:eastAsia="fr-CH"/>
        </w:rPr>
        <w:t xml:space="preserve">alone was </w:t>
      </w:r>
      <w:r w:rsidR="006C1F10" w:rsidRPr="00722C5B">
        <w:rPr>
          <w:rFonts w:eastAsia="Arial Unicode MS"/>
          <w:color w:val="000000" w:themeColor="text1"/>
          <w:lang w:val="en-US" w:eastAsia="fr-CH"/>
        </w:rPr>
        <w:t>sho</w:t>
      </w:r>
      <w:r w:rsidR="006C1F10">
        <w:rPr>
          <w:rFonts w:eastAsia="Arial Unicode MS"/>
          <w:color w:val="000000" w:themeColor="text1"/>
          <w:lang w:val="en-US" w:eastAsia="fr-CH"/>
        </w:rPr>
        <w:t>wn</w:t>
      </w:r>
      <w:r w:rsidR="006C1F10" w:rsidRPr="00722C5B">
        <w:rPr>
          <w:rFonts w:eastAsia="Arial Unicode MS"/>
          <w:color w:val="000000" w:themeColor="text1"/>
          <w:lang w:val="en-US" w:eastAsia="fr-CH"/>
        </w:rPr>
        <w:t xml:space="preserve"> </w:t>
      </w:r>
      <w:r w:rsidR="004C447A" w:rsidRPr="00722C5B">
        <w:rPr>
          <w:rFonts w:eastAsia="Arial Unicode MS"/>
          <w:color w:val="000000" w:themeColor="text1"/>
          <w:lang w:val="en-US" w:eastAsia="fr-CH"/>
        </w:rPr>
        <w:t xml:space="preserve">to have a </w:t>
      </w:r>
      <w:r w:rsidR="00BB4D6B" w:rsidRPr="00722C5B">
        <w:rPr>
          <w:rFonts w:eastAsia="Arial Unicode MS"/>
          <w:color w:val="000000" w:themeColor="text1"/>
          <w:lang w:val="en-US" w:eastAsia="fr-CH"/>
        </w:rPr>
        <w:t xml:space="preserve">promising effect on improving the stability </w:t>
      </w:r>
      <w:r w:rsidR="004C447A" w:rsidRPr="00722C5B">
        <w:rPr>
          <w:rFonts w:eastAsia="Arial Unicode MS"/>
          <w:color w:val="000000" w:themeColor="text1"/>
          <w:lang w:val="en-US" w:eastAsia="fr-CH"/>
        </w:rPr>
        <w:t>SO</w:t>
      </w:r>
      <w:r w:rsidR="00BB4D6B" w:rsidRPr="00722C5B">
        <w:rPr>
          <w:rFonts w:eastAsia="Arial Unicode MS"/>
          <w:color w:val="000000" w:themeColor="text1"/>
          <w:lang w:val="en-US" w:eastAsia="fr-CH"/>
        </w:rPr>
        <w:t xml:space="preserve">. </w:t>
      </w:r>
      <w:r w:rsidR="0091435E" w:rsidRPr="00722C5B">
        <w:rPr>
          <w:rFonts w:eastAsia="Arial Unicode MS"/>
          <w:color w:val="000000" w:themeColor="text1"/>
          <w:lang w:val="en-US" w:eastAsia="fr-CH"/>
        </w:rPr>
        <w:t>In fact, u</w:t>
      </w:r>
      <w:r w:rsidR="00BB4D6B" w:rsidRPr="00722C5B">
        <w:rPr>
          <w:rFonts w:eastAsia="Arial Unicode MS"/>
          <w:color w:val="000000" w:themeColor="text1"/>
          <w:lang w:val="en-US" w:eastAsia="fr-CH"/>
        </w:rPr>
        <w:t>se of up</w:t>
      </w:r>
      <w:r w:rsidR="008A14E0" w:rsidRPr="00722C5B">
        <w:rPr>
          <w:rFonts w:eastAsia="Arial Unicode MS"/>
          <w:color w:val="000000" w:themeColor="text1"/>
          <w:lang w:val="en-US" w:eastAsia="fr-CH"/>
        </w:rPr>
        <w:t xml:space="preserve"> </w:t>
      </w:r>
      <w:r w:rsidR="004C447A" w:rsidRPr="00722C5B">
        <w:rPr>
          <w:rFonts w:eastAsia="Arial Unicode MS"/>
          <w:color w:val="000000" w:themeColor="text1"/>
          <w:lang w:val="en-US" w:eastAsia="fr-CH"/>
        </w:rPr>
        <w:t xml:space="preserve">AP up </w:t>
      </w:r>
      <w:r w:rsidR="00BB4D6B" w:rsidRPr="00722C5B">
        <w:rPr>
          <w:rFonts w:eastAsia="Arial Unicode MS"/>
          <w:color w:val="000000" w:themeColor="text1"/>
          <w:lang w:val="en-US" w:eastAsia="fr-CH"/>
        </w:rPr>
        <w:t xml:space="preserve">to </w:t>
      </w:r>
      <w:r w:rsidR="00894E6B" w:rsidRPr="00722C5B">
        <w:rPr>
          <w:rFonts w:cs="Arial"/>
          <w:color w:val="000000"/>
          <w:lang w:val="en-US"/>
        </w:rPr>
        <w:t>300 </w:t>
      </w:r>
      <w:r w:rsidR="00BB4D6B" w:rsidRPr="00722C5B">
        <w:rPr>
          <w:rFonts w:cs="Arial"/>
          <w:color w:val="000000"/>
          <w:lang w:val="en-US"/>
        </w:rPr>
        <w:t xml:space="preserve">ppm </w:t>
      </w:r>
      <w:r w:rsidR="004C447A" w:rsidRPr="00722C5B">
        <w:rPr>
          <w:rFonts w:cs="Arial"/>
          <w:color w:val="000000"/>
          <w:lang w:val="en-US"/>
        </w:rPr>
        <w:t xml:space="preserve">in SO resulted in an induction period of </w:t>
      </w:r>
      <w:r w:rsidR="00894E6B" w:rsidRPr="00722C5B">
        <w:rPr>
          <w:rFonts w:cs="Arial"/>
          <w:color w:val="000000"/>
          <w:lang w:val="en-US"/>
        </w:rPr>
        <w:t>12.</w:t>
      </w:r>
      <w:r w:rsidR="004C447A" w:rsidRPr="00722C5B">
        <w:rPr>
          <w:rFonts w:cs="Arial"/>
          <w:color w:val="000000"/>
          <w:lang w:val="en-US"/>
        </w:rPr>
        <w:t>2</w:t>
      </w:r>
      <w:r w:rsidR="00894E6B" w:rsidRPr="00722C5B">
        <w:rPr>
          <w:rFonts w:cs="Arial"/>
          <w:color w:val="000000"/>
          <w:lang w:val="en-US"/>
        </w:rPr>
        <w:t> </w:t>
      </w:r>
      <w:r w:rsidR="008A14E0" w:rsidRPr="00722C5B">
        <w:rPr>
          <w:rFonts w:cs="Arial"/>
          <w:color w:val="000000"/>
          <w:lang w:val="en-US"/>
        </w:rPr>
        <w:t>h</w:t>
      </w:r>
      <w:r w:rsidR="004C447A" w:rsidRPr="00722C5B">
        <w:rPr>
          <w:rFonts w:cs="Arial"/>
          <w:color w:val="000000"/>
          <w:lang w:val="en-US"/>
        </w:rPr>
        <w:t>, which is more than twice that of SO alone without added antioxidants.</w:t>
      </w:r>
      <w:r w:rsidR="00BB4D6B" w:rsidRPr="00722C5B">
        <w:rPr>
          <w:rFonts w:cs="Arial"/>
          <w:color w:val="000000"/>
          <w:lang w:val="en-US"/>
        </w:rPr>
        <w:t xml:space="preserve"> </w:t>
      </w:r>
      <w:r w:rsidR="0091435E" w:rsidRPr="00722C5B">
        <w:rPr>
          <w:rFonts w:cs="Arial"/>
          <w:color w:val="000000"/>
          <w:lang w:val="en-US"/>
        </w:rPr>
        <w:t>The a</w:t>
      </w:r>
      <w:r w:rsidR="006A5AAA" w:rsidRPr="00722C5B">
        <w:rPr>
          <w:rFonts w:eastAsia="Arial Unicode MS"/>
          <w:color w:val="000000" w:themeColor="text1"/>
          <w:lang w:val="en-US" w:eastAsia="fr-CH"/>
        </w:rPr>
        <w:t>ddition of low concentrations (100-1000</w:t>
      </w:r>
      <w:r w:rsidR="006846BA" w:rsidRPr="00722C5B">
        <w:rPr>
          <w:rFonts w:eastAsia="Arial Unicode MS"/>
          <w:color w:val="000000" w:themeColor="text1"/>
          <w:lang w:val="en-US" w:eastAsia="fr-CH"/>
        </w:rPr>
        <w:t> </w:t>
      </w:r>
      <w:r w:rsidR="006A5AAA" w:rsidRPr="00722C5B">
        <w:rPr>
          <w:rFonts w:eastAsia="Arial Unicode MS"/>
          <w:color w:val="000000" w:themeColor="text1"/>
          <w:lang w:val="en-US" w:eastAsia="fr-CH"/>
        </w:rPr>
        <w:t>ppm) of M-TOC</w:t>
      </w:r>
      <w:r w:rsidR="0091435E" w:rsidRPr="00722C5B">
        <w:rPr>
          <w:rFonts w:eastAsia="Arial Unicode MS"/>
          <w:color w:val="000000" w:themeColor="text1"/>
          <w:lang w:val="en-US" w:eastAsia="fr-CH"/>
        </w:rPr>
        <w:t xml:space="preserve">, however, </w:t>
      </w:r>
      <w:r w:rsidR="006A5AAA" w:rsidRPr="00722C5B">
        <w:rPr>
          <w:rFonts w:eastAsia="Arial Unicode MS"/>
          <w:color w:val="000000" w:themeColor="text1"/>
          <w:lang w:val="en-US" w:eastAsia="fr-CH"/>
        </w:rPr>
        <w:t xml:space="preserve">was </w:t>
      </w:r>
      <w:r w:rsidR="0091435E" w:rsidRPr="00722C5B">
        <w:rPr>
          <w:rFonts w:eastAsia="Arial Unicode MS"/>
          <w:color w:val="000000" w:themeColor="text1"/>
          <w:lang w:val="en-US" w:eastAsia="fr-CH"/>
        </w:rPr>
        <w:t xml:space="preserve">not </w:t>
      </w:r>
      <w:r w:rsidR="006A5AAA" w:rsidRPr="00722C5B">
        <w:rPr>
          <w:rFonts w:eastAsia="Arial Unicode MS"/>
          <w:color w:val="000000" w:themeColor="text1"/>
          <w:lang w:val="en-US" w:eastAsia="fr-CH"/>
        </w:rPr>
        <w:t xml:space="preserve">shown to be </w:t>
      </w:r>
      <w:r w:rsidR="00FE0220">
        <w:rPr>
          <w:rFonts w:eastAsia="Arial Unicode MS"/>
          <w:color w:val="000000" w:themeColor="text1"/>
          <w:lang w:val="en-US" w:eastAsia="fr-CH"/>
        </w:rPr>
        <w:t xml:space="preserve">significantly </w:t>
      </w:r>
      <w:r w:rsidR="0091435E" w:rsidRPr="00722C5B">
        <w:rPr>
          <w:rFonts w:eastAsia="Arial Unicode MS"/>
          <w:color w:val="000000" w:themeColor="text1"/>
          <w:lang w:val="en-US" w:eastAsia="fr-CH"/>
        </w:rPr>
        <w:t>effective at</w:t>
      </w:r>
      <w:r w:rsidR="006A5AAA" w:rsidRPr="00722C5B">
        <w:rPr>
          <w:rFonts w:eastAsia="Arial Unicode MS"/>
          <w:color w:val="000000" w:themeColor="text1"/>
          <w:lang w:val="en-US" w:eastAsia="fr-CH"/>
        </w:rPr>
        <w:t xml:space="preserve"> increasing the induction period of SO within the OSI test. </w:t>
      </w:r>
      <w:r w:rsidR="0091435E" w:rsidRPr="00722C5B">
        <w:rPr>
          <w:rFonts w:eastAsia="Arial Unicode MS"/>
          <w:color w:val="000000" w:themeColor="text1"/>
          <w:lang w:val="en-US" w:eastAsia="fr-CH"/>
        </w:rPr>
        <w:t xml:space="preserve">Further, the combination of the </w:t>
      </w:r>
      <w:r w:rsidR="00894E6B" w:rsidRPr="00722C5B">
        <w:rPr>
          <w:rFonts w:cs="Arial"/>
          <w:color w:val="000000"/>
          <w:lang w:val="en-US"/>
        </w:rPr>
        <w:t>300 ppm of AP and 1000 </w:t>
      </w:r>
      <w:r w:rsidR="002B667D" w:rsidRPr="00722C5B">
        <w:rPr>
          <w:rFonts w:cs="Arial"/>
          <w:color w:val="000000"/>
          <w:lang w:val="en-US"/>
        </w:rPr>
        <w:t>ppm of M-TOC</w:t>
      </w:r>
      <w:r w:rsidR="006846BA" w:rsidRPr="00722C5B">
        <w:rPr>
          <w:rFonts w:cs="Arial"/>
          <w:color w:val="000000"/>
          <w:lang w:val="en-US"/>
        </w:rPr>
        <w:t>, as well as 20 </w:t>
      </w:r>
      <w:r w:rsidR="0091435E" w:rsidRPr="00722C5B">
        <w:rPr>
          <w:rFonts w:cs="Arial"/>
          <w:color w:val="000000"/>
          <w:lang w:val="en-US"/>
        </w:rPr>
        <w:t>ppm CA in addition to the former,</w:t>
      </w:r>
      <w:r w:rsidR="002B667D" w:rsidRPr="00722C5B">
        <w:rPr>
          <w:rFonts w:cs="Arial"/>
          <w:color w:val="000000"/>
          <w:lang w:val="en-US"/>
        </w:rPr>
        <w:t xml:space="preserve"> did not show </w:t>
      </w:r>
      <w:r w:rsidR="0091435E" w:rsidRPr="00722C5B">
        <w:rPr>
          <w:rFonts w:cs="Arial"/>
          <w:color w:val="000000"/>
          <w:lang w:val="en-US"/>
        </w:rPr>
        <w:t>any synergism in stabilizing SO as was the case with the synthetic antioxidants BHA and BHT.</w:t>
      </w:r>
      <w:r w:rsidR="002B667D" w:rsidRPr="00722C5B">
        <w:rPr>
          <w:rFonts w:cs="Arial"/>
          <w:color w:val="000000"/>
          <w:lang w:val="en-US"/>
        </w:rPr>
        <w:t xml:space="preserve"> </w:t>
      </w:r>
      <w:r w:rsidR="0091435E" w:rsidRPr="00722C5B">
        <w:rPr>
          <w:rFonts w:cs="Arial"/>
          <w:color w:val="000000"/>
          <w:lang w:val="en-US"/>
        </w:rPr>
        <w:t>Lastly, a</w:t>
      </w:r>
      <w:r w:rsidR="006A5AAA" w:rsidRPr="00722C5B">
        <w:rPr>
          <w:rFonts w:eastAsia="Arial Unicode MS"/>
          <w:color w:val="000000" w:themeColor="text1"/>
          <w:lang w:val="en-US" w:eastAsia="fr-CH"/>
        </w:rPr>
        <w:t>ddition of rosemary extract up to 500 ppm had no effect on OSI value of SO.</w:t>
      </w:r>
      <w:r w:rsidR="0091435E" w:rsidRPr="00722C5B">
        <w:rPr>
          <w:rFonts w:eastAsia="Arial Unicode MS"/>
          <w:color w:val="000000" w:themeColor="text1"/>
          <w:lang w:val="en-US" w:eastAsia="fr-CH"/>
        </w:rPr>
        <w:t xml:space="preserve"> </w:t>
      </w:r>
      <w:r w:rsidR="0091435E" w:rsidRPr="00722C5B">
        <w:rPr>
          <w:rFonts w:cs="Arial"/>
          <w:color w:val="000000"/>
          <w:lang w:val="en-US"/>
        </w:rPr>
        <w:t>.</w:t>
      </w:r>
    </w:p>
    <w:p w:rsidR="002A1735" w:rsidRPr="00722C5B" w:rsidRDefault="002A1735" w:rsidP="002F54BE">
      <w:pPr>
        <w:spacing w:line="480" w:lineRule="auto"/>
        <w:jc w:val="both"/>
        <w:rPr>
          <w:lang w:val="en-US"/>
        </w:rPr>
      </w:pPr>
    </w:p>
    <w:p w:rsidR="00D83906" w:rsidRDefault="00D83906" w:rsidP="002F54BE">
      <w:pPr>
        <w:spacing w:line="480" w:lineRule="auto"/>
        <w:jc w:val="both"/>
        <w:rPr>
          <w:i/>
          <w:lang w:val="en-US"/>
        </w:rPr>
      </w:pPr>
    </w:p>
    <w:p w:rsidR="002F54BE" w:rsidRPr="00722C5B" w:rsidRDefault="002F54BE" w:rsidP="002F54BE">
      <w:pPr>
        <w:spacing w:line="480" w:lineRule="auto"/>
        <w:jc w:val="both"/>
        <w:rPr>
          <w:i/>
          <w:lang w:val="en-US"/>
        </w:rPr>
      </w:pPr>
      <w:r w:rsidRPr="00722C5B">
        <w:rPr>
          <w:i/>
          <w:lang w:val="en-US"/>
        </w:rPr>
        <w:lastRenderedPageBreak/>
        <w:t>Storage Stability Test</w:t>
      </w:r>
    </w:p>
    <w:p w:rsidR="001D241F" w:rsidRPr="00722C5B" w:rsidRDefault="001D241F" w:rsidP="001D241F">
      <w:pPr>
        <w:autoSpaceDE w:val="0"/>
        <w:autoSpaceDN w:val="0"/>
        <w:adjustRightInd w:val="0"/>
        <w:spacing w:line="480" w:lineRule="auto"/>
        <w:jc w:val="both"/>
        <w:rPr>
          <w:rFonts w:cs="Arial"/>
          <w:lang w:val="en-US"/>
        </w:rPr>
      </w:pPr>
      <w:r w:rsidRPr="00722C5B">
        <w:rPr>
          <w:rFonts w:cs="Arial"/>
          <w:lang w:val="en-US" w:eastAsia="fr-CH"/>
        </w:rPr>
        <w:t xml:space="preserve">According to the Arrhenius equation, </w:t>
      </w:r>
      <w:r w:rsidRPr="00722C5B">
        <w:rPr>
          <w:rFonts w:cs="Arial"/>
          <w:lang w:val="en-US"/>
        </w:rPr>
        <w:t xml:space="preserve">storage stability of an </w:t>
      </w:r>
      <w:r w:rsidR="00FE14C9" w:rsidRPr="00722C5B">
        <w:rPr>
          <w:rFonts w:cs="Arial"/>
          <w:lang w:val="en-US"/>
        </w:rPr>
        <w:t xml:space="preserve">edible </w:t>
      </w:r>
      <w:r w:rsidRPr="00722C5B">
        <w:rPr>
          <w:rFonts w:cs="Arial"/>
          <w:lang w:val="en-US"/>
        </w:rPr>
        <w:t>oil at 35 </w:t>
      </w:r>
      <w:r w:rsidRPr="00722C5B">
        <w:rPr>
          <w:rFonts w:cs="Arial"/>
          <w:lang w:val="en-US" w:eastAsia="fr-CH"/>
        </w:rPr>
        <w:t>°C for ‘</w:t>
      </w:r>
      <w:r w:rsidRPr="00722C5B">
        <w:rPr>
          <w:rStyle w:val="Emphasis"/>
          <w:rFonts w:cs="Arial"/>
          <w:i w:val="0"/>
          <w:lang w:val="en-US"/>
        </w:rPr>
        <w:t>1 week’</w:t>
      </w:r>
      <w:r w:rsidRPr="00722C5B">
        <w:rPr>
          <w:rFonts w:cs="Arial"/>
          <w:lang w:val="en-US"/>
        </w:rPr>
        <w:t xml:space="preserve"> is </w:t>
      </w:r>
      <w:r w:rsidR="00FE14C9" w:rsidRPr="00722C5B">
        <w:rPr>
          <w:rFonts w:cs="Arial"/>
          <w:lang w:val="en-US"/>
        </w:rPr>
        <w:t xml:space="preserve">approximately </w:t>
      </w:r>
      <w:r w:rsidRPr="00722C5B">
        <w:rPr>
          <w:rFonts w:cs="Arial"/>
          <w:lang w:val="en-US"/>
        </w:rPr>
        <w:t>equivalent to ‘</w:t>
      </w:r>
      <w:r w:rsidRPr="00722C5B">
        <w:rPr>
          <w:rStyle w:val="Emphasis"/>
          <w:rFonts w:cs="Arial"/>
          <w:i w:val="0"/>
          <w:lang w:val="en-US"/>
        </w:rPr>
        <w:t xml:space="preserve">1 month’ at ambient temperatures </w:t>
      </w:r>
      <w:r w:rsidRPr="00722C5B">
        <w:rPr>
          <w:rFonts w:cs="Arial"/>
          <w:lang w:val="en-US"/>
        </w:rPr>
        <w:t>(~</w:t>
      </w:r>
      <w:r w:rsidRPr="00722C5B">
        <w:rPr>
          <w:rFonts w:cs="Arial"/>
          <w:lang w:val="en-US" w:eastAsia="fr-CH"/>
        </w:rPr>
        <w:t xml:space="preserve">18 °C; </w:t>
      </w:r>
      <w:proofErr w:type="spellStart"/>
      <w:r w:rsidRPr="00722C5B">
        <w:rPr>
          <w:rFonts w:cs="Arial"/>
          <w:lang w:val="en-US"/>
        </w:rPr>
        <w:t>Taoukis</w:t>
      </w:r>
      <w:proofErr w:type="spellEnd"/>
      <w:r w:rsidRPr="00722C5B">
        <w:rPr>
          <w:rFonts w:cs="Arial"/>
          <w:lang w:val="en-US"/>
        </w:rPr>
        <w:t xml:space="preserve"> &amp; </w:t>
      </w:r>
      <w:proofErr w:type="spellStart"/>
      <w:r w:rsidRPr="00722C5B">
        <w:rPr>
          <w:rFonts w:cs="Arial"/>
          <w:lang w:val="en-US"/>
        </w:rPr>
        <w:t>Labuza</w:t>
      </w:r>
      <w:proofErr w:type="spellEnd"/>
      <w:r w:rsidRPr="00722C5B">
        <w:rPr>
          <w:rFonts w:cs="Arial"/>
          <w:lang w:val="en-US"/>
        </w:rPr>
        <w:t xml:space="preserve">, 1996). </w:t>
      </w:r>
      <w:r w:rsidR="00FE14C9" w:rsidRPr="00722C5B">
        <w:rPr>
          <w:rFonts w:cs="Arial"/>
          <w:lang w:val="en-US"/>
        </w:rPr>
        <w:t>T</w:t>
      </w:r>
      <w:r w:rsidRPr="00722C5B">
        <w:rPr>
          <w:rFonts w:cs="Arial"/>
          <w:lang w:val="en-US"/>
        </w:rPr>
        <w:t xml:space="preserve">his </w:t>
      </w:r>
      <w:r w:rsidR="00FE14C9" w:rsidRPr="00722C5B">
        <w:rPr>
          <w:rFonts w:cs="Arial"/>
          <w:lang w:val="en-US"/>
        </w:rPr>
        <w:t>type of approach can be useful</w:t>
      </w:r>
      <w:r w:rsidRPr="00722C5B">
        <w:rPr>
          <w:rFonts w:cs="Arial"/>
          <w:lang w:val="en-US"/>
        </w:rPr>
        <w:t xml:space="preserve"> in order to put</w:t>
      </w:r>
      <w:r w:rsidR="0006576F">
        <w:rPr>
          <w:rFonts w:cs="Arial"/>
          <w:lang w:val="en-US"/>
        </w:rPr>
        <w:t xml:space="preserve"> the combined</w:t>
      </w:r>
      <w:r w:rsidRPr="00722C5B">
        <w:rPr>
          <w:rFonts w:cs="Arial"/>
          <w:lang w:val="en-US"/>
        </w:rPr>
        <w:t xml:space="preserve"> </w:t>
      </w:r>
      <w:proofErr w:type="spellStart"/>
      <w:r w:rsidRPr="00722C5B">
        <w:rPr>
          <w:rFonts w:cs="Arial"/>
          <w:lang w:val="en-US"/>
        </w:rPr>
        <w:t>hydroperoxide</w:t>
      </w:r>
      <w:proofErr w:type="spellEnd"/>
      <w:r w:rsidRPr="00722C5B">
        <w:rPr>
          <w:rFonts w:cs="Arial"/>
          <w:lang w:val="en-US"/>
        </w:rPr>
        <w:t xml:space="preserve"> </w:t>
      </w:r>
      <w:r w:rsidR="00FE14C9" w:rsidRPr="00722C5B">
        <w:rPr>
          <w:rFonts w:cs="Arial"/>
          <w:lang w:val="en-US"/>
        </w:rPr>
        <w:t>a</w:t>
      </w:r>
      <w:r w:rsidRPr="00722C5B">
        <w:rPr>
          <w:rFonts w:cs="Arial"/>
          <w:lang w:val="en-US"/>
        </w:rPr>
        <w:t xml:space="preserve">nd </w:t>
      </w:r>
      <w:proofErr w:type="spellStart"/>
      <w:r w:rsidRPr="00722C5B">
        <w:rPr>
          <w:rFonts w:cs="Arial"/>
          <w:lang w:val="en-US"/>
        </w:rPr>
        <w:t>hexanal</w:t>
      </w:r>
      <w:proofErr w:type="spellEnd"/>
      <w:r w:rsidRPr="00722C5B">
        <w:rPr>
          <w:rFonts w:cs="Arial"/>
          <w:lang w:val="en-US"/>
        </w:rPr>
        <w:t xml:space="preserve"> data </w:t>
      </w:r>
      <w:r w:rsidR="000034EE" w:rsidRPr="00722C5B">
        <w:rPr>
          <w:rFonts w:cs="Arial"/>
          <w:lang w:val="en-US"/>
        </w:rPr>
        <w:t>contained herein i</w:t>
      </w:r>
      <w:r w:rsidRPr="00722C5B">
        <w:rPr>
          <w:rFonts w:cs="Arial"/>
          <w:lang w:val="en-US"/>
        </w:rPr>
        <w:t>nto the context of food product ‘shelf-life.’</w:t>
      </w:r>
      <w:r w:rsidR="000F09BF" w:rsidRPr="00D83906">
        <w:rPr>
          <w:lang w:val="en-US"/>
        </w:rPr>
        <w:t xml:space="preserve"> </w:t>
      </w:r>
      <w:r w:rsidR="000F09BF">
        <w:rPr>
          <w:rFonts w:cs="Arial"/>
          <w:lang w:val="en-US"/>
        </w:rPr>
        <w:t xml:space="preserve">Storage stability study in terms of </w:t>
      </w:r>
      <w:proofErr w:type="spellStart"/>
      <w:r w:rsidR="000F09BF">
        <w:rPr>
          <w:rFonts w:cs="Arial"/>
          <w:lang w:val="en-US"/>
        </w:rPr>
        <w:t>hydroperoxide</w:t>
      </w:r>
      <w:proofErr w:type="spellEnd"/>
      <w:r w:rsidR="000F09BF">
        <w:rPr>
          <w:rFonts w:cs="Arial"/>
          <w:lang w:val="en-US"/>
        </w:rPr>
        <w:t xml:space="preserve"> evolution and generation of </w:t>
      </w:r>
      <w:proofErr w:type="spellStart"/>
      <w:r w:rsidR="000F09BF">
        <w:rPr>
          <w:rFonts w:cs="Arial"/>
          <w:lang w:val="en-US"/>
        </w:rPr>
        <w:t>hexanal</w:t>
      </w:r>
      <w:proofErr w:type="spellEnd"/>
      <w:r w:rsidR="000F09BF">
        <w:rPr>
          <w:rFonts w:cs="Arial"/>
          <w:lang w:val="en-US"/>
        </w:rPr>
        <w:t xml:space="preserve"> </w:t>
      </w:r>
      <w:r w:rsidR="000F09BF" w:rsidRPr="000F09BF">
        <w:rPr>
          <w:rFonts w:cs="Arial"/>
          <w:lang w:val="en-US"/>
        </w:rPr>
        <w:t xml:space="preserve"> is only shown for the SOs </w:t>
      </w:r>
      <w:r w:rsidR="000F09BF">
        <w:rPr>
          <w:rFonts w:cs="Arial"/>
          <w:lang w:val="en-US"/>
        </w:rPr>
        <w:t xml:space="preserve">with or without </w:t>
      </w:r>
      <w:r w:rsidR="000F09BF" w:rsidRPr="000F09BF">
        <w:rPr>
          <w:rFonts w:cs="Arial"/>
          <w:lang w:val="en-US"/>
        </w:rPr>
        <w:t>containing antioxidants, which showed a marked ‘stabilization effect’ (i.e., those that exhibited OSI values above 8 h for all replicates)</w:t>
      </w:r>
      <w:r w:rsidR="000F09BF">
        <w:rPr>
          <w:rFonts w:cs="Arial"/>
          <w:lang w:val="en-US"/>
        </w:rPr>
        <w:t>.</w:t>
      </w:r>
    </w:p>
    <w:p w:rsidR="001D241F" w:rsidRPr="00722C5B" w:rsidRDefault="001D241F" w:rsidP="002F54BE">
      <w:pPr>
        <w:spacing w:line="480" w:lineRule="auto"/>
        <w:jc w:val="both"/>
        <w:rPr>
          <w:u w:val="single"/>
          <w:lang w:val="en-US" w:eastAsia="fr-CH"/>
        </w:rPr>
      </w:pPr>
    </w:p>
    <w:p w:rsidR="002F54BE" w:rsidRPr="00722C5B" w:rsidRDefault="002F54BE" w:rsidP="002F54BE">
      <w:pPr>
        <w:spacing w:line="480" w:lineRule="auto"/>
        <w:jc w:val="both"/>
        <w:rPr>
          <w:u w:val="single"/>
          <w:lang w:val="en-US" w:eastAsia="fr-CH"/>
        </w:rPr>
      </w:pPr>
      <w:r w:rsidRPr="00722C5B">
        <w:rPr>
          <w:u w:val="single"/>
          <w:lang w:val="en-US" w:eastAsia="fr-CH"/>
        </w:rPr>
        <w:t>Peroxide value (PV) test</w:t>
      </w:r>
    </w:p>
    <w:p w:rsidR="003C2B64" w:rsidRPr="00722C5B" w:rsidRDefault="00183123" w:rsidP="00F865F8">
      <w:pPr>
        <w:spacing w:line="480" w:lineRule="auto"/>
        <w:jc w:val="both"/>
        <w:rPr>
          <w:rFonts w:eastAsia="Arial Unicode MS"/>
          <w:color w:val="000000" w:themeColor="text1"/>
          <w:lang w:val="en-US"/>
        </w:rPr>
      </w:pPr>
      <w:proofErr w:type="gramStart"/>
      <w:r w:rsidRPr="00722C5B">
        <w:rPr>
          <w:rFonts w:eastAsia="Arial Unicode MS"/>
          <w:color w:val="000000" w:themeColor="text1"/>
          <w:lang w:val="en-US"/>
        </w:rPr>
        <w:t>Results of the peroxide value (PV) test</w:t>
      </w:r>
      <w:r w:rsidR="003C2B64" w:rsidRPr="00722C5B">
        <w:rPr>
          <w:rFonts w:eastAsia="Arial Unicode MS"/>
          <w:color w:val="000000" w:themeColor="text1"/>
          <w:lang w:val="en-US"/>
        </w:rPr>
        <w:t>s</w:t>
      </w:r>
      <w:r w:rsidRPr="00722C5B">
        <w:rPr>
          <w:rFonts w:eastAsia="Arial Unicode MS"/>
          <w:color w:val="000000" w:themeColor="text1"/>
          <w:lang w:val="en-US"/>
        </w:rPr>
        <w:t xml:space="preserve"> </w:t>
      </w:r>
      <w:r w:rsidR="004840F0" w:rsidRPr="00722C5B">
        <w:rPr>
          <w:rFonts w:eastAsia="Arial Unicode MS"/>
          <w:color w:val="000000" w:themeColor="text1"/>
          <w:lang w:val="en-US"/>
        </w:rPr>
        <w:t>(</w:t>
      </w:r>
      <w:r w:rsidRPr="00722C5B">
        <w:rPr>
          <w:rFonts w:eastAsia="Arial Unicode MS"/>
          <w:color w:val="000000" w:themeColor="text1"/>
          <w:lang w:val="en-US"/>
        </w:rPr>
        <w:t xml:space="preserve">in </w:t>
      </w:r>
      <w:proofErr w:type="spellStart"/>
      <w:r w:rsidR="004840F0" w:rsidRPr="00722C5B">
        <w:rPr>
          <w:rFonts w:eastAsia="Arial Unicode MS"/>
          <w:color w:val="000000" w:themeColor="text1"/>
          <w:lang w:val="en-US"/>
        </w:rPr>
        <w:t>meq</w:t>
      </w:r>
      <w:proofErr w:type="spellEnd"/>
      <w:r w:rsidR="004840F0" w:rsidRPr="00722C5B">
        <w:rPr>
          <w:rFonts w:eastAsia="Arial Unicode MS"/>
          <w:color w:val="000000" w:themeColor="text1"/>
          <w:lang w:val="en-US"/>
        </w:rPr>
        <w:t xml:space="preserve"> O</w:t>
      </w:r>
      <w:r w:rsidR="004840F0" w:rsidRPr="00722C5B">
        <w:rPr>
          <w:rFonts w:eastAsia="Arial Unicode MS"/>
          <w:color w:val="000000" w:themeColor="text1"/>
          <w:vertAlign w:val="subscript"/>
          <w:lang w:val="en-US"/>
        </w:rPr>
        <w:t>2</w:t>
      </w:r>
      <w:r w:rsidR="004840F0" w:rsidRPr="00722C5B">
        <w:rPr>
          <w:rFonts w:eastAsia="Arial Unicode MS"/>
          <w:color w:val="000000" w:themeColor="text1"/>
          <w:lang w:val="en-US"/>
        </w:rPr>
        <w:t xml:space="preserve">/kg oil) </w:t>
      </w:r>
      <w:r w:rsidR="003C2B64" w:rsidRPr="00722C5B">
        <w:rPr>
          <w:rFonts w:eastAsia="Arial Unicode MS"/>
          <w:color w:val="000000" w:themeColor="text1"/>
          <w:lang w:val="en-US"/>
        </w:rPr>
        <w:t>of</w:t>
      </w:r>
      <w:r w:rsidR="004840F0" w:rsidRPr="00722C5B">
        <w:rPr>
          <w:rFonts w:eastAsia="Arial Unicode MS"/>
          <w:color w:val="000000" w:themeColor="text1"/>
          <w:lang w:val="en-US"/>
        </w:rPr>
        <w:t xml:space="preserve"> </w:t>
      </w:r>
      <w:r w:rsidR="003C2B64" w:rsidRPr="00722C5B">
        <w:rPr>
          <w:rFonts w:eastAsia="Arial Unicode MS"/>
          <w:color w:val="000000" w:themeColor="text1"/>
          <w:lang w:val="en-US"/>
        </w:rPr>
        <w:t xml:space="preserve">the </w:t>
      </w:r>
      <w:r w:rsidR="004840F0" w:rsidRPr="00722C5B">
        <w:rPr>
          <w:rFonts w:eastAsia="Arial Unicode MS"/>
          <w:color w:val="000000" w:themeColor="text1"/>
          <w:lang w:val="en-US"/>
        </w:rPr>
        <w:t xml:space="preserve">oils stored at </w:t>
      </w:r>
      <w:r w:rsidR="00894E6B" w:rsidRPr="00722C5B">
        <w:rPr>
          <w:color w:val="000000" w:themeColor="text1"/>
          <w:lang w:val="en-US"/>
        </w:rPr>
        <w:t>35 </w:t>
      </w:r>
      <w:r w:rsidR="004840F0" w:rsidRPr="00722C5B">
        <w:rPr>
          <w:color w:val="000000" w:themeColor="text1"/>
          <w:lang w:val="en-US"/>
        </w:rPr>
        <w:t xml:space="preserve">°C </w:t>
      </w:r>
      <w:r w:rsidR="000358E7">
        <w:rPr>
          <w:color w:val="000000" w:themeColor="text1"/>
          <w:lang w:val="en-US"/>
        </w:rPr>
        <w:t>for</w:t>
      </w:r>
      <w:r w:rsidR="00827EE8" w:rsidRPr="00722C5B">
        <w:rPr>
          <w:color w:val="000000" w:themeColor="text1"/>
          <w:lang w:val="en-US"/>
        </w:rPr>
        <w:t xml:space="preserve"> </w:t>
      </w:r>
      <w:r w:rsidR="000358E7">
        <w:rPr>
          <w:color w:val="000000" w:themeColor="text1"/>
          <w:lang w:val="en-US"/>
        </w:rPr>
        <w:t>28 wee</w:t>
      </w:r>
      <w:r w:rsidR="00827EE8" w:rsidRPr="00722C5B">
        <w:rPr>
          <w:color w:val="000000" w:themeColor="text1"/>
          <w:lang w:val="en-US"/>
        </w:rPr>
        <w:t>ks</w:t>
      </w:r>
      <w:r w:rsidRPr="00722C5B">
        <w:rPr>
          <w:color w:val="000000" w:themeColor="text1"/>
          <w:lang w:val="en-US"/>
        </w:rPr>
        <w:t xml:space="preserve"> were </w:t>
      </w:r>
      <w:r w:rsidR="000358E7">
        <w:rPr>
          <w:color w:val="000000" w:themeColor="text1"/>
          <w:lang w:val="en-US"/>
        </w:rPr>
        <w:t xml:space="preserve">plotted </w:t>
      </w:r>
      <w:r w:rsidRPr="00722C5B">
        <w:rPr>
          <w:color w:val="000000" w:themeColor="text1"/>
          <w:lang w:val="en-US"/>
        </w:rPr>
        <w:t>and appear i</w:t>
      </w:r>
      <w:r w:rsidR="004840F0" w:rsidRPr="00722C5B">
        <w:rPr>
          <w:rFonts w:eastAsia="Arial Unicode MS"/>
          <w:color w:val="000000" w:themeColor="text1"/>
          <w:lang w:val="en-US"/>
        </w:rPr>
        <w:t>n</w:t>
      </w:r>
      <w:r w:rsidR="006565E6" w:rsidRPr="00722C5B">
        <w:rPr>
          <w:rFonts w:eastAsia="Arial Unicode MS"/>
          <w:color w:val="000000" w:themeColor="text1"/>
          <w:lang w:val="en-US"/>
        </w:rPr>
        <w:t xml:space="preserve"> </w:t>
      </w:r>
      <w:r w:rsidR="006565E6" w:rsidRPr="00722C5B">
        <w:rPr>
          <w:rFonts w:eastAsia="Arial Unicode MS"/>
          <w:b/>
          <w:color w:val="000000" w:themeColor="text1"/>
          <w:lang w:val="en-US"/>
        </w:rPr>
        <w:t xml:space="preserve">Figure </w:t>
      </w:r>
      <w:r w:rsidR="00EB2E6C">
        <w:rPr>
          <w:rFonts w:eastAsia="Arial Unicode MS"/>
          <w:b/>
          <w:color w:val="000000" w:themeColor="text1"/>
          <w:lang w:val="en-US"/>
        </w:rPr>
        <w:t>1</w:t>
      </w:r>
      <w:r w:rsidR="006565E6" w:rsidRPr="00722C5B">
        <w:rPr>
          <w:rFonts w:eastAsia="Arial Unicode MS"/>
          <w:color w:val="000000" w:themeColor="text1"/>
          <w:lang w:val="en-US"/>
        </w:rPr>
        <w:t>.</w:t>
      </w:r>
      <w:proofErr w:type="gramEnd"/>
      <w:r w:rsidR="006565E6" w:rsidRPr="00722C5B">
        <w:rPr>
          <w:rFonts w:eastAsia="Arial Unicode MS"/>
          <w:color w:val="000000" w:themeColor="text1"/>
          <w:lang w:val="en-US"/>
        </w:rPr>
        <w:t xml:space="preserve"> </w:t>
      </w:r>
      <w:r w:rsidR="006846BA" w:rsidRPr="00722C5B">
        <w:rPr>
          <w:rFonts w:eastAsia="Arial Unicode MS"/>
          <w:color w:val="000000" w:themeColor="text1"/>
          <w:lang w:val="en-US"/>
        </w:rPr>
        <w:t xml:space="preserve">As seen in </w:t>
      </w:r>
      <w:r w:rsidR="006846BA" w:rsidRPr="00722C5B">
        <w:rPr>
          <w:rFonts w:eastAsia="Arial Unicode MS"/>
          <w:b/>
          <w:color w:val="000000" w:themeColor="text1"/>
          <w:lang w:val="en-US"/>
        </w:rPr>
        <w:t xml:space="preserve">Figure </w:t>
      </w:r>
      <w:r w:rsidR="00EB2E6C">
        <w:rPr>
          <w:rFonts w:eastAsia="Arial Unicode MS"/>
          <w:b/>
          <w:color w:val="000000" w:themeColor="text1"/>
          <w:lang w:val="en-US"/>
        </w:rPr>
        <w:t>1</w:t>
      </w:r>
      <w:r w:rsidR="006846BA" w:rsidRPr="00722C5B">
        <w:rPr>
          <w:rFonts w:eastAsia="Arial Unicode MS"/>
          <w:color w:val="000000" w:themeColor="text1"/>
          <w:lang w:val="en-US"/>
        </w:rPr>
        <w:t xml:space="preserve">, HOSFO did not demonstrate an increase in </w:t>
      </w:r>
      <w:proofErr w:type="spellStart"/>
      <w:r w:rsidR="006846BA" w:rsidRPr="00722C5B">
        <w:rPr>
          <w:rFonts w:eastAsia="Arial Unicode MS"/>
          <w:color w:val="000000" w:themeColor="text1"/>
          <w:lang w:val="en-US"/>
        </w:rPr>
        <w:t>hydroperoxides</w:t>
      </w:r>
      <w:proofErr w:type="spellEnd"/>
      <w:r w:rsidR="006846BA" w:rsidRPr="00722C5B">
        <w:rPr>
          <w:rFonts w:eastAsia="Arial Unicode MS"/>
          <w:color w:val="000000" w:themeColor="text1"/>
          <w:lang w:val="en-US"/>
        </w:rPr>
        <w:t xml:space="preserve"> </w:t>
      </w:r>
      <w:r w:rsidR="00F865F8" w:rsidRPr="00722C5B">
        <w:rPr>
          <w:rFonts w:eastAsia="Arial Unicode MS"/>
          <w:color w:val="000000" w:themeColor="text1"/>
          <w:lang w:val="en-US"/>
        </w:rPr>
        <w:t>(5.9 </w:t>
      </w:r>
      <w:proofErr w:type="spellStart"/>
      <w:r w:rsidR="00F865F8" w:rsidRPr="00722C5B">
        <w:rPr>
          <w:rFonts w:eastAsia="Arial Unicode MS"/>
          <w:color w:val="000000" w:themeColor="text1"/>
          <w:lang w:val="en-US"/>
        </w:rPr>
        <w:t>meq</w:t>
      </w:r>
      <w:proofErr w:type="spellEnd"/>
      <w:r w:rsidR="00F865F8" w:rsidRPr="00722C5B">
        <w:rPr>
          <w:rFonts w:eastAsia="Arial Unicode MS"/>
          <w:color w:val="000000" w:themeColor="text1"/>
          <w:lang w:val="en-US"/>
        </w:rPr>
        <w:t xml:space="preserve"> O</w:t>
      </w:r>
      <w:r w:rsidR="00F865F8" w:rsidRPr="00722C5B">
        <w:rPr>
          <w:rFonts w:eastAsia="Arial Unicode MS"/>
          <w:color w:val="000000" w:themeColor="text1"/>
          <w:vertAlign w:val="subscript"/>
          <w:lang w:val="en-US"/>
        </w:rPr>
        <w:t>2</w:t>
      </w:r>
      <w:r w:rsidR="00F865F8" w:rsidRPr="00722C5B">
        <w:rPr>
          <w:rFonts w:eastAsia="Arial Unicode MS"/>
          <w:color w:val="000000" w:themeColor="text1"/>
          <w:lang w:val="en-US"/>
        </w:rPr>
        <w:t xml:space="preserve">/kg oil) </w:t>
      </w:r>
      <w:r w:rsidR="006846BA" w:rsidRPr="00722C5B">
        <w:rPr>
          <w:rFonts w:eastAsia="Arial Unicode MS"/>
          <w:color w:val="000000" w:themeColor="text1"/>
          <w:lang w:val="en-US"/>
        </w:rPr>
        <w:t>until after 25 weeks storage at 35 °C. In comparison, the native SO show</w:t>
      </w:r>
      <w:r w:rsidR="00714C5C" w:rsidRPr="00722C5B">
        <w:rPr>
          <w:rFonts w:eastAsia="Arial Unicode MS"/>
          <w:color w:val="000000" w:themeColor="text1"/>
          <w:lang w:val="en-US"/>
        </w:rPr>
        <w:t xml:space="preserve">ed an increase in </w:t>
      </w:r>
      <w:proofErr w:type="spellStart"/>
      <w:r w:rsidR="00714C5C" w:rsidRPr="00722C5B">
        <w:rPr>
          <w:rFonts w:eastAsia="Arial Unicode MS"/>
          <w:color w:val="000000" w:themeColor="text1"/>
          <w:lang w:val="en-US"/>
        </w:rPr>
        <w:t>hydroperoxide</w:t>
      </w:r>
      <w:proofErr w:type="spellEnd"/>
      <w:r w:rsidR="00714C5C" w:rsidRPr="00722C5B">
        <w:rPr>
          <w:rFonts w:eastAsia="Arial Unicode MS"/>
          <w:color w:val="000000" w:themeColor="text1"/>
          <w:lang w:val="en-US"/>
        </w:rPr>
        <w:t xml:space="preserve"> formation</w:t>
      </w:r>
      <w:r w:rsidR="006846BA" w:rsidRPr="00722C5B">
        <w:rPr>
          <w:rFonts w:eastAsia="Arial Unicode MS"/>
          <w:color w:val="000000" w:themeColor="text1"/>
          <w:lang w:val="en-US"/>
        </w:rPr>
        <w:t xml:space="preserve"> just after 5 weeks of the storage study</w:t>
      </w:r>
      <w:r w:rsidR="00714C5C" w:rsidRPr="00722C5B">
        <w:rPr>
          <w:rFonts w:eastAsia="Arial Unicode MS"/>
          <w:color w:val="000000" w:themeColor="text1"/>
          <w:lang w:val="en-US"/>
        </w:rPr>
        <w:t xml:space="preserve"> and finished with a level of 38.8 </w:t>
      </w:r>
      <w:proofErr w:type="spellStart"/>
      <w:r w:rsidR="00714C5C" w:rsidRPr="00722C5B">
        <w:rPr>
          <w:rFonts w:eastAsia="Arial Unicode MS"/>
          <w:color w:val="000000" w:themeColor="text1"/>
          <w:lang w:val="en-US"/>
        </w:rPr>
        <w:t>meq</w:t>
      </w:r>
      <w:proofErr w:type="spellEnd"/>
      <w:r w:rsidR="00714C5C" w:rsidRPr="00722C5B">
        <w:rPr>
          <w:rFonts w:eastAsia="Arial Unicode MS"/>
          <w:color w:val="000000" w:themeColor="text1"/>
          <w:lang w:val="en-US"/>
        </w:rPr>
        <w:t xml:space="preserve"> O</w:t>
      </w:r>
      <w:r w:rsidR="00714C5C" w:rsidRPr="00722C5B">
        <w:rPr>
          <w:rFonts w:eastAsia="Arial Unicode MS"/>
          <w:color w:val="000000" w:themeColor="text1"/>
          <w:vertAlign w:val="subscript"/>
          <w:lang w:val="en-US"/>
        </w:rPr>
        <w:t>2</w:t>
      </w:r>
      <w:r w:rsidR="00714C5C" w:rsidRPr="00722C5B">
        <w:rPr>
          <w:rFonts w:eastAsia="Arial Unicode MS"/>
          <w:color w:val="000000" w:themeColor="text1"/>
          <w:lang w:val="en-US"/>
        </w:rPr>
        <w:t>/kg oil at the final measurement</w:t>
      </w:r>
      <w:r w:rsidR="006846BA" w:rsidRPr="00722C5B">
        <w:rPr>
          <w:rFonts w:eastAsia="Arial Unicode MS"/>
          <w:color w:val="000000" w:themeColor="text1"/>
          <w:lang w:val="en-US"/>
        </w:rPr>
        <w:t>.</w:t>
      </w:r>
      <w:r w:rsidR="00F865F8" w:rsidRPr="00722C5B">
        <w:rPr>
          <w:rFonts w:eastAsia="Arial Unicode MS"/>
          <w:color w:val="000000" w:themeColor="text1"/>
          <w:lang w:val="en-US"/>
        </w:rPr>
        <w:t xml:space="preserve"> As </w:t>
      </w:r>
      <w:proofErr w:type="spellStart"/>
      <w:r w:rsidR="00F865F8" w:rsidRPr="00722C5B">
        <w:rPr>
          <w:rFonts w:eastAsia="Arial Unicode MS"/>
          <w:color w:val="000000" w:themeColor="text1"/>
          <w:lang w:val="en-US"/>
        </w:rPr>
        <w:t>hydroperoxides</w:t>
      </w:r>
      <w:proofErr w:type="spellEnd"/>
      <w:r w:rsidR="00F865F8" w:rsidRPr="00722C5B">
        <w:rPr>
          <w:rFonts w:eastAsia="Arial Unicode MS"/>
          <w:color w:val="000000" w:themeColor="text1"/>
          <w:lang w:val="en-US"/>
        </w:rPr>
        <w:t xml:space="preserve"> are markers of early oxidation progress, these results further demonstrate the instability of native SO, in comparison oils with significantly lower polyunsaturated fatty acids contents like HOSFO</w:t>
      </w:r>
      <w:r w:rsidR="00F00FFF">
        <w:rPr>
          <w:rFonts w:eastAsia="Arial Unicode MS"/>
          <w:color w:val="000000" w:themeColor="text1"/>
          <w:lang w:val="en-US"/>
        </w:rPr>
        <w:t xml:space="preserve"> </w:t>
      </w:r>
      <w:r w:rsidR="00F00FFF" w:rsidRPr="00D83906">
        <w:rPr>
          <w:rFonts w:eastAsia="Arial Unicode MS"/>
          <w:i/>
          <w:color w:val="000000" w:themeColor="text1"/>
          <w:lang w:val="en-US"/>
        </w:rPr>
        <w:t>(p &lt; 0.05)</w:t>
      </w:r>
      <w:r w:rsidR="00F865F8" w:rsidRPr="00722C5B">
        <w:rPr>
          <w:rFonts w:eastAsia="Arial Unicode MS"/>
          <w:color w:val="000000" w:themeColor="text1"/>
          <w:lang w:val="en-US"/>
        </w:rPr>
        <w:t>.</w:t>
      </w:r>
      <w:r w:rsidR="0071411D" w:rsidRPr="00722C5B">
        <w:rPr>
          <w:rFonts w:eastAsia="Arial Unicode MS"/>
          <w:color w:val="000000" w:themeColor="text1"/>
          <w:lang w:val="en-US"/>
        </w:rPr>
        <w:t xml:space="preserve"> </w:t>
      </w:r>
      <w:r w:rsidR="00256BE0" w:rsidRPr="00722C5B">
        <w:rPr>
          <w:rFonts w:eastAsia="Arial Unicode MS"/>
          <w:color w:val="000000" w:themeColor="text1"/>
          <w:lang w:val="en-US"/>
        </w:rPr>
        <w:t>Martin-</w:t>
      </w:r>
      <w:proofErr w:type="spellStart"/>
      <w:r w:rsidR="00256BE0" w:rsidRPr="00722C5B">
        <w:rPr>
          <w:rFonts w:eastAsia="Arial Unicode MS"/>
          <w:color w:val="000000" w:themeColor="text1"/>
          <w:lang w:val="en-US"/>
        </w:rPr>
        <w:t>Polvillo</w:t>
      </w:r>
      <w:proofErr w:type="spellEnd"/>
      <w:r w:rsidR="00256BE0" w:rsidRPr="00722C5B">
        <w:rPr>
          <w:rFonts w:eastAsia="Arial Unicode MS"/>
          <w:color w:val="000000" w:themeColor="text1"/>
          <w:lang w:val="en-US"/>
        </w:rPr>
        <w:t xml:space="preserve"> </w:t>
      </w:r>
      <w:r w:rsidR="00256BE0" w:rsidRPr="00722C5B">
        <w:rPr>
          <w:rFonts w:eastAsia="Arial Unicode MS"/>
          <w:i/>
          <w:color w:val="000000" w:themeColor="text1"/>
          <w:lang w:val="en-US"/>
        </w:rPr>
        <w:t>et al.</w:t>
      </w:r>
      <w:r w:rsidR="00256BE0" w:rsidRPr="00722C5B">
        <w:rPr>
          <w:rFonts w:eastAsia="Arial Unicode MS"/>
          <w:color w:val="000000" w:themeColor="text1"/>
          <w:lang w:val="en-US"/>
        </w:rPr>
        <w:t xml:space="preserve"> (2004) showed that in the initial stages of oxidation, oxidized triglyceride monomers are the most predominant compounds and their presence is well correlated with an increase in </w:t>
      </w:r>
      <w:proofErr w:type="spellStart"/>
      <w:r w:rsidR="00256BE0" w:rsidRPr="00722C5B">
        <w:rPr>
          <w:rFonts w:eastAsia="Arial Unicode MS"/>
          <w:color w:val="000000" w:themeColor="text1"/>
          <w:lang w:val="en-US"/>
        </w:rPr>
        <w:t>hydroperoxide</w:t>
      </w:r>
      <w:proofErr w:type="spellEnd"/>
      <w:r w:rsidR="00256BE0" w:rsidRPr="00722C5B">
        <w:rPr>
          <w:rFonts w:eastAsia="Arial Unicode MS"/>
          <w:color w:val="000000" w:themeColor="text1"/>
          <w:lang w:val="en-US"/>
        </w:rPr>
        <w:t xml:space="preserve"> levels as well as a decrease in antioxidant (</w:t>
      </w:r>
      <w:proofErr w:type="spellStart"/>
      <w:r w:rsidR="00256BE0" w:rsidRPr="00722C5B">
        <w:rPr>
          <w:rFonts w:eastAsia="Arial Unicode MS"/>
          <w:color w:val="000000" w:themeColor="text1"/>
          <w:lang w:val="en-US"/>
        </w:rPr>
        <w:t>tocopherol</w:t>
      </w:r>
      <w:proofErr w:type="spellEnd"/>
      <w:r w:rsidR="00256BE0" w:rsidRPr="00722C5B">
        <w:rPr>
          <w:rFonts w:eastAsia="Arial Unicode MS"/>
          <w:color w:val="000000" w:themeColor="text1"/>
          <w:lang w:val="en-US"/>
        </w:rPr>
        <w:t xml:space="preserve">) concentrations. </w:t>
      </w:r>
      <w:r w:rsidR="0071411D" w:rsidRPr="00722C5B">
        <w:rPr>
          <w:rFonts w:eastAsia="Arial Unicode MS"/>
          <w:color w:val="000000" w:themeColor="text1"/>
          <w:lang w:val="en-US"/>
        </w:rPr>
        <w:t xml:space="preserve">Further, </w:t>
      </w:r>
      <w:proofErr w:type="spellStart"/>
      <w:r w:rsidR="0071411D" w:rsidRPr="00722C5B">
        <w:rPr>
          <w:rFonts w:eastAsia="Arial Unicode MS"/>
          <w:color w:val="000000" w:themeColor="text1"/>
          <w:lang w:val="en-US"/>
        </w:rPr>
        <w:t>hydroperoxides</w:t>
      </w:r>
      <w:proofErr w:type="spellEnd"/>
      <w:r w:rsidR="0071411D" w:rsidRPr="00722C5B">
        <w:rPr>
          <w:rFonts w:eastAsia="Arial Unicode MS"/>
          <w:color w:val="000000" w:themeColor="text1"/>
          <w:lang w:val="en-US"/>
        </w:rPr>
        <w:t xml:space="preserve"> are considered to be a main </w:t>
      </w:r>
      <w:proofErr w:type="spellStart"/>
      <w:r w:rsidR="0071411D" w:rsidRPr="00722C5B">
        <w:rPr>
          <w:rFonts w:eastAsia="Arial Unicode MS"/>
          <w:color w:val="000000" w:themeColor="text1"/>
          <w:lang w:val="en-US"/>
        </w:rPr>
        <w:t>contributer</w:t>
      </w:r>
      <w:proofErr w:type="spellEnd"/>
      <w:r w:rsidR="0071411D" w:rsidRPr="00722C5B">
        <w:rPr>
          <w:rFonts w:eastAsia="Arial Unicode MS"/>
          <w:color w:val="000000" w:themeColor="text1"/>
          <w:lang w:val="en-US"/>
        </w:rPr>
        <w:t xml:space="preserve"> to the propagation of autoxidation in oils acting as a </w:t>
      </w:r>
      <w:proofErr w:type="spellStart"/>
      <w:r w:rsidR="0071411D" w:rsidRPr="00722C5B">
        <w:rPr>
          <w:rFonts w:eastAsia="Arial Unicode MS"/>
          <w:color w:val="000000" w:themeColor="text1"/>
          <w:lang w:val="en-US"/>
        </w:rPr>
        <w:t>proxidant</w:t>
      </w:r>
      <w:proofErr w:type="spellEnd"/>
      <w:r w:rsidR="0071411D" w:rsidRPr="00722C5B">
        <w:rPr>
          <w:rFonts w:eastAsia="Arial Unicode MS"/>
          <w:color w:val="000000" w:themeColor="text1"/>
          <w:lang w:val="en-US"/>
        </w:rPr>
        <w:t xml:space="preserve"> compound once formed (Kim </w:t>
      </w:r>
      <w:r w:rsidR="0071411D" w:rsidRPr="00722C5B">
        <w:rPr>
          <w:rFonts w:eastAsia="Arial Unicode MS"/>
          <w:i/>
          <w:color w:val="000000" w:themeColor="text1"/>
          <w:lang w:val="en-US"/>
        </w:rPr>
        <w:t>et al.</w:t>
      </w:r>
      <w:r w:rsidR="0071411D" w:rsidRPr="00722C5B">
        <w:rPr>
          <w:rFonts w:eastAsia="Arial Unicode MS"/>
          <w:color w:val="000000" w:themeColor="text1"/>
          <w:lang w:val="en-US"/>
        </w:rPr>
        <w:t xml:space="preserve">, 2007). This helps to explain the exponential increase in PV exhibited by the SOs in </w:t>
      </w:r>
      <w:r w:rsidR="0071411D" w:rsidRPr="00722C5B">
        <w:rPr>
          <w:rFonts w:eastAsia="Arial Unicode MS"/>
          <w:b/>
          <w:color w:val="000000" w:themeColor="text1"/>
          <w:lang w:val="en-US"/>
        </w:rPr>
        <w:t xml:space="preserve">Figure </w:t>
      </w:r>
      <w:r w:rsidR="00EB2E6C">
        <w:rPr>
          <w:rFonts w:eastAsia="Arial Unicode MS"/>
          <w:b/>
          <w:color w:val="000000" w:themeColor="text1"/>
          <w:lang w:val="en-US"/>
        </w:rPr>
        <w:t>1</w:t>
      </w:r>
      <w:r w:rsidR="00EB2E6C" w:rsidRPr="00722C5B">
        <w:rPr>
          <w:rFonts w:eastAsia="Arial Unicode MS"/>
          <w:b/>
          <w:color w:val="000000" w:themeColor="text1"/>
          <w:lang w:val="en-US"/>
        </w:rPr>
        <w:t xml:space="preserve"> </w:t>
      </w:r>
      <w:r w:rsidR="0071411D" w:rsidRPr="00722C5B">
        <w:rPr>
          <w:rFonts w:eastAsia="Arial Unicode MS"/>
          <w:color w:val="000000" w:themeColor="text1"/>
          <w:lang w:val="en-US"/>
        </w:rPr>
        <w:t>after a lag period during which the oils remain relatively stable to oxidation.</w:t>
      </w:r>
    </w:p>
    <w:p w:rsidR="0043678E" w:rsidRPr="00722C5B" w:rsidRDefault="003C2B64" w:rsidP="005C4A26">
      <w:pPr>
        <w:spacing w:line="480" w:lineRule="auto"/>
        <w:ind w:firstLine="284"/>
        <w:jc w:val="both"/>
        <w:rPr>
          <w:rFonts w:eastAsia="Arial Unicode MS" w:cs="Arial"/>
          <w:color w:val="000000"/>
          <w:lang w:val="en-US"/>
        </w:rPr>
      </w:pPr>
      <w:r w:rsidRPr="00722C5B">
        <w:rPr>
          <w:rFonts w:eastAsia="Arial Unicode MS"/>
          <w:color w:val="000000" w:themeColor="text1"/>
          <w:lang w:val="en-US"/>
        </w:rPr>
        <w:lastRenderedPageBreak/>
        <w:t>All the antioxidant mixtures tested (</w:t>
      </w:r>
      <w:r w:rsidRPr="00722C5B">
        <w:rPr>
          <w:rFonts w:eastAsia="Arial Unicode MS"/>
          <w:i/>
          <w:color w:val="000000" w:themeColor="text1"/>
          <w:lang w:val="en-US"/>
        </w:rPr>
        <w:t xml:space="preserve">i.e. </w:t>
      </w:r>
      <w:r w:rsidRPr="00722C5B">
        <w:rPr>
          <w:rFonts w:eastAsia="Arial Unicode MS"/>
          <w:color w:val="000000" w:themeColor="text1"/>
          <w:lang w:val="en-US"/>
        </w:rPr>
        <w:t>that</w:t>
      </w:r>
      <w:r w:rsidR="00057271" w:rsidRPr="00722C5B">
        <w:rPr>
          <w:rFonts w:eastAsia="Arial Unicode MS"/>
          <w:color w:val="000000" w:themeColor="text1"/>
          <w:lang w:val="en-US"/>
        </w:rPr>
        <w:t xml:space="preserve"> performed well in</w:t>
      </w:r>
      <w:r w:rsidR="003601A3" w:rsidRPr="00722C5B">
        <w:rPr>
          <w:rFonts w:eastAsia="Arial Unicode MS"/>
          <w:color w:val="000000" w:themeColor="text1"/>
          <w:lang w:val="en-US"/>
        </w:rPr>
        <w:t xml:space="preserve"> stabilizing the SO within</w:t>
      </w:r>
      <w:r w:rsidR="00057271" w:rsidRPr="00722C5B">
        <w:rPr>
          <w:rFonts w:eastAsia="Arial Unicode MS"/>
          <w:color w:val="000000" w:themeColor="text1"/>
          <w:lang w:val="en-US"/>
        </w:rPr>
        <w:t xml:space="preserve"> the OSI test, see </w:t>
      </w:r>
      <w:r w:rsidRPr="00722C5B">
        <w:rPr>
          <w:rFonts w:eastAsia="Arial Unicode MS"/>
          <w:color w:val="000000" w:themeColor="text1"/>
          <w:lang w:val="en-US"/>
        </w:rPr>
        <w:t>above), resulted in a reduction of the ons</w:t>
      </w:r>
      <w:r w:rsidR="003601A3" w:rsidRPr="00722C5B">
        <w:rPr>
          <w:rFonts w:eastAsia="Arial Unicode MS"/>
          <w:color w:val="000000" w:themeColor="text1"/>
          <w:lang w:val="en-US"/>
        </w:rPr>
        <w:t>et</w:t>
      </w:r>
      <w:r w:rsidRPr="00722C5B">
        <w:rPr>
          <w:rFonts w:eastAsia="Arial Unicode MS"/>
          <w:color w:val="000000" w:themeColor="text1"/>
          <w:lang w:val="en-US"/>
        </w:rPr>
        <w:t xml:space="preserve"> of </w:t>
      </w:r>
      <w:proofErr w:type="spellStart"/>
      <w:r w:rsidRPr="00722C5B">
        <w:rPr>
          <w:rFonts w:eastAsia="Arial Unicode MS"/>
          <w:color w:val="000000" w:themeColor="text1"/>
          <w:lang w:val="en-US"/>
        </w:rPr>
        <w:t>hydroperoxide</w:t>
      </w:r>
      <w:proofErr w:type="spellEnd"/>
      <w:r w:rsidRPr="00722C5B">
        <w:rPr>
          <w:rFonts w:eastAsia="Arial Unicode MS"/>
          <w:color w:val="000000" w:themeColor="text1"/>
          <w:lang w:val="en-US"/>
        </w:rPr>
        <w:t xml:space="preserve"> formation in the challenged SO. </w:t>
      </w:r>
      <w:r w:rsidR="003601A3" w:rsidRPr="00722C5B">
        <w:rPr>
          <w:rFonts w:eastAsia="Arial Unicode MS"/>
          <w:color w:val="000000" w:themeColor="text1"/>
          <w:lang w:val="en-US"/>
        </w:rPr>
        <w:t>The antioxidants stabilized the SO according to the following relationship:</w:t>
      </w:r>
      <w:r w:rsidR="00EC4013" w:rsidRPr="00722C5B">
        <w:rPr>
          <w:rFonts w:eastAsia="Arial Unicode MS"/>
          <w:color w:val="000000" w:themeColor="text1"/>
          <w:lang w:val="en-US"/>
        </w:rPr>
        <w:t xml:space="preserve"> </w:t>
      </w:r>
      <w:r w:rsidR="003601A3" w:rsidRPr="00722C5B">
        <w:rPr>
          <w:rFonts w:eastAsia="Arial Unicode MS"/>
          <w:color w:val="000000" w:themeColor="text1"/>
          <w:lang w:val="en-US"/>
        </w:rPr>
        <w:t xml:space="preserve">300 ppm AP + 1000 ppm M-TOC </w:t>
      </w:r>
      <w:r w:rsidR="003601A3" w:rsidRPr="00722C5B">
        <w:rPr>
          <w:rFonts w:eastAsia="Arial Unicode MS"/>
          <w:b/>
          <w:color w:val="000000" w:themeColor="text1"/>
          <w:lang w:val="en-US"/>
        </w:rPr>
        <w:t>&gt;</w:t>
      </w:r>
      <w:r w:rsidR="003601A3" w:rsidRPr="00722C5B">
        <w:rPr>
          <w:rFonts w:eastAsia="Arial Unicode MS"/>
          <w:color w:val="000000" w:themeColor="text1"/>
          <w:lang w:val="en-US"/>
        </w:rPr>
        <w:t xml:space="preserve"> 300 ppm AP </w:t>
      </w:r>
      <w:r w:rsidR="00EC4013" w:rsidRPr="00722C5B">
        <w:rPr>
          <w:rFonts w:eastAsia="Arial Unicode MS"/>
          <w:b/>
          <w:color w:val="000000" w:themeColor="text1"/>
          <w:lang w:val="en-US"/>
        </w:rPr>
        <w:t>&gt;</w:t>
      </w:r>
      <w:r w:rsidR="003601A3" w:rsidRPr="00722C5B">
        <w:rPr>
          <w:rFonts w:eastAsia="Arial Unicode MS"/>
          <w:color w:val="000000" w:themeColor="text1"/>
          <w:lang w:val="en-US"/>
        </w:rPr>
        <w:t xml:space="preserve"> 20 ppm CA + 300 ppm AP + 1000 ppm M-TOC </w:t>
      </w:r>
      <w:r w:rsidR="00EC4013" w:rsidRPr="00722C5B">
        <w:rPr>
          <w:rFonts w:eastAsia="Arial Unicode MS"/>
          <w:b/>
          <w:color w:val="000000" w:themeColor="text1"/>
          <w:lang w:val="en-US"/>
        </w:rPr>
        <w:t>&gt;</w:t>
      </w:r>
      <w:r w:rsidR="003601A3" w:rsidRPr="00722C5B">
        <w:rPr>
          <w:rFonts w:eastAsia="Arial Unicode MS"/>
          <w:color w:val="000000" w:themeColor="text1"/>
          <w:lang w:val="en-US"/>
        </w:rPr>
        <w:t xml:space="preserve"> 125 ppm BHA + 75 ppm BHT. These results are roughly in accordance with </w:t>
      </w:r>
      <w:r w:rsidR="00256BE0" w:rsidRPr="00722C5B">
        <w:rPr>
          <w:rFonts w:eastAsia="Arial Unicode MS"/>
          <w:color w:val="000000" w:themeColor="text1"/>
          <w:lang w:val="en-US"/>
        </w:rPr>
        <w:t xml:space="preserve">the relationships present in the OSI data shown in </w:t>
      </w:r>
      <w:r w:rsidR="00EB2E6C">
        <w:rPr>
          <w:rFonts w:eastAsia="Arial Unicode MS"/>
          <w:b/>
          <w:color w:val="000000" w:themeColor="text1"/>
          <w:lang w:val="en-US"/>
        </w:rPr>
        <w:t>Table</w:t>
      </w:r>
      <w:r w:rsidR="00EB2E6C" w:rsidRPr="00722C5B">
        <w:rPr>
          <w:rFonts w:eastAsia="Arial Unicode MS"/>
          <w:b/>
          <w:color w:val="000000" w:themeColor="text1"/>
          <w:lang w:val="en-US"/>
        </w:rPr>
        <w:t xml:space="preserve"> </w:t>
      </w:r>
      <w:r w:rsidR="00256BE0" w:rsidRPr="00722C5B">
        <w:rPr>
          <w:rFonts w:eastAsia="Arial Unicode MS"/>
          <w:b/>
          <w:color w:val="000000" w:themeColor="text1"/>
          <w:lang w:val="en-US"/>
        </w:rPr>
        <w:t>1</w:t>
      </w:r>
      <w:r w:rsidR="00256BE0" w:rsidRPr="00722C5B">
        <w:rPr>
          <w:rFonts w:eastAsia="Arial Unicode MS"/>
          <w:color w:val="000000" w:themeColor="text1"/>
          <w:lang w:val="en-US"/>
        </w:rPr>
        <w:t>. It should be noted, however, that unlike the OSI data, the com</w:t>
      </w:r>
      <w:r w:rsidR="00B16EB4" w:rsidRPr="00722C5B">
        <w:rPr>
          <w:rFonts w:eastAsia="Arial Unicode MS"/>
          <w:color w:val="000000" w:themeColor="text1"/>
          <w:lang w:val="en-US"/>
        </w:rPr>
        <w:t xml:space="preserve">bination of </w:t>
      </w:r>
      <w:r w:rsidR="00256BE0" w:rsidRPr="00722C5B">
        <w:rPr>
          <w:rFonts w:eastAsia="Arial Unicode MS"/>
          <w:color w:val="000000" w:themeColor="text1"/>
          <w:lang w:val="en-US"/>
        </w:rPr>
        <w:t xml:space="preserve">300 ppm </w:t>
      </w:r>
      <w:r w:rsidR="00714C5C" w:rsidRPr="00722C5B">
        <w:rPr>
          <w:rFonts w:eastAsia="Arial Unicode MS"/>
          <w:color w:val="000000" w:themeColor="text1"/>
          <w:lang w:val="en-US"/>
        </w:rPr>
        <w:t>AP +</w:t>
      </w:r>
      <w:r w:rsidR="00B16EB4" w:rsidRPr="00722C5B">
        <w:rPr>
          <w:rFonts w:eastAsia="Arial Unicode MS"/>
          <w:color w:val="000000" w:themeColor="text1"/>
          <w:lang w:val="en-US"/>
        </w:rPr>
        <w:t xml:space="preserve"> </w:t>
      </w:r>
      <w:r w:rsidR="00256BE0" w:rsidRPr="00722C5B">
        <w:rPr>
          <w:rFonts w:eastAsia="Arial Unicode MS"/>
          <w:color w:val="000000" w:themeColor="text1"/>
          <w:lang w:val="en-US"/>
        </w:rPr>
        <w:t xml:space="preserve">1000 ppm </w:t>
      </w:r>
      <w:r w:rsidR="00B16EB4" w:rsidRPr="00722C5B">
        <w:rPr>
          <w:rFonts w:eastAsia="Arial Unicode MS"/>
          <w:color w:val="000000" w:themeColor="text1"/>
          <w:lang w:val="en-US"/>
        </w:rPr>
        <w:t xml:space="preserve">M-TOC </w:t>
      </w:r>
      <w:r w:rsidR="00256BE0" w:rsidRPr="00722C5B">
        <w:rPr>
          <w:rFonts w:eastAsia="Arial Unicode MS"/>
          <w:color w:val="000000" w:themeColor="text1"/>
          <w:lang w:val="en-US"/>
        </w:rPr>
        <w:t>far outperformed the 300 ppm AP alone at stabilizing the SO</w:t>
      </w:r>
      <w:r w:rsidR="00714C5C" w:rsidRPr="00722C5B">
        <w:rPr>
          <w:rFonts w:eastAsia="Arial Unicode MS"/>
          <w:color w:val="000000" w:themeColor="text1"/>
          <w:lang w:val="en-US"/>
        </w:rPr>
        <w:t xml:space="preserve"> against </w:t>
      </w:r>
      <w:proofErr w:type="spellStart"/>
      <w:r w:rsidR="00714C5C" w:rsidRPr="00722C5B">
        <w:rPr>
          <w:rFonts w:eastAsia="Arial Unicode MS"/>
          <w:color w:val="000000" w:themeColor="text1"/>
          <w:lang w:val="en-US"/>
        </w:rPr>
        <w:t>hydroperoxide</w:t>
      </w:r>
      <w:proofErr w:type="spellEnd"/>
      <w:r w:rsidR="00714C5C" w:rsidRPr="00722C5B">
        <w:rPr>
          <w:rFonts w:eastAsia="Arial Unicode MS"/>
          <w:color w:val="000000" w:themeColor="text1"/>
          <w:lang w:val="en-US"/>
        </w:rPr>
        <w:t xml:space="preserve"> onset</w:t>
      </w:r>
      <w:r w:rsidR="00256BE0" w:rsidRPr="00722C5B">
        <w:rPr>
          <w:rFonts w:eastAsia="Arial Unicode MS"/>
          <w:color w:val="000000" w:themeColor="text1"/>
          <w:lang w:val="en-US"/>
        </w:rPr>
        <w:t xml:space="preserve">. The </w:t>
      </w:r>
      <w:r w:rsidR="00714C5C" w:rsidRPr="00722C5B">
        <w:rPr>
          <w:rFonts w:eastAsia="Arial Unicode MS"/>
          <w:color w:val="000000" w:themeColor="text1"/>
          <w:lang w:val="en-US"/>
        </w:rPr>
        <w:t xml:space="preserve">final </w:t>
      </w:r>
      <w:proofErr w:type="spellStart"/>
      <w:r w:rsidR="00714C5C" w:rsidRPr="00722C5B">
        <w:rPr>
          <w:rFonts w:eastAsia="Arial Unicode MS"/>
          <w:color w:val="000000" w:themeColor="text1"/>
          <w:lang w:val="en-US"/>
        </w:rPr>
        <w:t>hydroperoxide</w:t>
      </w:r>
      <w:proofErr w:type="spellEnd"/>
      <w:r w:rsidR="00714C5C" w:rsidRPr="00722C5B">
        <w:rPr>
          <w:rFonts w:eastAsia="Arial Unicode MS"/>
          <w:color w:val="000000" w:themeColor="text1"/>
          <w:lang w:val="en-US"/>
        </w:rPr>
        <w:t xml:space="preserve"> levels for these two samples were </w:t>
      </w:r>
      <w:r w:rsidR="00256BE0" w:rsidRPr="00722C5B">
        <w:rPr>
          <w:rFonts w:eastAsia="Arial Unicode MS"/>
          <w:color w:val="000000" w:themeColor="text1"/>
          <w:lang w:val="en-US"/>
        </w:rPr>
        <w:t xml:space="preserve">21.7 </w:t>
      </w:r>
      <w:r w:rsidR="00714C5C" w:rsidRPr="00722C5B">
        <w:rPr>
          <w:rFonts w:eastAsia="Arial Unicode MS"/>
          <w:color w:val="000000" w:themeColor="text1"/>
          <w:lang w:val="en-US"/>
        </w:rPr>
        <w:t xml:space="preserve">and </w:t>
      </w:r>
      <w:r w:rsidR="00256BE0" w:rsidRPr="00722C5B">
        <w:rPr>
          <w:rFonts w:eastAsia="Arial Unicode MS"/>
          <w:color w:val="000000" w:themeColor="text1"/>
          <w:lang w:val="en-US"/>
        </w:rPr>
        <w:t>33.3</w:t>
      </w:r>
      <w:r w:rsidR="00714C5C" w:rsidRPr="00722C5B">
        <w:rPr>
          <w:rFonts w:eastAsia="Arial Unicode MS"/>
          <w:color w:val="000000" w:themeColor="text1"/>
          <w:lang w:val="en-US"/>
        </w:rPr>
        <w:t> </w:t>
      </w:r>
      <w:proofErr w:type="spellStart"/>
      <w:r w:rsidR="00714C5C" w:rsidRPr="00722C5B">
        <w:rPr>
          <w:rFonts w:eastAsia="Arial Unicode MS"/>
          <w:color w:val="000000" w:themeColor="text1"/>
          <w:lang w:val="en-US"/>
        </w:rPr>
        <w:t>meq</w:t>
      </w:r>
      <w:proofErr w:type="spellEnd"/>
      <w:r w:rsidR="00714C5C" w:rsidRPr="00722C5B">
        <w:rPr>
          <w:rFonts w:eastAsia="Arial Unicode MS"/>
          <w:color w:val="000000" w:themeColor="text1"/>
          <w:lang w:val="en-US"/>
        </w:rPr>
        <w:t xml:space="preserve"> O</w:t>
      </w:r>
      <w:r w:rsidR="00714C5C" w:rsidRPr="00722C5B">
        <w:rPr>
          <w:rFonts w:eastAsia="Arial Unicode MS"/>
          <w:color w:val="000000" w:themeColor="text1"/>
          <w:vertAlign w:val="subscript"/>
          <w:lang w:val="en-US"/>
        </w:rPr>
        <w:t>2</w:t>
      </w:r>
      <w:r w:rsidR="00714C5C" w:rsidRPr="00722C5B">
        <w:rPr>
          <w:rFonts w:eastAsia="Arial Unicode MS"/>
          <w:color w:val="000000" w:themeColor="text1"/>
          <w:lang w:val="en-US"/>
        </w:rPr>
        <w:t>/kg oil, respectively, at the last meas</w:t>
      </w:r>
      <w:r w:rsidR="00256BE0" w:rsidRPr="00722C5B">
        <w:rPr>
          <w:rFonts w:eastAsia="Arial Unicode MS"/>
          <w:color w:val="000000" w:themeColor="text1"/>
          <w:lang w:val="en-US"/>
        </w:rPr>
        <w:t>urement in the storage study</w:t>
      </w:r>
      <w:r w:rsidR="00084FB2" w:rsidRPr="00722C5B">
        <w:rPr>
          <w:rFonts w:eastAsia="Arial Unicode MS"/>
          <w:color w:val="000000" w:themeColor="text1"/>
          <w:lang w:val="en-US"/>
        </w:rPr>
        <w:t xml:space="preserve">. </w:t>
      </w:r>
      <w:r w:rsidR="00714C5C" w:rsidRPr="00722C5B">
        <w:rPr>
          <w:rFonts w:eastAsia="Arial Unicode MS"/>
          <w:color w:val="000000" w:themeColor="text1"/>
          <w:lang w:val="en-US"/>
        </w:rPr>
        <w:t>These results confirm a potential s</w:t>
      </w:r>
      <w:r w:rsidR="00084FB2" w:rsidRPr="00722C5B">
        <w:rPr>
          <w:rFonts w:eastAsia="Arial Unicode MS"/>
          <w:color w:val="000000" w:themeColor="text1"/>
          <w:lang w:val="en-US"/>
        </w:rPr>
        <w:t>ynergism</w:t>
      </w:r>
      <w:r w:rsidR="00827EE8" w:rsidRPr="00722C5B">
        <w:rPr>
          <w:rFonts w:eastAsia="Arial Unicode MS"/>
          <w:color w:val="000000" w:themeColor="text1"/>
          <w:lang w:val="en-US"/>
        </w:rPr>
        <w:t xml:space="preserve"> </w:t>
      </w:r>
      <w:r w:rsidR="00714C5C" w:rsidRPr="00722C5B">
        <w:rPr>
          <w:rFonts w:eastAsia="Arial Unicode MS"/>
          <w:color w:val="000000" w:themeColor="text1"/>
          <w:lang w:val="en-US"/>
        </w:rPr>
        <w:t xml:space="preserve">between AP and M-TOC in stabilizing unsaturated lipids in SO, which was </w:t>
      </w:r>
      <w:r w:rsidR="00827EE8" w:rsidRPr="00722C5B">
        <w:rPr>
          <w:rFonts w:eastAsia="Arial Unicode MS"/>
          <w:color w:val="000000" w:themeColor="text1"/>
          <w:lang w:val="en-US"/>
        </w:rPr>
        <w:t xml:space="preserve">not obvious </w:t>
      </w:r>
      <w:r w:rsidR="00714C5C" w:rsidRPr="00722C5B">
        <w:rPr>
          <w:rFonts w:eastAsia="Arial Unicode MS"/>
          <w:color w:val="000000" w:themeColor="text1"/>
          <w:lang w:val="en-US"/>
        </w:rPr>
        <w:t xml:space="preserve">in the </w:t>
      </w:r>
      <w:r w:rsidR="00827EE8" w:rsidRPr="00722C5B">
        <w:rPr>
          <w:rFonts w:eastAsia="Arial Unicode MS"/>
          <w:color w:val="000000" w:themeColor="text1"/>
          <w:lang w:val="en-US"/>
        </w:rPr>
        <w:t xml:space="preserve">OSI </w:t>
      </w:r>
      <w:r w:rsidR="00714C5C" w:rsidRPr="00722C5B">
        <w:rPr>
          <w:rFonts w:eastAsia="Arial Unicode MS"/>
          <w:color w:val="000000" w:themeColor="text1"/>
          <w:lang w:val="en-US"/>
        </w:rPr>
        <w:t>data alone. Such synergisms are often widely ment</w:t>
      </w:r>
      <w:r w:rsidR="001D241F" w:rsidRPr="00722C5B">
        <w:rPr>
          <w:rFonts w:eastAsia="Arial Unicode MS"/>
          <w:color w:val="000000" w:themeColor="text1"/>
          <w:lang w:val="en-US"/>
        </w:rPr>
        <w:t>ioned in the literature (</w:t>
      </w:r>
      <w:proofErr w:type="spellStart"/>
      <w:r w:rsidR="001D241F" w:rsidRPr="00722C5B">
        <w:rPr>
          <w:rFonts w:eastAsia="Arial Unicode MS"/>
          <w:color w:val="000000" w:themeColor="text1"/>
          <w:lang w:val="en-US"/>
        </w:rPr>
        <w:t>W</w:t>
      </w:r>
      <w:r w:rsidR="00247F4F" w:rsidRPr="00722C5B">
        <w:rPr>
          <w:rFonts w:eastAsia="Arial Unicode MS"/>
          <w:color w:val="000000" w:themeColor="text1"/>
          <w:lang w:val="en-US"/>
        </w:rPr>
        <w:t>anasundara</w:t>
      </w:r>
      <w:proofErr w:type="spellEnd"/>
      <w:r w:rsidR="00247F4F" w:rsidRPr="00722C5B">
        <w:rPr>
          <w:rFonts w:eastAsia="Arial Unicode MS"/>
          <w:color w:val="000000" w:themeColor="text1"/>
          <w:lang w:val="en-US"/>
        </w:rPr>
        <w:t xml:space="preserve"> &amp;</w:t>
      </w:r>
      <w:r w:rsidR="00422750" w:rsidRPr="00722C5B">
        <w:rPr>
          <w:rFonts w:eastAsia="Arial Unicode MS"/>
          <w:color w:val="000000" w:themeColor="text1"/>
          <w:lang w:val="en-US"/>
        </w:rPr>
        <w:t xml:space="preserve"> </w:t>
      </w:r>
      <w:proofErr w:type="spellStart"/>
      <w:r w:rsidR="00422750" w:rsidRPr="00722C5B">
        <w:rPr>
          <w:rFonts w:eastAsia="Arial Unicode MS"/>
          <w:color w:val="000000" w:themeColor="text1"/>
          <w:lang w:val="en-US"/>
        </w:rPr>
        <w:t>Shahidi</w:t>
      </w:r>
      <w:proofErr w:type="spellEnd"/>
      <w:r w:rsidR="00422750" w:rsidRPr="00722C5B">
        <w:rPr>
          <w:rFonts w:eastAsia="Arial Unicode MS"/>
          <w:color w:val="000000" w:themeColor="text1"/>
          <w:lang w:val="en-US"/>
        </w:rPr>
        <w:t>, 2005)</w:t>
      </w:r>
      <w:r w:rsidR="001D241F" w:rsidRPr="00722C5B">
        <w:rPr>
          <w:rFonts w:eastAsia="Arial Unicode MS"/>
          <w:color w:val="000000" w:themeColor="text1"/>
          <w:lang w:val="en-US"/>
        </w:rPr>
        <w:t>, but as seen herein, only specific oxidation assays are useful to demonstrate such relationships in oils</w:t>
      </w:r>
      <w:r w:rsidR="00422750" w:rsidRPr="00722C5B">
        <w:rPr>
          <w:rFonts w:eastAsia="Arial Unicode MS"/>
          <w:color w:val="000000" w:themeColor="text1"/>
          <w:lang w:val="en-US"/>
        </w:rPr>
        <w:t>.</w:t>
      </w:r>
    </w:p>
    <w:p w:rsidR="009C320B" w:rsidRPr="00FA2B92" w:rsidRDefault="009C320B" w:rsidP="000358E7">
      <w:pPr>
        <w:tabs>
          <w:tab w:val="left" w:pos="1457"/>
        </w:tabs>
        <w:spacing w:line="480" w:lineRule="auto"/>
        <w:jc w:val="both"/>
        <w:rPr>
          <w:lang w:val="en-US"/>
        </w:rPr>
      </w:pPr>
    </w:p>
    <w:p w:rsidR="002F54BE" w:rsidRPr="00722C5B" w:rsidRDefault="002F54BE" w:rsidP="002F54BE">
      <w:pPr>
        <w:spacing w:line="480" w:lineRule="auto"/>
        <w:jc w:val="both"/>
        <w:rPr>
          <w:u w:val="single"/>
          <w:lang w:val="fr-CH" w:eastAsia="fr-CH"/>
        </w:rPr>
      </w:pPr>
      <w:proofErr w:type="spellStart"/>
      <w:r w:rsidRPr="00722C5B">
        <w:rPr>
          <w:u w:val="single"/>
          <w:lang w:val="fr-CH"/>
        </w:rPr>
        <w:t>Hexanal</w:t>
      </w:r>
      <w:proofErr w:type="spellEnd"/>
      <w:r w:rsidRPr="00722C5B">
        <w:rPr>
          <w:u w:val="single"/>
          <w:lang w:val="fr-CH"/>
        </w:rPr>
        <w:t xml:space="preserve"> quantification via SPME GC-MS</w:t>
      </w:r>
    </w:p>
    <w:p w:rsidR="00EC4013" w:rsidRPr="00722C5B" w:rsidRDefault="00810692" w:rsidP="00810692">
      <w:pPr>
        <w:autoSpaceDE w:val="0"/>
        <w:autoSpaceDN w:val="0"/>
        <w:adjustRightInd w:val="0"/>
        <w:spacing w:line="480" w:lineRule="auto"/>
        <w:jc w:val="both"/>
        <w:rPr>
          <w:rFonts w:eastAsia="Arial Unicode MS"/>
          <w:color w:val="000000" w:themeColor="text1"/>
          <w:lang w:val="en-US"/>
        </w:rPr>
      </w:pPr>
      <w:r w:rsidRPr="00722C5B">
        <w:rPr>
          <w:lang w:val="en-US"/>
        </w:rPr>
        <w:t xml:space="preserve">As mentioned previously, </w:t>
      </w:r>
      <w:proofErr w:type="spellStart"/>
      <w:r w:rsidRPr="00722C5B">
        <w:rPr>
          <w:lang w:val="en-US"/>
        </w:rPr>
        <w:t>hexanal</w:t>
      </w:r>
      <w:proofErr w:type="spellEnd"/>
      <w:r w:rsidRPr="00722C5B">
        <w:rPr>
          <w:lang w:val="en-US"/>
        </w:rPr>
        <w:t xml:space="preserve"> is a byproduct of the secondary oxidation of lipids in foods. More specifically, </w:t>
      </w:r>
      <w:proofErr w:type="spellStart"/>
      <w:r w:rsidRPr="00722C5B">
        <w:rPr>
          <w:lang w:val="en-US"/>
        </w:rPr>
        <w:t>h</w:t>
      </w:r>
      <w:r w:rsidR="002F54BE" w:rsidRPr="00722C5B">
        <w:rPr>
          <w:lang w:val="en-US"/>
        </w:rPr>
        <w:t>exanal</w:t>
      </w:r>
      <w:proofErr w:type="spellEnd"/>
      <w:r w:rsidR="002F54BE" w:rsidRPr="00722C5B">
        <w:rPr>
          <w:lang w:val="en-US"/>
        </w:rPr>
        <w:t xml:space="preserve"> has been established as a ‘marker’ compound for </w:t>
      </w:r>
      <w:r w:rsidRPr="00722C5B">
        <w:rPr>
          <w:lang w:val="en-US"/>
        </w:rPr>
        <w:t xml:space="preserve">the </w:t>
      </w:r>
      <w:r w:rsidR="002F54BE" w:rsidRPr="00722C5B">
        <w:rPr>
          <w:lang w:val="en-US"/>
        </w:rPr>
        <w:t xml:space="preserve">decomposition </w:t>
      </w:r>
      <w:r w:rsidRPr="00722C5B">
        <w:rPr>
          <w:lang w:val="en-US"/>
        </w:rPr>
        <w:t xml:space="preserve">of </w:t>
      </w:r>
      <w:r w:rsidR="00767857" w:rsidRPr="00722C5B">
        <w:rPr>
          <w:lang w:val="en-US"/>
        </w:rPr>
        <w:t>n-6</w:t>
      </w:r>
      <w:r w:rsidRPr="00722C5B">
        <w:rPr>
          <w:lang w:val="en-US"/>
        </w:rPr>
        <w:t xml:space="preserve"> (or </w:t>
      </w:r>
      <w:r w:rsidRPr="00722C5B">
        <w:rPr>
          <w:rFonts w:ascii="Symbol" w:hAnsi="Symbol"/>
          <w:lang w:val="en-US"/>
        </w:rPr>
        <w:t></w:t>
      </w:r>
      <w:r w:rsidRPr="00722C5B">
        <w:rPr>
          <w:lang w:val="en-US"/>
        </w:rPr>
        <w:t>6</w:t>
      </w:r>
      <w:r w:rsidR="00767857" w:rsidRPr="00722C5B">
        <w:rPr>
          <w:lang w:val="en-US"/>
        </w:rPr>
        <w:t xml:space="preserve">) fatty acids such as linoleic </w:t>
      </w:r>
      <w:r w:rsidR="002F54BE" w:rsidRPr="00722C5B">
        <w:rPr>
          <w:lang w:val="en-US"/>
        </w:rPr>
        <w:t>(</w:t>
      </w:r>
      <w:r w:rsidR="00767857" w:rsidRPr="00722C5B">
        <w:rPr>
          <w:lang w:val="en-US"/>
        </w:rPr>
        <w:t>18:2</w:t>
      </w:r>
      <w:r w:rsidR="002F54BE" w:rsidRPr="00722C5B">
        <w:rPr>
          <w:lang w:val="en-US"/>
        </w:rPr>
        <w:t>)</w:t>
      </w:r>
      <w:r w:rsidR="00767857" w:rsidRPr="00722C5B">
        <w:rPr>
          <w:lang w:val="en-US"/>
        </w:rPr>
        <w:t xml:space="preserve"> and </w:t>
      </w:r>
      <w:proofErr w:type="spellStart"/>
      <w:r w:rsidR="00767857" w:rsidRPr="00722C5B">
        <w:rPr>
          <w:lang w:val="en-US"/>
        </w:rPr>
        <w:t>arachidonic</w:t>
      </w:r>
      <w:proofErr w:type="spellEnd"/>
      <w:r w:rsidR="00767857" w:rsidRPr="00722C5B">
        <w:rPr>
          <w:lang w:val="en-US"/>
        </w:rPr>
        <w:t xml:space="preserve"> </w:t>
      </w:r>
      <w:r w:rsidR="002F54BE" w:rsidRPr="00722C5B">
        <w:rPr>
          <w:lang w:val="en-US"/>
        </w:rPr>
        <w:t>(</w:t>
      </w:r>
      <w:r w:rsidR="00767857" w:rsidRPr="00722C5B">
        <w:rPr>
          <w:lang w:val="en-US"/>
        </w:rPr>
        <w:t>20:4</w:t>
      </w:r>
      <w:r w:rsidR="002F54BE" w:rsidRPr="00722C5B">
        <w:rPr>
          <w:lang w:val="en-US"/>
        </w:rPr>
        <w:t xml:space="preserve">) acids </w:t>
      </w:r>
      <w:r w:rsidR="003B67B0" w:rsidRPr="00722C5B">
        <w:rPr>
          <w:rFonts w:cs="Arial"/>
          <w:lang w:val="en-US"/>
        </w:rPr>
        <w:t>(</w:t>
      </w:r>
      <w:proofErr w:type="spellStart"/>
      <w:r w:rsidR="003B67B0" w:rsidRPr="00722C5B">
        <w:rPr>
          <w:rFonts w:cs="Arial"/>
          <w:lang w:val="en-US"/>
        </w:rPr>
        <w:t>Shahidi</w:t>
      </w:r>
      <w:proofErr w:type="spellEnd"/>
      <w:r w:rsidR="003B67B0" w:rsidRPr="00722C5B">
        <w:rPr>
          <w:rFonts w:cs="Arial"/>
          <w:lang w:val="en-US"/>
        </w:rPr>
        <w:t xml:space="preserve"> &amp; </w:t>
      </w:r>
      <w:proofErr w:type="spellStart"/>
      <w:r w:rsidR="003B67B0" w:rsidRPr="00722C5B">
        <w:rPr>
          <w:rFonts w:cs="Arial"/>
          <w:lang w:val="en-US"/>
        </w:rPr>
        <w:t>Pegg</w:t>
      </w:r>
      <w:proofErr w:type="spellEnd"/>
      <w:r w:rsidR="003B67B0" w:rsidRPr="00722C5B">
        <w:rPr>
          <w:rFonts w:cs="Arial"/>
          <w:lang w:val="en-US"/>
        </w:rPr>
        <w:t xml:space="preserve">, 1994; </w:t>
      </w:r>
      <w:proofErr w:type="spellStart"/>
      <w:r w:rsidR="00767857" w:rsidRPr="00722C5B">
        <w:rPr>
          <w:rFonts w:eastAsiaTheme="minorHAnsi"/>
          <w:lang w:val="en-US" w:eastAsia="en-US"/>
        </w:rPr>
        <w:t>Leufven</w:t>
      </w:r>
      <w:proofErr w:type="spellEnd"/>
      <w:r w:rsidR="00767857" w:rsidRPr="00722C5B">
        <w:rPr>
          <w:rFonts w:eastAsiaTheme="minorHAnsi"/>
          <w:lang w:val="en-US" w:eastAsia="en-US"/>
        </w:rPr>
        <w:t xml:space="preserve"> </w:t>
      </w:r>
      <w:r w:rsidR="00767857" w:rsidRPr="00722C5B">
        <w:rPr>
          <w:rFonts w:eastAsiaTheme="minorHAnsi"/>
          <w:i/>
          <w:lang w:val="en-US" w:eastAsia="en-US"/>
        </w:rPr>
        <w:t>et al.</w:t>
      </w:r>
      <w:r w:rsidR="00767857" w:rsidRPr="00722C5B">
        <w:rPr>
          <w:rFonts w:eastAsiaTheme="minorHAnsi"/>
          <w:lang w:val="en-US" w:eastAsia="en-US"/>
        </w:rPr>
        <w:t xml:space="preserve">, 2010; </w:t>
      </w:r>
      <w:proofErr w:type="spellStart"/>
      <w:r w:rsidR="00767857" w:rsidRPr="00722C5B">
        <w:rPr>
          <w:rFonts w:eastAsiaTheme="minorHAnsi"/>
          <w:lang w:val="en-US" w:eastAsia="en-US"/>
        </w:rPr>
        <w:t>Kittipongpittaya</w:t>
      </w:r>
      <w:proofErr w:type="spellEnd"/>
      <w:r w:rsidR="00767857" w:rsidRPr="00722C5B" w:rsidDel="00BE57EB">
        <w:rPr>
          <w:lang w:val="en-US"/>
        </w:rPr>
        <w:t xml:space="preserve"> </w:t>
      </w:r>
      <w:r w:rsidR="00767857" w:rsidRPr="00722C5B">
        <w:rPr>
          <w:i/>
          <w:lang w:val="en-US"/>
        </w:rPr>
        <w:t>et al</w:t>
      </w:r>
      <w:r w:rsidR="00767857" w:rsidRPr="00722C5B">
        <w:rPr>
          <w:lang w:val="en-US"/>
        </w:rPr>
        <w:t>., 2012)</w:t>
      </w:r>
      <w:r w:rsidR="002F54BE" w:rsidRPr="00722C5B">
        <w:rPr>
          <w:rFonts w:cs="Arial"/>
          <w:lang w:val="en-US"/>
        </w:rPr>
        <w:t>.</w:t>
      </w:r>
      <w:r w:rsidR="002F54BE" w:rsidRPr="00722C5B">
        <w:rPr>
          <w:color w:val="000000" w:themeColor="text1"/>
          <w:lang w:val="en-US"/>
        </w:rPr>
        <w:t xml:space="preserve"> </w:t>
      </w:r>
      <w:r w:rsidR="006565E6" w:rsidRPr="00722C5B">
        <w:rPr>
          <w:rFonts w:cs="Arial"/>
          <w:b/>
          <w:lang w:val="en-US"/>
        </w:rPr>
        <w:t xml:space="preserve">Figure </w:t>
      </w:r>
      <w:r w:rsidR="00EB2E6C">
        <w:rPr>
          <w:rFonts w:cs="Arial"/>
          <w:b/>
          <w:lang w:val="en-US"/>
        </w:rPr>
        <w:t>2</w:t>
      </w:r>
      <w:r w:rsidR="00EB2E6C" w:rsidRPr="00722C5B">
        <w:rPr>
          <w:rFonts w:cs="Arial"/>
          <w:lang w:val="en-US"/>
        </w:rPr>
        <w:t xml:space="preserve"> </w:t>
      </w:r>
      <w:r w:rsidR="00E91CE8">
        <w:rPr>
          <w:rFonts w:cs="Arial"/>
          <w:lang w:val="en-US"/>
        </w:rPr>
        <w:t xml:space="preserve">is a summary plot of </w:t>
      </w:r>
      <w:proofErr w:type="spellStart"/>
      <w:r w:rsidR="004E387C" w:rsidRPr="00722C5B">
        <w:rPr>
          <w:rFonts w:cs="Arial"/>
          <w:lang w:val="en-US"/>
        </w:rPr>
        <w:t>hexanal</w:t>
      </w:r>
      <w:proofErr w:type="spellEnd"/>
      <w:r w:rsidR="004E387C" w:rsidRPr="00722C5B">
        <w:rPr>
          <w:rFonts w:cs="Arial"/>
          <w:lang w:val="en-US"/>
        </w:rPr>
        <w:t xml:space="preserve"> </w:t>
      </w:r>
      <w:r w:rsidR="00E91CE8">
        <w:rPr>
          <w:rFonts w:cs="Arial"/>
          <w:lang w:val="en-US"/>
        </w:rPr>
        <w:t xml:space="preserve">accumulation </w:t>
      </w:r>
      <w:r w:rsidR="004E387C" w:rsidRPr="00722C5B">
        <w:rPr>
          <w:rFonts w:cs="Arial"/>
          <w:lang w:val="en-US"/>
        </w:rPr>
        <w:t>(</w:t>
      </w:r>
      <w:r w:rsidR="00894E6B" w:rsidRPr="00722C5B">
        <w:rPr>
          <w:rFonts w:cs="Arial"/>
          <w:lang w:val="en-US"/>
        </w:rPr>
        <w:t xml:space="preserve">in </w:t>
      </w:r>
      <w:r w:rsidR="004E387C" w:rsidRPr="00722C5B">
        <w:rPr>
          <w:rFonts w:cs="Arial"/>
        </w:rPr>
        <w:t>μ</w:t>
      </w:r>
      <w:r w:rsidR="004E387C" w:rsidRPr="00722C5B">
        <w:rPr>
          <w:rFonts w:cs="Arial"/>
          <w:lang w:val="en-US"/>
        </w:rPr>
        <w:t xml:space="preserve">g/g or ppm) </w:t>
      </w:r>
      <w:r w:rsidR="00E91CE8">
        <w:rPr>
          <w:rFonts w:cs="Arial"/>
          <w:lang w:val="en-US"/>
        </w:rPr>
        <w:t xml:space="preserve">in the </w:t>
      </w:r>
      <w:r w:rsidRPr="00722C5B">
        <w:rPr>
          <w:rFonts w:cs="Arial"/>
          <w:lang w:val="en-US"/>
        </w:rPr>
        <w:t xml:space="preserve">HOSFO and SOs submitted to the storage study </w:t>
      </w:r>
      <w:r w:rsidR="004E387C" w:rsidRPr="00722C5B">
        <w:rPr>
          <w:lang w:val="en-US"/>
        </w:rPr>
        <w:t>at 35</w:t>
      </w:r>
      <w:r w:rsidR="00183D42" w:rsidRPr="00722C5B">
        <w:rPr>
          <w:lang w:val="en-US"/>
        </w:rPr>
        <w:t> </w:t>
      </w:r>
      <w:r w:rsidR="004E387C" w:rsidRPr="00722C5B">
        <w:rPr>
          <w:lang w:val="en-US"/>
        </w:rPr>
        <w:t>°C</w:t>
      </w:r>
      <w:r w:rsidR="00401B73" w:rsidRPr="00722C5B">
        <w:rPr>
          <w:lang w:val="en-US"/>
        </w:rPr>
        <w:t xml:space="preserve"> </w:t>
      </w:r>
      <w:r w:rsidRPr="00722C5B">
        <w:rPr>
          <w:lang w:val="en-US"/>
        </w:rPr>
        <w:t xml:space="preserve">for up to </w:t>
      </w:r>
      <w:r w:rsidR="000358E7">
        <w:rPr>
          <w:lang w:val="en-US"/>
        </w:rPr>
        <w:t>the 2</w:t>
      </w:r>
      <w:r w:rsidR="00E91CE8">
        <w:rPr>
          <w:lang w:val="en-US"/>
        </w:rPr>
        <w:t>8 week period (data shown only until week 20)</w:t>
      </w:r>
      <w:r w:rsidR="004E387C" w:rsidRPr="00722C5B">
        <w:rPr>
          <w:lang w:val="en-US"/>
        </w:rPr>
        <w:t>.</w:t>
      </w:r>
      <w:r w:rsidR="00B830EF" w:rsidRPr="00722C5B">
        <w:rPr>
          <w:lang w:val="en-US"/>
        </w:rPr>
        <w:t xml:space="preserve"> </w:t>
      </w:r>
      <w:r w:rsidRPr="00722C5B">
        <w:rPr>
          <w:lang w:val="en-US"/>
        </w:rPr>
        <w:t xml:space="preserve">As seen in </w:t>
      </w:r>
      <w:r w:rsidRPr="00722C5B">
        <w:rPr>
          <w:b/>
          <w:lang w:val="en-US"/>
        </w:rPr>
        <w:t xml:space="preserve">Figure </w:t>
      </w:r>
      <w:r w:rsidR="00EB2E6C">
        <w:rPr>
          <w:b/>
          <w:lang w:val="en-US"/>
        </w:rPr>
        <w:t>2</w:t>
      </w:r>
      <w:r w:rsidRPr="00722C5B">
        <w:rPr>
          <w:lang w:val="en-US"/>
        </w:rPr>
        <w:t xml:space="preserve">, </w:t>
      </w:r>
      <w:r w:rsidR="00B830EF" w:rsidRPr="00722C5B">
        <w:rPr>
          <w:lang w:val="en-US"/>
        </w:rPr>
        <w:t xml:space="preserve">a significant increase in </w:t>
      </w:r>
      <w:proofErr w:type="spellStart"/>
      <w:r w:rsidR="00B830EF" w:rsidRPr="00722C5B">
        <w:rPr>
          <w:lang w:val="en-US"/>
        </w:rPr>
        <w:t>hexanal</w:t>
      </w:r>
      <w:proofErr w:type="spellEnd"/>
      <w:r w:rsidR="00B830EF" w:rsidRPr="00722C5B">
        <w:rPr>
          <w:lang w:val="en-US"/>
        </w:rPr>
        <w:t xml:space="preserve"> concentrations was apparent in the native </w:t>
      </w:r>
      <w:r w:rsidR="00EF5DA0" w:rsidRPr="00722C5B">
        <w:rPr>
          <w:rFonts w:eastAsia="Arial Unicode MS"/>
          <w:color w:val="000000" w:themeColor="text1"/>
          <w:lang w:val="en-US"/>
        </w:rPr>
        <w:t xml:space="preserve">SO </w:t>
      </w:r>
      <w:r w:rsidR="00B830EF" w:rsidRPr="00722C5B">
        <w:rPr>
          <w:rFonts w:eastAsia="Arial Unicode MS"/>
          <w:color w:val="000000" w:themeColor="text1"/>
          <w:lang w:val="en-US"/>
        </w:rPr>
        <w:t>at the 4</w:t>
      </w:r>
      <w:r w:rsidR="00B830EF" w:rsidRPr="00722C5B">
        <w:rPr>
          <w:rFonts w:eastAsia="Arial Unicode MS"/>
          <w:color w:val="000000" w:themeColor="text1"/>
          <w:vertAlign w:val="superscript"/>
          <w:lang w:val="en-US"/>
        </w:rPr>
        <w:t>th</w:t>
      </w:r>
      <w:r w:rsidR="00B830EF" w:rsidRPr="00722C5B">
        <w:rPr>
          <w:rFonts w:eastAsia="Arial Unicode MS"/>
          <w:color w:val="000000" w:themeColor="text1"/>
          <w:lang w:val="en-US"/>
        </w:rPr>
        <w:t xml:space="preserve"> week of the storage study. </w:t>
      </w:r>
      <w:r w:rsidR="00183D42" w:rsidRPr="00722C5B">
        <w:rPr>
          <w:rFonts w:eastAsia="Arial Unicode MS"/>
          <w:color w:val="000000" w:themeColor="text1"/>
          <w:lang w:val="en-US"/>
        </w:rPr>
        <w:t>Conversely,</w:t>
      </w:r>
      <w:r w:rsidR="00B830EF" w:rsidRPr="00722C5B">
        <w:rPr>
          <w:rFonts w:eastAsia="Arial Unicode MS"/>
          <w:color w:val="000000" w:themeColor="text1"/>
          <w:lang w:val="en-US"/>
        </w:rPr>
        <w:t xml:space="preserve"> the HOSFO exhibited a near lack </w:t>
      </w:r>
      <w:r w:rsidR="00183D42" w:rsidRPr="00722C5B">
        <w:rPr>
          <w:rFonts w:eastAsia="Arial Unicode MS"/>
          <w:color w:val="000000" w:themeColor="text1"/>
          <w:lang w:val="en-US"/>
        </w:rPr>
        <w:t>of</w:t>
      </w:r>
      <w:r w:rsidR="00B830EF" w:rsidRPr="00722C5B">
        <w:rPr>
          <w:rFonts w:eastAsia="Arial Unicode MS"/>
          <w:color w:val="000000" w:themeColor="text1"/>
          <w:lang w:val="en-US"/>
        </w:rPr>
        <w:t xml:space="preserve"> </w:t>
      </w:r>
      <w:proofErr w:type="spellStart"/>
      <w:r w:rsidR="00B830EF" w:rsidRPr="00722C5B">
        <w:rPr>
          <w:rFonts w:eastAsia="Arial Unicode MS"/>
          <w:color w:val="000000" w:themeColor="text1"/>
          <w:lang w:val="en-US"/>
        </w:rPr>
        <w:t>hexanal</w:t>
      </w:r>
      <w:proofErr w:type="spellEnd"/>
      <w:r w:rsidR="00B830EF" w:rsidRPr="00722C5B">
        <w:rPr>
          <w:rFonts w:eastAsia="Arial Unicode MS"/>
          <w:color w:val="000000" w:themeColor="text1"/>
          <w:lang w:val="en-US"/>
        </w:rPr>
        <w:t xml:space="preserve"> formation (&lt;1</w:t>
      </w:r>
      <w:r w:rsidR="00183D42" w:rsidRPr="00722C5B">
        <w:rPr>
          <w:rFonts w:eastAsia="Arial Unicode MS"/>
          <w:color w:val="000000" w:themeColor="text1"/>
          <w:lang w:val="en-US"/>
        </w:rPr>
        <w:t> </w:t>
      </w:r>
      <w:r w:rsidR="00B830EF" w:rsidRPr="00722C5B">
        <w:rPr>
          <w:rFonts w:eastAsia="Arial Unicode MS"/>
          <w:color w:val="000000" w:themeColor="text1"/>
          <w:lang w:val="en-US"/>
        </w:rPr>
        <w:t>ppm)</w:t>
      </w:r>
      <w:r w:rsidR="00183D42" w:rsidRPr="00722C5B">
        <w:rPr>
          <w:rFonts w:eastAsia="Arial Unicode MS"/>
          <w:color w:val="000000" w:themeColor="text1"/>
          <w:lang w:val="en-US"/>
        </w:rPr>
        <w:t xml:space="preserve"> over an entire 20 </w:t>
      </w:r>
      <w:r w:rsidR="00B830EF" w:rsidRPr="00722C5B">
        <w:rPr>
          <w:rFonts w:eastAsia="Arial Unicode MS"/>
          <w:color w:val="000000" w:themeColor="text1"/>
          <w:lang w:val="en-US"/>
        </w:rPr>
        <w:t>weeks of storage at 35</w:t>
      </w:r>
      <w:r w:rsidR="00183D42" w:rsidRPr="00722C5B">
        <w:rPr>
          <w:rFonts w:eastAsia="Arial Unicode MS"/>
          <w:color w:val="000000" w:themeColor="text1"/>
          <w:lang w:val="en-US"/>
        </w:rPr>
        <w:t> °</w:t>
      </w:r>
      <w:r w:rsidR="00B830EF" w:rsidRPr="00722C5B">
        <w:rPr>
          <w:rFonts w:eastAsia="Arial Unicode MS"/>
          <w:color w:val="000000" w:themeColor="text1"/>
          <w:lang w:val="en-US"/>
        </w:rPr>
        <w:t>C</w:t>
      </w:r>
      <w:r w:rsidR="00F00FFF">
        <w:rPr>
          <w:rFonts w:eastAsia="Arial Unicode MS"/>
          <w:color w:val="000000" w:themeColor="text1"/>
          <w:lang w:val="en-US"/>
        </w:rPr>
        <w:t xml:space="preserve"> </w:t>
      </w:r>
      <w:r w:rsidR="00F00FFF" w:rsidRPr="00D83906">
        <w:rPr>
          <w:rFonts w:eastAsia="Arial Unicode MS"/>
          <w:i/>
          <w:color w:val="000000" w:themeColor="text1"/>
          <w:lang w:val="en-US"/>
        </w:rPr>
        <w:t>(p &gt; 0.05)</w:t>
      </w:r>
      <w:r w:rsidR="00B830EF" w:rsidRPr="00722C5B">
        <w:rPr>
          <w:rFonts w:eastAsia="Arial Unicode MS"/>
          <w:color w:val="000000" w:themeColor="text1"/>
          <w:lang w:val="en-US"/>
        </w:rPr>
        <w:t xml:space="preserve">. </w:t>
      </w:r>
      <w:r w:rsidR="00183D42" w:rsidRPr="00722C5B">
        <w:rPr>
          <w:rFonts w:eastAsia="Arial Unicode MS"/>
          <w:color w:val="000000" w:themeColor="text1"/>
          <w:lang w:val="en-US"/>
        </w:rPr>
        <w:t xml:space="preserve">These </w:t>
      </w:r>
      <w:r w:rsidR="00183D42" w:rsidRPr="00722C5B">
        <w:rPr>
          <w:rFonts w:eastAsia="Arial Unicode MS"/>
          <w:color w:val="000000" w:themeColor="text1"/>
          <w:lang w:val="en-US"/>
        </w:rPr>
        <w:lastRenderedPageBreak/>
        <w:t xml:space="preserve">results are quite in accordance with the PV data presented in </w:t>
      </w:r>
      <w:r w:rsidR="00183D42" w:rsidRPr="00722C5B">
        <w:rPr>
          <w:rFonts w:eastAsia="Arial Unicode MS"/>
          <w:b/>
          <w:color w:val="000000" w:themeColor="text1"/>
          <w:lang w:val="en-US"/>
        </w:rPr>
        <w:t xml:space="preserve">Figure </w:t>
      </w:r>
      <w:r w:rsidR="00EB2E6C">
        <w:rPr>
          <w:rFonts w:eastAsia="Arial Unicode MS"/>
          <w:b/>
          <w:color w:val="000000" w:themeColor="text1"/>
          <w:lang w:val="en-US"/>
        </w:rPr>
        <w:t>1</w:t>
      </w:r>
      <w:r w:rsidR="00183D42" w:rsidRPr="00722C5B">
        <w:rPr>
          <w:rFonts w:eastAsia="Arial Unicode MS"/>
          <w:color w:val="000000" w:themeColor="text1"/>
          <w:lang w:val="en-US"/>
        </w:rPr>
        <w:t xml:space="preserve">. As </w:t>
      </w:r>
      <w:proofErr w:type="spellStart"/>
      <w:r w:rsidR="00183D42" w:rsidRPr="00722C5B">
        <w:rPr>
          <w:rFonts w:eastAsia="Arial Unicode MS"/>
          <w:color w:val="000000" w:themeColor="text1"/>
          <w:lang w:val="en-US"/>
        </w:rPr>
        <w:t>hydroperoxides</w:t>
      </w:r>
      <w:proofErr w:type="spellEnd"/>
      <w:r w:rsidR="00183D42" w:rsidRPr="00722C5B">
        <w:rPr>
          <w:rFonts w:eastAsia="Arial Unicode MS"/>
          <w:color w:val="000000" w:themeColor="text1"/>
          <w:lang w:val="en-US"/>
        </w:rPr>
        <w:t xml:space="preserve"> are formed in the case of the native SO at around 5 weeks of accelerated storage, they rapidly decompose and result in the evolution of </w:t>
      </w:r>
      <w:proofErr w:type="spellStart"/>
      <w:r w:rsidR="00183D42" w:rsidRPr="00722C5B">
        <w:rPr>
          <w:rFonts w:eastAsia="Arial Unicode MS"/>
          <w:color w:val="000000" w:themeColor="text1"/>
          <w:lang w:val="en-US"/>
        </w:rPr>
        <w:t>hexanal</w:t>
      </w:r>
      <w:proofErr w:type="spellEnd"/>
      <w:r w:rsidR="00183D42" w:rsidRPr="00722C5B">
        <w:rPr>
          <w:rFonts w:eastAsia="Arial Unicode MS"/>
          <w:color w:val="000000" w:themeColor="text1"/>
          <w:lang w:val="en-US"/>
        </w:rPr>
        <w:t xml:space="preserve"> </w:t>
      </w:r>
      <w:r w:rsidR="00B37C1A" w:rsidRPr="00722C5B">
        <w:rPr>
          <w:rFonts w:eastAsia="Arial Unicode MS"/>
          <w:color w:val="000000" w:themeColor="text1"/>
          <w:lang w:val="en-US"/>
        </w:rPr>
        <w:t xml:space="preserve">in a similar time frame (as seen in </w:t>
      </w:r>
      <w:r w:rsidR="00B37C1A" w:rsidRPr="00722C5B">
        <w:rPr>
          <w:rFonts w:eastAsia="Arial Unicode MS"/>
          <w:b/>
          <w:color w:val="000000" w:themeColor="text1"/>
          <w:lang w:val="en-US"/>
        </w:rPr>
        <w:t xml:space="preserve">Figure </w:t>
      </w:r>
      <w:r w:rsidR="00EB2E6C">
        <w:rPr>
          <w:rFonts w:eastAsia="Arial Unicode MS"/>
          <w:b/>
          <w:color w:val="000000" w:themeColor="text1"/>
          <w:lang w:val="en-US"/>
        </w:rPr>
        <w:t>2</w:t>
      </w:r>
      <w:r w:rsidR="00B37C1A" w:rsidRPr="00722C5B">
        <w:rPr>
          <w:rFonts w:eastAsia="Arial Unicode MS"/>
          <w:color w:val="000000" w:themeColor="text1"/>
          <w:lang w:val="en-US"/>
        </w:rPr>
        <w:t xml:space="preserve">) </w:t>
      </w:r>
      <w:r w:rsidR="00183D42" w:rsidRPr="00722C5B">
        <w:rPr>
          <w:rFonts w:eastAsia="Arial Unicode MS"/>
          <w:color w:val="000000" w:themeColor="text1"/>
          <w:lang w:val="en-US"/>
        </w:rPr>
        <w:t>due to the high concentration of linoleic acid present therein (</w:t>
      </w:r>
      <w:r w:rsidR="00183D42" w:rsidRPr="00722C5B">
        <w:rPr>
          <w:rFonts w:eastAsia="Arial Unicode MS"/>
          <w:i/>
          <w:color w:val="000000" w:themeColor="text1"/>
          <w:lang w:val="en-US"/>
        </w:rPr>
        <w:t>i.e.</w:t>
      </w:r>
      <w:r w:rsidR="00183D42" w:rsidRPr="00722C5B">
        <w:rPr>
          <w:rFonts w:eastAsia="Arial Unicode MS"/>
          <w:color w:val="000000" w:themeColor="text1"/>
          <w:lang w:val="en-US"/>
        </w:rPr>
        <w:t xml:space="preserve"> refer back to </w:t>
      </w:r>
      <w:r w:rsidR="00183D42" w:rsidRPr="00722C5B">
        <w:rPr>
          <w:rFonts w:eastAsia="Arial Unicode MS"/>
          <w:b/>
          <w:color w:val="000000" w:themeColor="text1"/>
          <w:lang w:val="en-US"/>
        </w:rPr>
        <w:t>Table 2</w:t>
      </w:r>
      <w:r w:rsidR="00183D42" w:rsidRPr="00722C5B">
        <w:rPr>
          <w:rFonts w:eastAsia="Arial Unicode MS"/>
          <w:color w:val="000000" w:themeColor="text1"/>
          <w:lang w:val="en-US"/>
        </w:rPr>
        <w:t xml:space="preserve">). The HOSFO, however, contains significantly less linoleic and </w:t>
      </w:r>
      <w:r w:rsidR="00183D42" w:rsidRPr="00722C5B">
        <w:rPr>
          <w:rFonts w:ascii="Symbol" w:eastAsia="Arial Unicode MS" w:hAnsi="Symbol"/>
          <w:color w:val="000000" w:themeColor="text1"/>
          <w:lang w:val="en-US"/>
        </w:rPr>
        <w:t></w:t>
      </w:r>
      <w:r w:rsidR="00183D42" w:rsidRPr="00722C5B">
        <w:rPr>
          <w:rFonts w:eastAsia="Arial Unicode MS"/>
          <w:color w:val="000000" w:themeColor="text1"/>
          <w:lang w:val="en-US"/>
        </w:rPr>
        <w:t>-</w:t>
      </w:r>
      <w:proofErr w:type="spellStart"/>
      <w:r w:rsidR="00183D42" w:rsidRPr="00722C5B">
        <w:rPr>
          <w:rFonts w:eastAsia="Arial Unicode MS"/>
          <w:color w:val="000000" w:themeColor="text1"/>
          <w:lang w:val="en-US"/>
        </w:rPr>
        <w:t>linolenic</w:t>
      </w:r>
      <w:proofErr w:type="spellEnd"/>
      <w:r w:rsidR="00183D42" w:rsidRPr="00722C5B">
        <w:rPr>
          <w:rFonts w:eastAsia="Arial Unicode MS"/>
          <w:color w:val="000000" w:themeColor="text1"/>
          <w:lang w:val="en-US"/>
        </w:rPr>
        <w:t xml:space="preserve"> acids and is much less vulnerable to lipid autoxidation.</w:t>
      </w:r>
    </w:p>
    <w:p w:rsidR="0006576F" w:rsidRDefault="00EC4013" w:rsidP="006708D5">
      <w:pPr>
        <w:autoSpaceDE w:val="0"/>
        <w:autoSpaceDN w:val="0"/>
        <w:adjustRightInd w:val="0"/>
        <w:spacing w:line="480" w:lineRule="auto"/>
        <w:ind w:firstLine="284"/>
        <w:jc w:val="both"/>
        <w:rPr>
          <w:rFonts w:eastAsia="Arial Unicode MS"/>
          <w:color w:val="000000" w:themeColor="text1"/>
          <w:lang w:val="en-US"/>
        </w:rPr>
      </w:pPr>
      <w:r w:rsidRPr="00722C5B">
        <w:rPr>
          <w:rFonts w:eastAsia="Arial Unicode MS"/>
          <w:color w:val="000000" w:themeColor="text1"/>
          <w:lang w:val="en-US"/>
        </w:rPr>
        <w:t>It is important to note that a</w:t>
      </w:r>
      <w:r w:rsidR="00B37C1A" w:rsidRPr="00722C5B">
        <w:rPr>
          <w:rFonts w:eastAsia="Arial Unicode MS"/>
          <w:color w:val="000000" w:themeColor="text1"/>
          <w:lang w:val="en-US"/>
        </w:rPr>
        <w:t>ll the antioxidant mixtures</w:t>
      </w:r>
      <w:r w:rsidRPr="00722C5B">
        <w:rPr>
          <w:rFonts w:eastAsia="Arial Unicode MS"/>
          <w:color w:val="000000" w:themeColor="text1"/>
          <w:lang w:val="en-US"/>
        </w:rPr>
        <w:t xml:space="preserve">/concentrations tested </w:t>
      </w:r>
      <w:r w:rsidR="00B37C1A" w:rsidRPr="00722C5B">
        <w:rPr>
          <w:rFonts w:eastAsia="Arial Unicode MS"/>
          <w:color w:val="000000" w:themeColor="text1"/>
          <w:lang w:val="en-US"/>
        </w:rPr>
        <w:t xml:space="preserve">were successful in reducing </w:t>
      </w:r>
      <w:proofErr w:type="spellStart"/>
      <w:r w:rsidR="00B37C1A" w:rsidRPr="00722C5B">
        <w:rPr>
          <w:rFonts w:eastAsia="Arial Unicode MS"/>
          <w:color w:val="000000" w:themeColor="text1"/>
          <w:lang w:val="en-US"/>
        </w:rPr>
        <w:t>hexanal</w:t>
      </w:r>
      <w:proofErr w:type="spellEnd"/>
      <w:r w:rsidR="00B37C1A" w:rsidRPr="00722C5B">
        <w:rPr>
          <w:rFonts w:eastAsia="Arial Unicode MS"/>
          <w:color w:val="000000" w:themeColor="text1"/>
          <w:lang w:val="en-US"/>
        </w:rPr>
        <w:t xml:space="preserve"> formation in the SO over the storage period</w:t>
      </w:r>
      <w:r w:rsidRPr="00722C5B">
        <w:rPr>
          <w:rFonts w:eastAsia="Arial Unicode MS"/>
          <w:color w:val="000000" w:themeColor="text1"/>
          <w:lang w:val="en-US"/>
        </w:rPr>
        <w:t xml:space="preserve"> as seen in </w:t>
      </w:r>
      <w:r w:rsidRPr="00722C5B">
        <w:rPr>
          <w:rFonts w:eastAsia="Arial Unicode MS"/>
          <w:b/>
          <w:color w:val="000000" w:themeColor="text1"/>
          <w:lang w:val="en-US"/>
        </w:rPr>
        <w:t xml:space="preserve">Figure </w:t>
      </w:r>
      <w:r w:rsidR="00EB2E6C">
        <w:rPr>
          <w:rFonts w:eastAsia="Arial Unicode MS"/>
          <w:b/>
          <w:color w:val="000000" w:themeColor="text1"/>
          <w:lang w:val="en-US"/>
        </w:rPr>
        <w:t>2</w:t>
      </w:r>
      <w:r w:rsidR="00B37C1A" w:rsidRPr="00722C5B">
        <w:rPr>
          <w:rFonts w:eastAsia="Arial Unicode MS"/>
          <w:color w:val="000000" w:themeColor="text1"/>
          <w:lang w:val="en-US"/>
        </w:rPr>
        <w:t>.</w:t>
      </w:r>
      <w:r w:rsidRPr="00722C5B">
        <w:rPr>
          <w:rFonts w:eastAsia="Arial Unicode MS"/>
          <w:color w:val="000000" w:themeColor="text1"/>
          <w:lang w:val="en-US"/>
        </w:rPr>
        <w:t xml:space="preserve"> </w:t>
      </w:r>
      <w:r w:rsidR="00B37C1A" w:rsidRPr="00722C5B">
        <w:rPr>
          <w:rFonts w:eastAsia="Arial Unicode MS"/>
          <w:color w:val="000000" w:themeColor="text1"/>
          <w:lang w:val="en-US"/>
        </w:rPr>
        <w:t xml:space="preserve">Globally, </w:t>
      </w:r>
      <w:r w:rsidRPr="00722C5B">
        <w:rPr>
          <w:rFonts w:eastAsia="Arial Unicode MS"/>
          <w:color w:val="000000" w:themeColor="text1"/>
          <w:lang w:val="en-US"/>
        </w:rPr>
        <w:t>this result</w:t>
      </w:r>
      <w:r w:rsidR="00B37C1A" w:rsidRPr="00722C5B">
        <w:rPr>
          <w:rFonts w:eastAsia="Arial Unicode MS"/>
          <w:color w:val="000000" w:themeColor="text1"/>
          <w:lang w:val="en-US"/>
        </w:rPr>
        <w:t xml:space="preserve"> is in line with the OSI data presented in </w:t>
      </w:r>
      <w:r w:rsidR="00EB2E6C">
        <w:rPr>
          <w:rFonts w:eastAsia="Arial Unicode MS"/>
          <w:b/>
          <w:color w:val="000000" w:themeColor="text1"/>
          <w:lang w:val="en-US"/>
        </w:rPr>
        <w:t>Table</w:t>
      </w:r>
      <w:r w:rsidR="00EB2E6C" w:rsidRPr="00722C5B">
        <w:rPr>
          <w:rFonts w:eastAsia="Arial Unicode MS"/>
          <w:b/>
          <w:color w:val="000000" w:themeColor="text1"/>
          <w:lang w:val="en-US"/>
        </w:rPr>
        <w:t xml:space="preserve"> </w:t>
      </w:r>
      <w:r w:rsidR="00B37C1A" w:rsidRPr="00722C5B">
        <w:rPr>
          <w:rFonts w:eastAsia="Arial Unicode MS"/>
          <w:b/>
          <w:color w:val="000000" w:themeColor="text1"/>
          <w:lang w:val="en-US"/>
        </w:rPr>
        <w:t>1</w:t>
      </w:r>
      <w:r w:rsidR="00B37C1A" w:rsidRPr="00722C5B">
        <w:rPr>
          <w:rFonts w:eastAsia="Arial Unicode MS"/>
          <w:color w:val="000000" w:themeColor="text1"/>
          <w:lang w:val="en-US"/>
        </w:rPr>
        <w:t xml:space="preserve">. </w:t>
      </w:r>
      <w:r w:rsidRPr="00722C5B">
        <w:rPr>
          <w:rFonts w:eastAsia="Arial Unicode MS"/>
          <w:color w:val="000000" w:themeColor="text1"/>
          <w:lang w:val="en-US"/>
        </w:rPr>
        <w:t xml:space="preserve">Antioxidants stabilized SO from </w:t>
      </w:r>
      <w:r w:rsidR="003D5E69" w:rsidRPr="00722C5B">
        <w:rPr>
          <w:rFonts w:eastAsia="Arial Unicode MS"/>
          <w:color w:val="000000" w:themeColor="text1"/>
          <w:lang w:val="en-US"/>
        </w:rPr>
        <w:t xml:space="preserve">lipid </w:t>
      </w:r>
      <w:r w:rsidRPr="00722C5B">
        <w:rPr>
          <w:rFonts w:eastAsia="Arial Unicode MS"/>
          <w:color w:val="000000" w:themeColor="text1"/>
          <w:lang w:val="en-US"/>
        </w:rPr>
        <w:t xml:space="preserve">oxidation, and subsequent </w:t>
      </w:r>
      <w:proofErr w:type="spellStart"/>
      <w:r w:rsidRPr="00722C5B">
        <w:rPr>
          <w:rFonts w:eastAsia="Arial Unicode MS"/>
          <w:color w:val="000000" w:themeColor="text1"/>
          <w:lang w:val="en-US"/>
        </w:rPr>
        <w:t>hexanal</w:t>
      </w:r>
      <w:proofErr w:type="spellEnd"/>
      <w:r w:rsidRPr="00722C5B">
        <w:rPr>
          <w:rFonts w:eastAsia="Arial Unicode MS"/>
          <w:color w:val="000000" w:themeColor="text1"/>
          <w:lang w:val="en-US"/>
        </w:rPr>
        <w:t xml:space="preserve"> formation, </w:t>
      </w:r>
      <w:r w:rsidR="00B37C1A" w:rsidRPr="00722C5B">
        <w:rPr>
          <w:rFonts w:eastAsia="Arial Unicode MS"/>
          <w:color w:val="000000" w:themeColor="text1"/>
          <w:lang w:val="en-US"/>
        </w:rPr>
        <w:t xml:space="preserve">according to the following ranking: 300 ppm AP + 1000 ppm M-TOC </w:t>
      </w:r>
      <w:r w:rsidRPr="00722C5B">
        <w:rPr>
          <w:rFonts w:eastAsia="Arial Unicode MS"/>
          <w:b/>
          <w:color w:val="000000" w:themeColor="text1"/>
          <w:lang w:val="en-US"/>
        </w:rPr>
        <w:t>&gt;</w:t>
      </w:r>
      <w:r w:rsidR="00B37C1A" w:rsidRPr="00722C5B">
        <w:rPr>
          <w:rFonts w:eastAsia="Arial Unicode MS"/>
          <w:color w:val="000000" w:themeColor="text1"/>
          <w:lang w:val="en-US"/>
        </w:rPr>
        <w:t xml:space="preserve"> 20 ppm CA + 300 ppm AP + 1000 ppm M-TOC</w:t>
      </w:r>
      <w:r w:rsidRPr="00722C5B">
        <w:rPr>
          <w:rFonts w:eastAsia="Arial Unicode MS"/>
          <w:color w:val="000000" w:themeColor="text1"/>
          <w:lang w:val="en-US"/>
        </w:rPr>
        <w:t xml:space="preserve"> </w:t>
      </w:r>
      <w:r w:rsidRPr="00722C5B">
        <w:rPr>
          <w:rFonts w:eastAsia="Arial Unicode MS"/>
          <w:b/>
          <w:color w:val="000000" w:themeColor="text1"/>
          <w:lang w:val="en-US"/>
        </w:rPr>
        <w:t>&gt;</w:t>
      </w:r>
      <w:r w:rsidR="00B37C1A" w:rsidRPr="00722C5B">
        <w:rPr>
          <w:rFonts w:eastAsia="Arial Unicode MS"/>
          <w:color w:val="000000" w:themeColor="text1"/>
          <w:lang w:val="en-US"/>
        </w:rPr>
        <w:t xml:space="preserve"> 125 ppm BHA + 75 ppm BHT </w:t>
      </w:r>
      <w:r w:rsidRPr="00722C5B">
        <w:rPr>
          <w:rFonts w:eastAsia="Arial Unicode MS"/>
          <w:b/>
          <w:color w:val="000000" w:themeColor="text1"/>
          <w:lang w:val="en-US"/>
        </w:rPr>
        <w:t>&gt;</w:t>
      </w:r>
      <w:r w:rsidR="00B37C1A" w:rsidRPr="00722C5B">
        <w:rPr>
          <w:rFonts w:eastAsia="Arial Unicode MS"/>
          <w:color w:val="000000" w:themeColor="text1"/>
          <w:lang w:val="en-US"/>
        </w:rPr>
        <w:t xml:space="preserve"> 300 ppm AP.</w:t>
      </w:r>
      <w:r w:rsidRPr="00722C5B">
        <w:rPr>
          <w:rFonts w:eastAsia="Arial Unicode MS"/>
          <w:color w:val="000000" w:themeColor="text1"/>
          <w:lang w:val="en-US"/>
        </w:rPr>
        <w:t xml:space="preserve"> The SO sample supplemented with the 300 ppm AP + 1000 ppm M-TOC </w:t>
      </w:r>
      <w:r w:rsidR="001F4FD3" w:rsidRPr="00722C5B">
        <w:rPr>
          <w:rFonts w:eastAsia="Arial Unicode MS"/>
          <w:color w:val="000000" w:themeColor="text1"/>
          <w:lang w:val="en-US"/>
        </w:rPr>
        <w:t xml:space="preserve">showed little </w:t>
      </w:r>
      <w:proofErr w:type="spellStart"/>
      <w:r w:rsidRPr="00722C5B">
        <w:rPr>
          <w:rFonts w:eastAsia="Arial Unicode MS"/>
          <w:color w:val="000000" w:themeColor="text1"/>
          <w:lang w:val="en-US"/>
        </w:rPr>
        <w:t>hexanal</w:t>
      </w:r>
      <w:proofErr w:type="spellEnd"/>
      <w:r w:rsidRPr="00722C5B">
        <w:rPr>
          <w:rFonts w:eastAsia="Arial Unicode MS"/>
          <w:color w:val="000000" w:themeColor="text1"/>
          <w:lang w:val="en-US"/>
        </w:rPr>
        <w:t xml:space="preserve"> formation </w:t>
      </w:r>
      <w:r w:rsidR="001F4FD3" w:rsidRPr="00722C5B">
        <w:rPr>
          <w:rFonts w:eastAsia="Arial Unicode MS"/>
          <w:color w:val="000000" w:themeColor="text1"/>
          <w:lang w:val="en-US"/>
        </w:rPr>
        <w:t xml:space="preserve">until </w:t>
      </w:r>
      <w:r w:rsidR="0006576F">
        <w:rPr>
          <w:rFonts w:eastAsia="Arial Unicode MS"/>
          <w:color w:val="000000" w:themeColor="text1"/>
          <w:lang w:val="en-US"/>
        </w:rPr>
        <w:t xml:space="preserve">at </w:t>
      </w:r>
      <w:r w:rsidRPr="00722C5B">
        <w:rPr>
          <w:rFonts w:eastAsia="Arial Unicode MS"/>
          <w:color w:val="000000" w:themeColor="text1"/>
          <w:lang w:val="en-US"/>
        </w:rPr>
        <w:t xml:space="preserve">least </w:t>
      </w:r>
      <w:r w:rsidR="001F4FD3" w:rsidRPr="00722C5B">
        <w:rPr>
          <w:rFonts w:eastAsia="Arial Unicode MS"/>
          <w:color w:val="000000" w:themeColor="text1"/>
          <w:lang w:val="en-US"/>
        </w:rPr>
        <w:t xml:space="preserve">the </w:t>
      </w:r>
      <w:r w:rsidRPr="00722C5B">
        <w:rPr>
          <w:rFonts w:eastAsia="Arial Unicode MS"/>
          <w:color w:val="000000" w:themeColor="text1"/>
          <w:lang w:val="en-US"/>
        </w:rPr>
        <w:t>16</w:t>
      </w:r>
      <w:r w:rsidR="001F4FD3" w:rsidRPr="00722C5B">
        <w:rPr>
          <w:rFonts w:eastAsia="Arial Unicode MS"/>
          <w:color w:val="000000" w:themeColor="text1"/>
          <w:vertAlign w:val="superscript"/>
          <w:lang w:val="en-US"/>
        </w:rPr>
        <w:t>th</w:t>
      </w:r>
      <w:r w:rsidR="001F4FD3" w:rsidRPr="00722C5B">
        <w:rPr>
          <w:rFonts w:eastAsia="Arial Unicode MS"/>
          <w:color w:val="000000" w:themeColor="text1"/>
          <w:lang w:val="en-US"/>
        </w:rPr>
        <w:t> </w:t>
      </w:r>
      <w:r w:rsidRPr="00722C5B">
        <w:rPr>
          <w:rFonts w:eastAsia="Arial Unicode MS"/>
          <w:color w:val="000000" w:themeColor="text1"/>
          <w:lang w:val="en-US"/>
        </w:rPr>
        <w:t xml:space="preserve">week in storage at 35 °C. </w:t>
      </w:r>
      <w:r w:rsidR="0006576F">
        <w:rPr>
          <w:rFonts w:eastAsia="Arial Unicode MS"/>
          <w:color w:val="000000" w:themeColor="text1"/>
          <w:lang w:val="en-US"/>
        </w:rPr>
        <w:t xml:space="preserve">In comparison with the PV data from </w:t>
      </w:r>
      <w:r w:rsidR="0006576F">
        <w:rPr>
          <w:rFonts w:eastAsia="Arial Unicode MS"/>
          <w:b/>
          <w:color w:val="000000" w:themeColor="text1"/>
          <w:lang w:val="en-US"/>
        </w:rPr>
        <w:t>Figure 2</w:t>
      </w:r>
      <w:r w:rsidR="0006576F" w:rsidRPr="0006576F">
        <w:rPr>
          <w:rFonts w:eastAsia="Arial Unicode MS"/>
          <w:color w:val="000000" w:themeColor="text1"/>
          <w:lang w:val="en-US"/>
        </w:rPr>
        <w:t xml:space="preserve">, </w:t>
      </w:r>
      <w:r w:rsidR="0006576F">
        <w:rPr>
          <w:rFonts w:eastAsia="Arial Unicode MS"/>
          <w:color w:val="000000" w:themeColor="text1"/>
          <w:lang w:val="en-US"/>
        </w:rPr>
        <w:t xml:space="preserve">this </w:t>
      </w:r>
      <w:r w:rsidR="0006576F" w:rsidRPr="00722C5B">
        <w:rPr>
          <w:rFonts w:eastAsia="Arial Unicode MS"/>
          <w:color w:val="000000" w:themeColor="text1"/>
          <w:lang w:val="en-US"/>
        </w:rPr>
        <w:t xml:space="preserve">combination of </w:t>
      </w:r>
      <w:r w:rsidR="0006576F">
        <w:rPr>
          <w:rFonts w:eastAsia="Arial Unicode MS"/>
          <w:color w:val="000000" w:themeColor="text1"/>
          <w:lang w:val="en-US"/>
        </w:rPr>
        <w:t>antioxidants w</w:t>
      </w:r>
      <w:r w:rsidR="0006576F" w:rsidRPr="00722C5B">
        <w:rPr>
          <w:rFonts w:eastAsia="Arial Unicode MS"/>
          <w:color w:val="000000" w:themeColor="text1"/>
          <w:lang w:val="en-US"/>
        </w:rPr>
        <w:t xml:space="preserve">as able to limit both </w:t>
      </w:r>
      <w:proofErr w:type="spellStart"/>
      <w:r w:rsidR="0006576F" w:rsidRPr="00722C5B">
        <w:rPr>
          <w:rFonts w:eastAsia="Arial Unicode MS"/>
          <w:color w:val="000000" w:themeColor="text1"/>
          <w:lang w:val="en-US"/>
        </w:rPr>
        <w:t>hydroperoxide</w:t>
      </w:r>
      <w:proofErr w:type="spellEnd"/>
      <w:r w:rsidR="0006576F" w:rsidRPr="00722C5B">
        <w:rPr>
          <w:rFonts w:eastAsia="Arial Unicode MS"/>
          <w:color w:val="000000" w:themeColor="text1"/>
          <w:lang w:val="en-US"/>
        </w:rPr>
        <w:t xml:space="preserve"> and </w:t>
      </w:r>
      <w:proofErr w:type="spellStart"/>
      <w:r w:rsidR="0006576F" w:rsidRPr="00722C5B">
        <w:rPr>
          <w:rFonts w:eastAsia="Arial Unicode MS"/>
          <w:color w:val="000000" w:themeColor="text1"/>
          <w:lang w:val="en-US"/>
        </w:rPr>
        <w:t>hexanal</w:t>
      </w:r>
      <w:proofErr w:type="spellEnd"/>
      <w:r w:rsidR="0006576F" w:rsidRPr="00722C5B">
        <w:rPr>
          <w:rFonts w:eastAsia="Arial Unicode MS"/>
          <w:color w:val="000000" w:themeColor="text1"/>
          <w:lang w:val="en-US"/>
        </w:rPr>
        <w:t xml:space="preserve"> </w:t>
      </w:r>
      <w:r w:rsidR="0006576F">
        <w:rPr>
          <w:rFonts w:eastAsia="Arial Unicode MS"/>
          <w:color w:val="000000" w:themeColor="text1"/>
          <w:lang w:val="en-US"/>
        </w:rPr>
        <w:t>(</w:t>
      </w:r>
      <w:r w:rsidR="0006576F">
        <w:rPr>
          <w:rFonts w:eastAsia="Arial Unicode MS"/>
          <w:b/>
          <w:color w:val="000000" w:themeColor="text1"/>
          <w:lang w:val="en-US"/>
        </w:rPr>
        <w:t>Figure 3</w:t>
      </w:r>
      <w:r w:rsidR="0006576F">
        <w:rPr>
          <w:rFonts w:eastAsia="Arial Unicode MS"/>
          <w:color w:val="000000" w:themeColor="text1"/>
          <w:lang w:val="en-US"/>
        </w:rPr>
        <w:t>)</w:t>
      </w:r>
      <w:r w:rsidR="0006576F" w:rsidRPr="0006576F">
        <w:rPr>
          <w:rFonts w:eastAsia="Arial Unicode MS"/>
          <w:color w:val="000000" w:themeColor="text1"/>
          <w:lang w:val="en-US"/>
        </w:rPr>
        <w:t xml:space="preserve"> </w:t>
      </w:r>
      <w:r w:rsidR="0006576F">
        <w:rPr>
          <w:rFonts w:eastAsia="Arial Unicode MS"/>
          <w:color w:val="000000" w:themeColor="text1"/>
          <w:lang w:val="en-US"/>
        </w:rPr>
        <w:t>formation in SO at 35 °C for up to 12 </w:t>
      </w:r>
      <w:r w:rsidR="0006576F" w:rsidRPr="00722C5B">
        <w:rPr>
          <w:rFonts w:eastAsia="Arial Unicode MS"/>
          <w:color w:val="000000" w:themeColor="text1"/>
          <w:lang w:val="en-US"/>
        </w:rPr>
        <w:t>weeks</w:t>
      </w:r>
      <w:r w:rsidR="0006576F">
        <w:rPr>
          <w:rFonts w:eastAsia="Arial Unicode MS"/>
          <w:color w:val="000000" w:themeColor="text1"/>
          <w:lang w:val="en-US"/>
        </w:rPr>
        <w:t xml:space="preserve">. According to the </w:t>
      </w:r>
      <w:proofErr w:type="spellStart"/>
      <w:r w:rsidR="0006576F">
        <w:rPr>
          <w:rFonts w:eastAsia="Arial Unicode MS"/>
          <w:color w:val="000000" w:themeColor="text1"/>
          <w:lang w:val="en-US"/>
        </w:rPr>
        <w:t>Arhenius</w:t>
      </w:r>
      <w:proofErr w:type="spellEnd"/>
      <w:r w:rsidR="0006576F">
        <w:rPr>
          <w:rFonts w:eastAsia="Arial Unicode MS"/>
          <w:color w:val="000000" w:themeColor="text1"/>
          <w:lang w:val="en-US"/>
        </w:rPr>
        <w:t xml:space="preserve"> equation aforementioned, 12 weeks is roughly equivalent to ~12 </w:t>
      </w:r>
      <w:r w:rsidR="0006576F" w:rsidRPr="00722C5B">
        <w:rPr>
          <w:rFonts w:eastAsia="Arial Unicode MS"/>
          <w:color w:val="000000" w:themeColor="text1"/>
          <w:lang w:val="en-US"/>
        </w:rPr>
        <w:t>mont</w:t>
      </w:r>
      <w:r w:rsidR="0006576F">
        <w:rPr>
          <w:rFonts w:eastAsia="Arial Unicode MS"/>
          <w:color w:val="000000" w:themeColor="text1"/>
          <w:lang w:val="en-US"/>
        </w:rPr>
        <w:t>hs storage at ambient temperatures (~18 </w:t>
      </w:r>
      <w:r w:rsidR="0006576F" w:rsidRPr="00722C5B">
        <w:rPr>
          <w:rFonts w:eastAsia="Arial Unicode MS"/>
          <w:color w:val="000000" w:themeColor="text1"/>
          <w:lang w:val="en-US"/>
        </w:rPr>
        <w:t>°C</w:t>
      </w:r>
      <w:r w:rsidR="0006576F">
        <w:rPr>
          <w:rFonts w:eastAsia="Arial Unicode MS"/>
          <w:color w:val="000000" w:themeColor="text1"/>
          <w:lang w:val="en-US"/>
        </w:rPr>
        <w:t>)</w:t>
      </w:r>
      <w:r w:rsidR="0006576F" w:rsidRPr="00722C5B">
        <w:rPr>
          <w:rFonts w:eastAsia="Arial Unicode MS"/>
          <w:color w:val="000000" w:themeColor="text1"/>
          <w:lang w:val="en-US"/>
        </w:rPr>
        <w:t>.</w:t>
      </w:r>
    </w:p>
    <w:p w:rsidR="00EC4013" w:rsidRPr="00EC1E59" w:rsidRDefault="00EC4013" w:rsidP="006708D5">
      <w:pPr>
        <w:autoSpaceDE w:val="0"/>
        <w:autoSpaceDN w:val="0"/>
        <w:adjustRightInd w:val="0"/>
        <w:spacing w:line="480" w:lineRule="auto"/>
        <w:ind w:firstLine="284"/>
        <w:jc w:val="both"/>
        <w:rPr>
          <w:rFonts w:eastAsia="Arial Unicode MS"/>
          <w:color w:val="000000" w:themeColor="text1"/>
          <w:lang w:val="en-US"/>
        </w:rPr>
      </w:pPr>
      <w:r w:rsidRPr="00722C5B">
        <w:rPr>
          <w:rFonts w:eastAsia="Arial Unicode MS"/>
          <w:color w:val="000000" w:themeColor="text1"/>
          <w:lang w:val="en-US"/>
        </w:rPr>
        <w:t xml:space="preserve">The kinetic curves for </w:t>
      </w:r>
      <w:proofErr w:type="spellStart"/>
      <w:r w:rsidRPr="00722C5B">
        <w:rPr>
          <w:rFonts w:eastAsia="Arial Unicode MS"/>
          <w:color w:val="000000" w:themeColor="text1"/>
          <w:lang w:val="en-US"/>
        </w:rPr>
        <w:t>hexanal</w:t>
      </w:r>
      <w:proofErr w:type="spellEnd"/>
      <w:r w:rsidRPr="00722C5B">
        <w:rPr>
          <w:rFonts w:eastAsia="Arial Unicode MS"/>
          <w:color w:val="000000" w:themeColor="text1"/>
          <w:lang w:val="en-US"/>
        </w:rPr>
        <w:t xml:space="preserve"> formation over</w:t>
      </w:r>
      <w:r w:rsidR="001F4FD3" w:rsidRPr="00722C5B">
        <w:rPr>
          <w:rFonts w:eastAsia="Arial Unicode MS"/>
          <w:color w:val="000000" w:themeColor="text1"/>
          <w:lang w:val="en-US"/>
        </w:rPr>
        <w:t xml:space="preserve"> the </w:t>
      </w:r>
      <w:r w:rsidRPr="00722C5B">
        <w:rPr>
          <w:rFonts w:eastAsia="Arial Unicode MS"/>
          <w:color w:val="000000" w:themeColor="text1"/>
          <w:lang w:val="en-US"/>
        </w:rPr>
        <w:t>storage</w:t>
      </w:r>
      <w:r w:rsidR="001F4FD3" w:rsidRPr="00722C5B">
        <w:rPr>
          <w:rFonts w:eastAsia="Arial Unicode MS"/>
          <w:color w:val="000000" w:themeColor="text1"/>
          <w:lang w:val="en-US"/>
        </w:rPr>
        <w:t xml:space="preserve"> period</w:t>
      </w:r>
      <w:r w:rsidRPr="00722C5B">
        <w:rPr>
          <w:rFonts w:eastAsia="Arial Unicode MS"/>
          <w:color w:val="000000" w:themeColor="text1"/>
          <w:lang w:val="en-US"/>
        </w:rPr>
        <w:t xml:space="preserve"> for the other </w:t>
      </w:r>
      <w:r w:rsidR="001F4FD3" w:rsidRPr="00722C5B">
        <w:rPr>
          <w:rFonts w:eastAsia="Arial Unicode MS"/>
          <w:color w:val="000000" w:themeColor="text1"/>
          <w:lang w:val="en-US"/>
        </w:rPr>
        <w:t>three</w:t>
      </w:r>
      <w:r w:rsidRPr="00722C5B">
        <w:rPr>
          <w:rFonts w:eastAsia="Arial Unicode MS"/>
          <w:color w:val="000000" w:themeColor="text1"/>
          <w:lang w:val="en-US"/>
        </w:rPr>
        <w:t xml:space="preserve"> SO samples supplemented with antioxidants were</w:t>
      </w:r>
      <w:r w:rsidR="001F4FD3" w:rsidRPr="00722C5B">
        <w:rPr>
          <w:rFonts w:eastAsia="Arial Unicode MS"/>
          <w:color w:val="000000" w:themeColor="text1"/>
          <w:lang w:val="en-US"/>
        </w:rPr>
        <w:t xml:space="preserve"> quite simila</w:t>
      </w:r>
      <w:r w:rsidR="003D5E69" w:rsidRPr="00722C5B">
        <w:rPr>
          <w:rFonts w:eastAsia="Arial Unicode MS"/>
          <w:color w:val="000000" w:themeColor="text1"/>
          <w:lang w:val="en-US"/>
        </w:rPr>
        <w:t xml:space="preserve">r exhibiting </w:t>
      </w:r>
      <w:r w:rsidR="001F4FD3" w:rsidRPr="00722C5B">
        <w:rPr>
          <w:rFonts w:eastAsia="Arial Unicode MS"/>
          <w:color w:val="000000" w:themeColor="text1"/>
          <w:lang w:val="en-US"/>
        </w:rPr>
        <w:t xml:space="preserve">an increase in </w:t>
      </w:r>
      <w:proofErr w:type="spellStart"/>
      <w:r w:rsidR="001F4FD3" w:rsidRPr="00722C5B">
        <w:rPr>
          <w:rFonts w:eastAsia="Arial Unicode MS"/>
          <w:color w:val="000000" w:themeColor="text1"/>
          <w:lang w:val="en-US"/>
        </w:rPr>
        <w:t>hexanal</w:t>
      </w:r>
      <w:proofErr w:type="spellEnd"/>
      <w:r w:rsidR="001F4FD3" w:rsidRPr="00722C5B">
        <w:rPr>
          <w:rFonts w:eastAsia="Arial Unicode MS"/>
          <w:color w:val="000000" w:themeColor="text1"/>
          <w:lang w:val="en-US"/>
        </w:rPr>
        <w:t xml:space="preserve"> formation from after 12</w:t>
      </w:r>
      <w:r w:rsidR="003D5E69" w:rsidRPr="00722C5B">
        <w:rPr>
          <w:rFonts w:eastAsia="Arial Unicode MS"/>
          <w:color w:val="000000" w:themeColor="text1"/>
          <w:lang w:val="en-US"/>
        </w:rPr>
        <w:t> weeks of storage</w:t>
      </w:r>
      <w:r w:rsidR="007E446A">
        <w:rPr>
          <w:rFonts w:eastAsia="Arial Unicode MS"/>
          <w:color w:val="000000" w:themeColor="text1"/>
          <w:lang w:val="en-US"/>
        </w:rPr>
        <w:t xml:space="preserve"> </w:t>
      </w:r>
      <w:r w:rsidR="007E446A" w:rsidRPr="00D83906">
        <w:rPr>
          <w:rFonts w:eastAsia="Arial Unicode MS"/>
          <w:i/>
          <w:color w:val="000000" w:themeColor="text1"/>
          <w:lang w:val="en-US"/>
        </w:rPr>
        <w:t>(p &gt; 0.05)</w:t>
      </w:r>
      <w:r w:rsidR="003D5E69" w:rsidRPr="00722C5B">
        <w:rPr>
          <w:rFonts w:eastAsia="Arial Unicode MS"/>
          <w:color w:val="000000" w:themeColor="text1"/>
          <w:lang w:val="en-US"/>
        </w:rPr>
        <w:t xml:space="preserve">. These three samples finished the storage study with between 3-4.5 ppm </w:t>
      </w:r>
      <w:proofErr w:type="spellStart"/>
      <w:r w:rsidR="003D5E69" w:rsidRPr="00722C5B">
        <w:rPr>
          <w:rFonts w:eastAsia="Arial Unicode MS"/>
          <w:color w:val="000000" w:themeColor="text1"/>
          <w:lang w:val="en-US"/>
        </w:rPr>
        <w:t>hexanal</w:t>
      </w:r>
      <w:proofErr w:type="spellEnd"/>
      <w:r w:rsidR="003D5E69" w:rsidRPr="00722C5B">
        <w:rPr>
          <w:rFonts w:eastAsia="Arial Unicode MS"/>
          <w:color w:val="000000" w:themeColor="text1"/>
          <w:lang w:val="en-US"/>
        </w:rPr>
        <w:t xml:space="preserve"> accumulated within the vial headspace. Interestingly</w:t>
      </w:r>
      <w:r w:rsidR="00FD3296" w:rsidRPr="00722C5B">
        <w:rPr>
          <w:rFonts w:eastAsia="Arial Unicode MS"/>
          <w:color w:val="000000" w:themeColor="text1"/>
          <w:lang w:val="en-US"/>
        </w:rPr>
        <w:t>,</w:t>
      </w:r>
      <w:r w:rsidR="003D5E69" w:rsidRPr="00722C5B">
        <w:rPr>
          <w:rFonts w:eastAsia="Arial Unicode MS"/>
          <w:color w:val="000000" w:themeColor="text1"/>
          <w:lang w:val="en-US"/>
        </w:rPr>
        <w:t xml:space="preserve"> </w:t>
      </w:r>
      <w:r w:rsidR="00FD3296" w:rsidRPr="00722C5B">
        <w:rPr>
          <w:rFonts w:eastAsia="Arial Unicode MS"/>
          <w:color w:val="000000" w:themeColor="text1"/>
          <w:lang w:val="en-US"/>
        </w:rPr>
        <w:t xml:space="preserve">while the </w:t>
      </w:r>
      <w:r w:rsidR="003D5E69" w:rsidRPr="00722C5B">
        <w:rPr>
          <w:rFonts w:eastAsia="Arial Unicode MS"/>
          <w:color w:val="000000" w:themeColor="text1"/>
          <w:lang w:val="en-US"/>
        </w:rPr>
        <w:t xml:space="preserve">SO sample supplemented with </w:t>
      </w:r>
      <w:r w:rsidR="00FD3296" w:rsidRPr="00722C5B">
        <w:rPr>
          <w:rFonts w:eastAsia="Arial Unicode MS"/>
          <w:color w:val="000000" w:themeColor="text1"/>
          <w:lang w:val="en-US"/>
        </w:rPr>
        <w:t>A</w:t>
      </w:r>
      <w:r w:rsidR="003D5E69" w:rsidRPr="00722C5B">
        <w:rPr>
          <w:rFonts w:eastAsia="Arial Unicode MS"/>
          <w:color w:val="000000" w:themeColor="text1"/>
          <w:lang w:val="en-US"/>
        </w:rPr>
        <w:t xml:space="preserve">P exhibited </w:t>
      </w:r>
      <w:r w:rsidR="00FD3296" w:rsidRPr="00722C5B">
        <w:rPr>
          <w:rFonts w:eastAsia="Arial Unicode MS"/>
          <w:color w:val="000000" w:themeColor="text1"/>
          <w:lang w:val="en-US"/>
        </w:rPr>
        <w:t xml:space="preserve">a longer induction period (22 weeks) than the SO with added BHA and BHT (7 weeks) in the PV results in </w:t>
      </w:r>
      <w:r w:rsidR="00FD3296" w:rsidRPr="00722C5B">
        <w:rPr>
          <w:rFonts w:eastAsia="Arial Unicode MS"/>
          <w:b/>
          <w:color w:val="000000" w:themeColor="text1"/>
          <w:lang w:val="en-US"/>
        </w:rPr>
        <w:t xml:space="preserve">Figure </w:t>
      </w:r>
      <w:r w:rsidR="00EB2E6C">
        <w:rPr>
          <w:rFonts w:eastAsia="Arial Unicode MS"/>
          <w:b/>
          <w:color w:val="000000" w:themeColor="text1"/>
          <w:lang w:val="en-US"/>
        </w:rPr>
        <w:t>1</w:t>
      </w:r>
      <w:r w:rsidR="00FD3296" w:rsidRPr="00722C5B">
        <w:rPr>
          <w:rFonts w:eastAsia="Arial Unicode MS"/>
          <w:color w:val="000000" w:themeColor="text1"/>
          <w:lang w:val="en-US"/>
        </w:rPr>
        <w:t xml:space="preserve">, this was not observed in the </w:t>
      </w:r>
      <w:proofErr w:type="spellStart"/>
      <w:r w:rsidR="00FD3296" w:rsidRPr="00722C5B">
        <w:rPr>
          <w:rFonts w:eastAsia="Arial Unicode MS"/>
          <w:color w:val="000000" w:themeColor="text1"/>
          <w:lang w:val="en-US"/>
        </w:rPr>
        <w:t>hexanal</w:t>
      </w:r>
      <w:proofErr w:type="spellEnd"/>
      <w:r w:rsidR="00FD3296" w:rsidRPr="00722C5B">
        <w:rPr>
          <w:rFonts w:eastAsia="Arial Unicode MS"/>
          <w:color w:val="000000" w:themeColor="text1"/>
          <w:lang w:val="en-US"/>
        </w:rPr>
        <w:t xml:space="preserve"> formation data for the two samples in </w:t>
      </w:r>
      <w:r w:rsidR="003D5E69" w:rsidRPr="00722C5B">
        <w:rPr>
          <w:rFonts w:eastAsia="Arial Unicode MS"/>
          <w:b/>
          <w:color w:val="000000" w:themeColor="text1"/>
          <w:lang w:val="en-US"/>
        </w:rPr>
        <w:t xml:space="preserve">Figure </w:t>
      </w:r>
      <w:r w:rsidR="00EB2E6C">
        <w:rPr>
          <w:rFonts w:eastAsia="Arial Unicode MS"/>
          <w:b/>
          <w:color w:val="000000" w:themeColor="text1"/>
          <w:lang w:val="en-US"/>
        </w:rPr>
        <w:t>2</w:t>
      </w:r>
      <w:r w:rsidR="003D5E69" w:rsidRPr="00722C5B">
        <w:rPr>
          <w:rFonts w:eastAsia="Arial Unicode MS"/>
          <w:color w:val="000000" w:themeColor="text1"/>
          <w:lang w:val="en-US"/>
        </w:rPr>
        <w:t>.</w:t>
      </w:r>
      <w:r w:rsidR="005B276A">
        <w:rPr>
          <w:rFonts w:eastAsia="Arial Unicode MS"/>
          <w:color w:val="000000" w:themeColor="text1"/>
          <w:lang w:val="en-US"/>
        </w:rPr>
        <w:t xml:space="preserve"> This can be </w:t>
      </w:r>
      <w:r w:rsidR="005B276A">
        <w:rPr>
          <w:rFonts w:eastAsia="Arial Unicode MS"/>
          <w:color w:val="000000" w:themeColor="text1"/>
          <w:lang w:val="en-US"/>
        </w:rPr>
        <w:lastRenderedPageBreak/>
        <w:t xml:space="preserve">explained by the presence of </w:t>
      </w:r>
      <w:r w:rsidR="005B276A" w:rsidRPr="005B276A">
        <w:rPr>
          <w:rFonts w:ascii="Symbol" w:eastAsia="Arial Unicode MS" w:hAnsi="Symbol"/>
          <w:color w:val="000000" w:themeColor="text1"/>
          <w:lang w:val="en-US"/>
        </w:rPr>
        <w:t></w:t>
      </w:r>
      <w:r w:rsidR="005B276A">
        <w:rPr>
          <w:rFonts w:eastAsia="Arial Unicode MS"/>
          <w:color w:val="000000" w:themeColor="text1"/>
          <w:lang w:val="en-US"/>
        </w:rPr>
        <w:t>-</w:t>
      </w:r>
      <w:proofErr w:type="spellStart"/>
      <w:r w:rsidR="005B276A">
        <w:rPr>
          <w:rFonts w:eastAsia="Arial Unicode MS"/>
          <w:color w:val="000000" w:themeColor="text1"/>
          <w:lang w:val="en-US"/>
        </w:rPr>
        <w:t>linolenic</w:t>
      </w:r>
      <w:proofErr w:type="spellEnd"/>
      <w:r w:rsidR="005B276A">
        <w:rPr>
          <w:rFonts w:eastAsia="Arial Unicode MS"/>
          <w:color w:val="000000" w:themeColor="text1"/>
          <w:lang w:val="en-US"/>
        </w:rPr>
        <w:t xml:space="preserve"> acid in the SO</w:t>
      </w:r>
      <w:r w:rsidR="00736953">
        <w:rPr>
          <w:rFonts w:eastAsia="Arial Unicode MS"/>
          <w:color w:val="000000" w:themeColor="text1"/>
          <w:lang w:val="en-US"/>
        </w:rPr>
        <w:t xml:space="preserve">; </w:t>
      </w:r>
      <w:r w:rsidR="00736953">
        <w:rPr>
          <w:rFonts w:eastAsia="Arial Unicode MS"/>
          <w:i/>
          <w:color w:val="000000" w:themeColor="text1"/>
          <w:lang w:val="en-US"/>
        </w:rPr>
        <w:t>i.e.</w:t>
      </w:r>
      <w:r w:rsidR="00736953">
        <w:rPr>
          <w:rFonts w:eastAsia="Arial Unicode MS"/>
          <w:color w:val="000000" w:themeColor="text1"/>
          <w:lang w:val="en-US"/>
        </w:rPr>
        <w:t>, which is essentially</w:t>
      </w:r>
      <w:r w:rsidR="005B276A">
        <w:rPr>
          <w:rFonts w:eastAsia="Arial Unicode MS"/>
          <w:color w:val="000000" w:themeColor="text1"/>
          <w:lang w:val="en-US"/>
        </w:rPr>
        <w:t xml:space="preserve"> absent in the HOSFO (</w:t>
      </w:r>
      <w:r w:rsidR="0007231C">
        <w:rPr>
          <w:rFonts w:eastAsia="Arial Unicode MS"/>
          <w:color w:val="000000" w:themeColor="text1"/>
          <w:lang w:val="en-US"/>
        </w:rPr>
        <w:t xml:space="preserve">see </w:t>
      </w:r>
      <w:r w:rsidR="0007231C">
        <w:rPr>
          <w:rFonts w:eastAsia="Arial Unicode MS"/>
          <w:b/>
          <w:color w:val="000000" w:themeColor="text1"/>
          <w:lang w:val="en-US"/>
        </w:rPr>
        <w:t>Table 2</w:t>
      </w:r>
      <w:r w:rsidR="0007231C">
        <w:rPr>
          <w:rFonts w:eastAsia="Arial Unicode MS"/>
          <w:color w:val="000000" w:themeColor="text1"/>
          <w:lang w:val="en-US"/>
        </w:rPr>
        <w:t xml:space="preserve">). </w:t>
      </w:r>
      <w:r w:rsidR="00830308">
        <w:rPr>
          <w:rFonts w:eastAsia="Arial Unicode MS"/>
          <w:color w:val="000000" w:themeColor="text1"/>
          <w:lang w:val="en-US"/>
        </w:rPr>
        <w:t xml:space="preserve">While the formation of </w:t>
      </w:r>
      <w:proofErr w:type="spellStart"/>
      <w:r w:rsidR="00830308">
        <w:rPr>
          <w:rFonts w:eastAsia="Arial Unicode MS"/>
          <w:color w:val="000000" w:themeColor="text1"/>
          <w:lang w:val="en-US"/>
        </w:rPr>
        <w:t>hydroperoxides</w:t>
      </w:r>
      <w:proofErr w:type="spellEnd"/>
      <w:r w:rsidR="00830308">
        <w:rPr>
          <w:rFonts w:eastAsia="Arial Unicode MS"/>
          <w:color w:val="000000" w:themeColor="text1"/>
          <w:lang w:val="en-US"/>
        </w:rPr>
        <w:t xml:space="preserve"> of oleic, linoleic, and </w:t>
      </w:r>
      <w:r w:rsidR="00830308" w:rsidRPr="00830308">
        <w:rPr>
          <w:rFonts w:ascii="Symbol" w:eastAsia="Arial Unicode MS" w:hAnsi="Symbol"/>
          <w:color w:val="000000" w:themeColor="text1"/>
          <w:lang w:val="en-US"/>
        </w:rPr>
        <w:t></w:t>
      </w:r>
      <w:r w:rsidR="00830308">
        <w:rPr>
          <w:rFonts w:eastAsia="Arial Unicode MS"/>
          <w:color w:val="000000" w:themeColor="text1"/>
          <w:lang w:val="en-US"/>
        </w:rPr>
        <w:t>-</w:t>
      </w:r>
      <w:proofErr w:type="spellStart"/>
      <w:r w:rsidR="00830308">
        <w:rPr>
          <w:rFonts w:eastAsia="Arial Unicode MS"/>
          <w:color w:val="000000" w:themeColor="text1"/>
          <w:lang w:val="en-US"/>
        </w:rPr>
        <w:t>linolenic</w:t>
      </w:r>
      <w:proofErr w:type="spellEnd"/>
      <w:r w:rsidR="00830308">
        <w:rPr>
          <w:rFonts w:eastAsia="Arial Unicode MS"/>
          <w:color w:val="000000" w:themeColor="text1"/>
          <w:lang w:val="en-US"/>
        </w:rPr>
        <w:t xml:space="preserve"> acids can be quantified in the PV assay, </w:t>
      </w:r>
      <w:proofErr w:type="spellStart"/>
      <w:r w:rsidR="00830308">
        <w:rPr>
          <w:rFonts w:eastAsia="Arial Unicode MS"/>
          <w:color w:val="000000" w:themeColor="text1"/>
          <w:lang w:val="en-US"/>
        </w:rPr>
        <w:t>hexanal</w:t>
      </w:r>
      <w:proofErr w:type="spellEnd"/>
      <w:r w:rsidR="00830308">
        <w:rPr>
          <w:rFonts w:eastAsia="Arial Unicode MS"/>
          <w:color w:val="000000" w:themeColor="text1"/>
          <w:lang w:val="en-US"/>
        </w:rPr>
        <w:t xml:space="preserve"> is an oxidation marker for </w:t>
      </w:r>
      <w:r w:rsidR="00736953" w:rsidRPr="00736953">
        <w:rPr>
          <w:rFonts w:ascii="Symbol" w:eastAsia="Arial Unicode MS" w:hAnsi="Symbol"/>
          <w:color w:val="000000" w:themeColor="text1"/>
          <w:lang w:val="en-US"/>
        </w:rPr>
        <w:t></w:t>
      </w:r>
      <w:r w:rsidR="00736953">
        <w:rPr>
          <w:rFonts w:eastAsia="Arial Unicode MS"/>
          <w:color w:val="000000" w:themeColor="text1"/>
          <w:lang w:val="en-US"/>
        </w:rPr>
        <w:t>6 linoleic acid only</w:t>
      </w:r>
      <w:r w:rsidR="00EC1E59">
        <w:rPr>
          <w:rFonts w:eastAsia="Arial Unicode MS"/>
          <w:color w:val="000000" w:themeColor="text1"/>
          <w:lang w:val="en-US"/>
        </w:rPr>
        <w:t xml:space="preserve">. This may suggest that whilst both the AP and the BHA/BHT are capable of stabilizing linoleic assay (as observed by the induction period for </w:t>
      </w:r>
      <w:proofErr w:type="spellStart"/>
      <w:r w:rsidR="00EC1E59">
        <w:rPr>
          <w:rFonts w:eastAsia="Arial Unicode MS"/>
          <w:color w:val="000000" w:themeColor="text1"/>
          <w:lang w:val="en-US"/>
        </w:rPr>
        <w:t>hexanal</w:t>
      </w:r>
      <w:proofErr w:type="spellEnd"/>
      <w:r w:rsidR="00EC1E59">
        <w:rPr>
          <w:rFonts w:eastAsia="Arial Unicode MS"/>
          <w:color w:val="000000" w:themeColor="text1"/>
          <w:lang w:val="en-US"/>
        </w:rPr>
        <w:t xml:space="preserve"> accumulation in </w:t>
      </w:r>
      <w:r w:rsidR="00EC1E59">
        <w:rPr>
          <w:rFonts w:eastAsia="Arial Unicode MS"/>
          <w:b/>
          <w:color w:val="000000" w:themeColor="text1"/>
          <w:lang w:val="en-US"/>
        </w:rPr>
        <w:t xml:space="preserve">Figure </w:t>
      </w:r>
      <w:r w:rsidR="00EB2E6C">
        <w:rPr>
          <w:rFonts w:eastAsia="Arial Unicode MS"/>
          <w:b/>
          <w:color w:val="000000" w:themeColor="text1"/>
          <w:lang w:val="en-US"/>
        </w:rPr>
        <w:t>2</w:t>
      </w:r>
      <w:r w:rsidR="00EC1E59">
        <w:rPr>
          <w:rFonts w:eastAsia="Arial Unicode MS"/>
          <w:color w:val="000000" w:themeColor="text1"/>
          <w:lang w:val="en-US"/>
        </w:rPr>
        <w:t>)</w:t>
      </w:r>
      <w:proofErr w:type="gramStart"/>
      <w:r w:rsidR="00EC1E59">
        <w:rPr>
          <w:rFonts w:eastAsia="Arial Unicode MS"/>
          <w:color w:val="000000" w:themeColor="text1"/>
          <w:lang w:val="en-US"/>
        </w:rPr>
        <w:t>,</w:t>
      </w:r>
      <w:proofErr w:type="gramEnd"/>
      <w:r w:rsidR="00EC1E59">
        <w:rPr>
          <w:rFonts w:eastAsia="Arial Unicode MS"/>
          <w:color w:val="000000" w:themeColor="text1"/>
          <w:lang w:val="en-US"/>
        </w:rPr>
        <w:t xml:space="preserve"> the AP is much more efficient at preventing the oxidation of </w:t>
      </w:r>
      <w:r w:rsidR="00EC1E59" w:rsidRPr="00EC1E59">
        <w:rPr>
          <w:rFonts w:ascii="Symbol" w:eastAsia="Arial Unicode MS" w:hAnsi="Symbol"/>
          <w:color w:val="000000" w:themeColor="text1"/>
          <w:lang w:val="en-US"/>
        </w:rPr>
        <w:t></w:t>
      </w:r>
      <w:r w:rsidR="00EC1E59">
        <w:rPr>
          <w:rFonts w:eastAsia="Arial Unicode MS"/>
          <w:color w:val="000000" w:themeColor="text1"/>
          <w:lang w:val="en-US"/>
        </w:rPr>
        <w:t>-</w:t>
      </w:r>
      <w:proofErr w:type="spellStart"/>
      <w:r w:rsidR="00EC1E59">
        <w:rPr>
          <w:rFonts w:eastAsia="Arial Unicode MS"/>
          <w:color w:val="000000" w:themeColor="text1"/>
          <w:lang w:val="en-US"/>
        </w:rPr>
        <w:t>linolenic</w:t>
      </w:r>
      <w:proofErr w:type="spellEnd"/>
      <w:r w:rsidR="00EC1E59">
        <w:rPr>
          <w:rFonts w:eastAsia="Arial Unicode MS"/>
          <w:color w:val="000000" w:themeColor="text1"/>
          <w:lang w:val="en-US"/>
        </w:rPr>
        <w:t xml:space="preserve"> acid (as observed by the induction period for </w:t>
      </w:r>
      <w:proofErr w:type="spellStart"/>
      <w:r w:rsidR="00EC1E59">
        <w:rPr>
          <w:rFonts w:eastAsia="Arial Unicode MS"/>
          <w:color w:val="000000" w:themeColor="text1"/>
          <w:lang w:val="en-US"/>
        </w:rPr>
        <w:t>hydroperoxides</w:t>
      </w:r>
      <w:proofErr w:type="spellEnd"/>
      <w:r w:rsidR="00EC1E59">
        <w:rPr>
          <w:rFonts w:eastAsia="Arial Unicode MS"/>
          <w:color w:val="000000" w:themeColor="text1"/>
          <w:lang w:val="en-US"/>
        </w:rPr>
        <w:t xml:space="preserve"> in </w:t>
      </w:r>
      <w:r w:rsidR="00EC1E59">
        <w:rPr>
          <w:rFonts w:eastAsia="Arial Unicode MS"/>
          <w:b/>
          <w:color w:val="000000" w:themeColor="text1"/>
          <w:lang w:val="en-US"/>
        </w:rPr>
        <w:t xml:space="preserve">Figure </w:t>
      </w:r>
      <w:r w:rsidR="00EB2E6C">
        <w:rPr>
          <w:rFonts w:eastAsia="Arial Unicode MS"/>
          <w:b/>
          <w:color w:val="000000" w:themeColor="text1"/>
          <w:lang w:val="en-US"/>
        </w:rPr>
        <w:t>1</w:t>
      </w:r>
      <w:r w:rsidR="00FC11AB">
        <w:rPr>
          <w:rFonts w:eastAsia="Arial Unicode MS"/>
          <w:color w:val="000000" w:themeColor="text1"/>
          <w:lang w:val="en-US"/>
        </w:rPr>
        <w:t xml:space="preserve">). The kinetics of </w:t>
      </w:r>
      <w:r w:rsidR="00FC11AB" w:rsidRPr="00FC11AB">
        <w:rPr>
          <w:rFonts w:ascii="Symbol" w:eastAsia="Arial Unicode MS" w:hAnsi="Symbol"/>
          <w:color w:val="000000" w:themeColor="text1"/>
          <w:lang w:val="en-US"/>
        </w:rPr>
        <w:t></w:t>
      </w:r>
      <w:r w:rsidR="00FC11AB">
        <w:rPr>
          <w:rFonts w:eastAsia="Arial Unicode MS"/>
          <w:color w:val="000000" w:themeColor="text1"/>
          <w:lang w:val="en-US"/>
        </w:rPr>
        <w:t>-</w:t>
      </w:r>
      <w:proofErr w:type="spellStart"/>
      <w:r w:rsidR="00FC11AB">
        <w:rPr>
          <w:rFonts w:eastAsia="Arial Unicode MS"/>
          <w:color w:val="000000" w:themeColor="text1"/>
          <w:lang w:val="en-US"/>
        </w:rPr>
        <w:t>linolenic</w:t>
      </w:r>
      <w:proofErr w:type="spellEnd"/>
      <w:r w:rsidR="00FC11AB">
        <w:rPr>
          <w:rFonts w:eastAsia="Arial Unicode MS"/>
          <w:color w:val="000000" w:themeColor="text1"/>
          <w:lang w:val="en-US"/>
        </w:rPr>
        <w:t xml:space="preserve"> acid oxidation </w:t>
      </w:r>
      <w:proofErr w:type="gramStart"/>
      <w:r w:rsidR="00FC11AB">
        <w:rPr>
          <w:rFonts w:eastAsia="Arial Unicode MS"/>
          <w:color w:val="000000" w:themeColor="text1"/>
          <w:lang w:val="en-US"/>
        </w:rPr>
        <w:t>are</w:t>
      </w:r>
      <w:proofErr w:type="gramEnd"/>
      <w:r w:rsidR="00FC11AB">
        <w:rPr>
          <w:rFonts w:eastAsia="Arial Unicode MS"/>
          <w:color w:val="000000" w:themeColor="text1"/>
          <w:lang w:val="en-US"/>
        </w:rPr>
        <w:t xml:space="preserve"> known to be much fast</w:t>
      </w:r>
      <w:r w:rsidR="009D70F4">
        <w:rPr>
          <w:rFonts w:eastAsia="Arial Unicode MS"/>
          <w:color w:val="000000" w:themeColor="text1"/>
          <w:lang w:val="en-US"/>
        </w:rPr>
        <w:t>er</w:t>
      </w:r>
      <w:r w:rsidR="00FC11AB">
        <w:rPr>
          <w:rFonts w:eastAsia="Arial Unicode MS"/>
          <w:color w:val="000000" w:themeColor="text1"/>
          <w:lang w:val="en-US"/>
        </w:rPr>
        <w:t xml:space="preserve"> than linoleic acid (and even more so than oleic acid). </w:t>
      </w:r>
      <w:r w:rsidR="000D69DB">
        <w:rPr>
          <w:lang w:val="en-US"/>
        </w:rPr>
        <w:t>Min &amp; Bradley (1992) determined the relative autoxidation rates of oleic (18:1) to linoleic (18:2), and linoleic (18:2) to a-</w:t>
      </w:r>
      <w:proofErr w:type="spellStart"/>
      <w:r w:rsidR="000D69DB">
        <w:rPr>
          <w:lang w:val="en-US"/>
        </w:rPr>
        <w:t>linolenic</w:t>
      </w:r>
      <w:proofErr w:type="spellEnd"/>
      <w:r w:rsidR="000D69DB">
        <w:rPr>
          <w:lang w:val="en-US"/>
        </w:rPr>
        <w:t xml:space="preserve"> (18:3) acids to be 1:40 and 50:100, respectively.</w:t>
      </w:r>
    </w:p>
    <w:p w:rsidR="001F4FD3" w:rsidRPr="00722C5B" w:rsidRDefault="001F4FD3" w:rsidP="001F4FD3">
      <w:pPr>
        <w:autoSpaceDE w:val="0"/>
        <w:autoSpaceDN w:val="0"/>
        <w:adjustRightInd w:val="0"/>
        <w:spacing w:line="480" w:lineRule="auto"/>
        <w:jc w:val="both"/>
        <w:rPr>
          <w:lang w:val="en-US"/>
        </w:rPr>
      </w:pPr>
    </w:p>
    <w:p w:rsidR="00F05C81" w:rsidRPr="00722C5B" w:rsidRDefault="00F05C81" w:rsidP="005C4A26">
      <w:pPr>
        <w:spacing w:line="480" w:lineRule="auto"/>
        <w:jc w:val="both"/>
        <w:rPr>
          <w:b/>
          <w:lang w:val="en-US" w:eastAsia="en-US"/>
        </w:rPr>
      </w:pPr>
      <w:r w:rsidRPr="00722C5B">
        <w:rPr>
          <w:b/>
          <w:lang w:val="en-US" w:eastAsia="en-US"/>
        </w:rPr>
        <w:t>Conclusions</w:t>
      </w:r>
    </w:p>
    <w:p w:rsidR="002D643B" w:rsidRPr="00722C5B" w:rsidRDefault="006708D5" w:rsidP="005C4A26">
      <w:pPr>
        <w:shd w:val="clear" w:color="auto" w:fill="FFFFFF"/>
        <w:spacing w:line="480" w:lineRule="auto"/>
        <w:jc w:val="both"/>
        <w:rPr>
          <w:rFonts w:eastAsia="Arial Unicode MS"/>
          <w:color w:val="000000" w:themeColor="text1"/>
          <w:lang w:val="en-US"/>
        </w:rPr>
      </w:pPr>
      <w:r>
        <w:rPr>
          <w:rFonts w:eastAsia="Arial Unicode MS"/>
          <w:color w:val="000000" w:themeColor="text1"/>
          <w:lang w:val="en-US"/>
        </w:rPr>
        <w:t xml:space="preserve">It was shown herein that highly unsaturated oils like SO are quite vulnerable to lipid oxidation when compared to HOSFO, which contain much lower quantities of linoleic acid and negligible amounts of </w:t>
      </w:r>
      <w:r w:rsidRPr="006708D5">
        <w:rPr>
          <w:rFonts w:ascii="Symbol" w:eastAsia="Arial Unicode MS" w:hAnsi="Symbol"/>
          <w:color w:val="000000" w:themeColor="text1"/>
          <w:lang w:val="en-US"/>
        </w:rPr>
        <w:t></w:t>
      </w:r>
      <w:r>
        <w:rPr>
          <w:rFonts w:eastAsia="Arial Unicode MS"/>
          <w:color w:val="000000" w:themeColor="text1"/>
          <w:lang w:val="en-US"/>
        </w:rPr>
        <w:t>-</w:t>
      </w:r>
      <w:proofErr w:type="spellStart"/>
      <w:r>
        <w:rPr>
          <w:rFonts w:eastAsia="Arial Unicode MS"/>
          <w:color w:val="000000" w:themeColor="text1"/>
          <w:lang w:val="en-US"/>
        </w:rPr>
        <w:t>linolenic</w:t>
      </w:r>
      <w:proofErr w:type="spellEnd"/>
      <w:r>
        <w:rPr>
          <w:rFonts w:eastAsia="Arial Unicode MS"/>
          <w:color w:val="000000" w:themeColor="text1"/>
          <w:lang w:val="en-US"/>
        </w:rPr>
        <w:t xml:space="preserve"> acid. Various antioxidant concentrations/mixtures were </w:t>
      </w:r>
      <w:r w:rsidR="001E5A9B">
        <w:rPr>
          <w:rFonts w:eastAsia="Arial Unicode MS"/>
          <w:color w:val="000000" w:themeColor="text1"/>
          <w:lang w:val="en-US"/>
        </w:rPr>
        <w:t xml:space="preserve">demonstrated </w:t>
      </w:r>
      <w:r>
        <w:rPr>
          <w:rFonts w:eastAsia="Arial Unicode MS"/>
          <w:color w:val="000000" w:themeColor="text1"/>
          <w:lang w:val="en-US"/>
        </w:rPr>
        <w:t xml:space="preserve">to prevent or delay the oxidation of SO during accelerated storage tests, but none were </w:t>
      </w:r>
      <w:r w:rsidR="001E5A9B">
        <w:rPr>
          <w:rFonts w:eastAsia="Arial Unicode MS"/>
          <w:color w:val="000000" w:themeColor="text1"/>
          <w:lang w:val="en-US"/>
        </w:rPr>
        <w:t xml:space="preserve">shown to be </w:t>
      </w:r>
      <w:r>
        <w:rPr>
          <w:rFonts w:eastAsia="Arial Unicode MS"/>
          <w:color w:val="000000" w:themeColor="text1"/>
          <w:lang w:val="en-US"/>
        </w:rPr>
        <w:t xml:space="preserve">as stable as HOSFO during the storage period. </w:t>
      </w:r>
      <w:r w:rsidRPr="00722C5B">
        <w:rPr>
          <w:rFonts w:eastAsia="Arial Unicode MS"/>
          <w:color w:val="000000" w:themeColor="text1"/>
          <w:lang w:val="en-US"/>
        </w:rPr>
        <w:t>A combination of AP</w:t>
      </w:r>
      <w:r w:rsidR="00A75ABE">
        <w:rPr>
          <w:rFonts w:eastAsia="Arial Unicode MS"/>
          <w:color w:val="000000" w:themeColor="text1"/>
          <w:lang w:val="en-US"/>
        </w:rPr>
        <w:t xml:space="preserve"> (300 ppm)</w:t>
      </w:r>
      <w:r w:rsidRPr="00722C5B">
        <w:rPr>
          <w:rFonts w:eastAsia="Arial Unicode MS"/>
          <w:color w:val="000000" w:themeColor="text1"/>
          <w:lang w:val="en-US"/>
        </w:rPr>
        <w:t xml:space="preserve"> and M-TOC </w:t>
      </w:r>
      <w:r w:rsidR="00A75ABE">
        <w:rPr>
          <w:rFonts w:eastAsia="Arial Unicode MS"/>
          <w:color w:val="000000" w:themeColor="text1"/>
          <w:lang w:val="en-US"/>
        </w:rPr>
        <w:t xml:space="preserve">(1000 ppm) </w:t>
      </w:r>
      <w:r w:rsidRPr="00722C5B">
        <w:rPr>
          <w:rFonts w:eastAsia="Arial Unicode MS"/>
          <w:color w:val="000000" w:themeColor="text1"/>
          <w:lang w:val="en-US"/>
        </w:rPr>
        <w:t xml:space="preserve">was able to limit both </w:t>
      </w:r>
      <w:proofErr w:type="spellStart"/>
      <w:r w:rsidRPr="00722C5B">
        <w:rPr>
          <w:rFonts w:eastAsia="Arial Unicode MS"/>
          <w:color w:val="000000" w:themeColor="text1"/>
          <w:lang w:val="en-US"/>
        </w:rPr>
        <w:t>hydroperoxide</w:t>
      </w:r>
      <w:proofErr w:type="spellEnd"/>
      <w:r w:rsidRPr="00722C5B">
        <w:rPr>
          <w:rFonts w:eastAsia="Arial Unicode MS"/>
          <w:color w:val="000000" w:themeColor="text1"/>
          <w:lang w:val="en-US"/>
        </w:rPr>
        <w:t xml:space="preserve"> an</w:t>
      </w:r>
      <w:r w:rsidR="0006576F">
        <w:rPr>
          <w:rFonts w:eastAsia="Arial Unicode MS"/>
          <w:color w:val="000000" w:themeColor="text1"/>
          <w:lang w:val="en-US"/>
        </w:rPr>
        <w:t xml:space="preserve">d </w:t>
      </w:r>
      <w:proofErr w:type="spellStart"/>
      <w:r w:rsidR="0006576F">
        <w:rPr>
          <w:rFonts w:eastAsia="Arial Unicode MS"/>
          <w:color w:val="000000" w:themeColor="text1"/>
          <w:lang w:val="en-US"/>
        </w:rPr>
        <w:t>hexanal</w:t>
      </w:r>
      <w:proofErr w:type="spellEnd"/>
      <w:r w:rsidR="0006576F">
        <w:rPr>
          <w:rFonts w:eastAsia="Arial Unicode MS"/>
          <w:color w:val="000000" w:themeColor="text1"/>
          <w:lang w:val="en-US"/>
        </w:rPr>
        <w:t xml:space="preserve"> formation in SO </w:t>
      </w:r>
      <w:r w:rsidR="001E5A9B">
        <w:rPr>
          <w:rFonts w:eastAsia="Arial Unicode MS"/>
          <w:color w:val="000000" w:themeColor="text1"/>
          <w:lang w:val="en-US"/>
        </w:rPr>
        <w:t xml:space="preserve">stored </w:t>
      </w:r>
      <w:r w:rsidR="0006576F">
        <w:rPr>
          <w:rFonts w:eastAsia="Arial Unicode MS"/>
          <w:color w:val="000000" w:themeColor="text1"/>
          <w:lang w:val="en-US"/>
        </w:rPr>
        <w:t>at 35 °C for up to 12 weeks (equivalent to ~</w:t>
      </w:r>
      <w:r w:rsidR="00A75ABE">
        <w:rPr>
          <w:rFonts w:eastAsia="Arial Unicode MS"/>
          <w:color w:val="000000" w:themeColor="text1"/>
          <w:lang w:val="en-US"/>
        </w:rPr>
        <w:t xml:space="preserve"> </w:t>
      </w:r>
      <w:r w:rsidR="0006576F">
        <w:rPr>
          <w:rFonts w:eastAsia="Arial Unicode MS"/>
          <w:color w:val="000000" w:themeColor="text1"/>
          <w:lang w:val="en-US"/>
        </w:rPr>
        <w:t>12 </w:t>
      </w:r>
      <w:r w:rsidRPr="00722C5B">
        <w:rPr>
          <w:rFonts w:eastAsia="Arial Unicode MS"/>
          <w:color w:val="000000" w:themeColor="text1"/>
          <w:lang w:val="en-US"/>
        </w:rPr>
        <w:t>mont</w:t>
      </w:r>
      <w:r w:rsidR="0006576F">
        <w:rPr>
          <w:rFonts w:eastAsia="Arial Unicode MS"/>
          <w:color w:val="000000" w:themeColor="text1"/>
          <w:lang w:val="en-US"/>
        </w:rPr>
        <w:t xml:space="preserve">hs at </w:t>
      </w:r>
      <w:r w:rsidR="001E5A9B">
        <w:rPr>
          <w:rFonts w:eastAsia="Arial Unicode MS"/>
          <w:color w:val="000000" w:themeColor="text1"/>
          <w:lang w:val="en-US"/>
        </w:rPr>
        <w:t>ambient temperatures</w:t>
      </w:r>
      <w:r w:rsidRPr="00722C5B">
        <w:rPr>
          <w:rFonts w:eastAsia="Arial Unicode MS"/>
          <w:color w:val="000000" w:themeColor="text1"/>
          <w:lang w:val="en-US"/>
        </w:rPr>
        <w:t>)</w:t>
      </w:r>
      <w:r w:rsidR="00A75ABE">
        <w:rPr>
          <w:rFonts w:eastAsia="Arial Unicode MS"/>
          <w:color w:val="000000" w:themeColor="text1"/>
          <w:lang w:val="en-US"/>
        </w:rPr>
        <w:t xml:space="preserve"> </w:t>
      </w:r>
      <w:r w:rsidR="00A75ABE" w:rsidRPr="00A75ABE">
        <w:rPr>
          <w:rFonts w:eastAsia="Arial Unicode MS"/>
          <w:color w:val="000000" w:themeColor="text1"/>
          <w:lang w:val="en-US"/>
        </w:rPr>
        <w:t xml:space="preserve">making this </w:t>
      </w:r>
      <w:r w:rsidR="00A75ABE">
        <w:rPr>
          <w:rFonts w:eastAsia="Arial Unicode MS"/>
          <w:color w:val="000000" w:themeColor="text1"/>
          <w:lang w:val="en-US"/>
        </w:rPr>
        <w:t>a promising industrially relevant antioxidant mixture</w:t>
      </w:r>
      <w:r w:rsidR="00A75ABE" w:rsidRPr="00A75ABE">
        <w:rPr>
          <w:rFonts w:eastAsia="Arial Unicode MS"/>
          <w:color w:val="000000" w:themeColor="text1"/>
          <w:lang w:val="en-US"/>
        </w:rPr>
        <w:t xml:space="preserve"> for </w:t>
      </w:r>
      <w:r w:rsidR="00A75ABE">
        <w:rPr>
          <w:rFonts w:eastAsia="Arial Unicode MS"/>
          <w:color w:val="000000" w:themeColor="text1"/>
          <w:lang w:val="en-US"/>
        </w:rPr>
        <w:t>SO</w:t>
      </w:r>
      <w:r w:rsidRPr="00722C5B">
        <w:rPr>
          <w:rFonts w:eastAsia="Arial Unicode MS"/>
          <w:color w:val="000000" w:themeColor="text1"/>
          <w:lang w:val="en-US"/>
        </w:rPr>
        <w:t>.</w:t>
      </w:r>
      <w:r>
        <w:rPr>
          <w:rFonts w:eastAsia="Arial Unicode MS"/>
          <w:color w:val="000000" w:themeColor="text1"/>
          <w:lang w:val="en-US"/>
        </w:rPr>
        <w:t xml:space="preserve"> </w:t>
      </w:r>
      <w:r w:rsidR="001E5A9B">
        <w:rPr>
          <w:rFonts w:eastAsia="Arial Unicode MS"/>
          <w:color w:val="000000" w:themeColor="text1"/>
          <w:lang w:val="en-US"/>
        </w:rPr>
        <w:t>Lastly, t</w:t>
      </w:r>
      <w:r>
        <w:rPr>
          <w:rFonts w:eastAsia="Arial Unicode MS"/>
          <w:color w:val="000000" w:themeColor="text1"/>
          <w:lang w:val="en-US"/>
        </w:rPr>
        <w:t>he results of the various lipid oxidation assays employed herein demonstrate t</w:t>
      </w:r>
      <w:r w:rsidR="00722C5B" w:rsidRPr="00722C5B">
        <w:rPr>
          <w:rFonts w:eastAsia="Arial Unicode MS"/>
          <w:color w:val="000000" w:themeColor="text1"/>
          <w:lang w:val="en-US"/>
        </w:rPr>
        <w:t>hat when assessing</w:t>
      </w:r>
      <w:r>
        <w:rPr>
          <w:rFonts w:eastAsia="Arial Unicode MS"/>
          <w:color w:val="000000" w:themeColor="text1"/>
          <w:lang w:val="en-US"/>
        </w:rPr>
        <w:t xml:space="preserve"> the efficacy of approaches for lipid stabilization, </w:t>
      </w:r>
      <w:r w:rsidR="00722C5B" w:rsidRPr="00722C5B">
        <w:rPr>
          <w:rFonts w:eastAsia="Arial Unicode MS"/>
          <w:color w:val="000000" w:themeColor="text1"/>
          <w:lang w:val="en-US"/>
        </w:rPr>
        <w:t>a variety of anal</w:t>
      </w:r>
      <w:r w:rsidR="00722C5B">
        <w:rPr>
          <w:rFonts w:eastAsia="Arial Unicode MS"/>
          <w:color w:val="000000" w:themeColor="text1"/>
          <w:lang w:val="en-US"/>
        </w:rPr>
        <w:t xml:space="preserve">ytical techniques </w:t>
      </w:r>
      <w:r>
        <w:rPr>
          <w:rFonts w:eastAsia="Arial Unicode MS"/>
          <w:color w:val="000000" w:themeColor="text1"/>
          <w:lang w:val="en-US"/>
        </w:rPr>
        <w:t>must be employed in order to determine their mechanism of action.</w:t>
      </w:r>
      <w:r w:rsidR="001E5A9B">
        <w:rPr>
          <w:rFonts w:eastAsia="Arial Unicode MS"/>
          <w:color w:val="000000" w:themeColor="text1"/>
          <w:lang w:val="en-US"/>
        </w:rPr>
        <w:t xml:space="preserve"> In other words, </w:t>
      </w:r>
      <w:r w:rsidR="001E5A9B">
        <w:rPr>
          <w:rFonts w:eastAsia="Arial Unicode MS"/>
          <w:color w:val="000000" w:themeColor="text1"/>
          <w:lang w:val="en-US"/>
        </w:rPr>
        <w:lastRenderedPageBreak/>
        <w:t>as there is no ‘universal’ marker to explain such a complex process as lipid oxidation, screening oils according to only one quality parameter (</w:t>
      </w:r>
      <w:r w:rsidR="001E5A9B">
        <w:rPr>
          <w:rFonts w:eastAsia="Arial Unicode MS"/>
          <w:i/>
          <w:color w:val="000000" w:themeColor="text1"/>
          <w:lang w:val="en-US"/>
        </w:rPr>
        <w:t>e.g.</w:t>
      </w:r>
      <w:r w:rsidR="001E5A9B">
        <w:rPr>
          <w:rFonts w:eastAsia="Arial Unicode MS"/>
          <w:color w:val="000000" w:themeColor="text1"/>
          <w:lang w:val="en-US"/>
        </w:rPr>
        <w:t xml:space="preserve"> </w:t>
      </w:r>
      <w:proofErr w:type="spellStart"/>
      <w:r w:rsidR="001E5A9B">
        <w:rPr>
          <w:rFonts w:eastAsia="Arial Unicode MS"/>
          <w:color w:val="000000" w:themeColor="text1"/>
          <w:lang w:val="en-US"/>
        </w:rPr>
        <w:t>Rancimat</w:t>
      </w:r>
      <w:proofErr w:type="spellEnd"/>
      <w:r w:rsidR="001E5A9B">
        <w:rPr>
          <w:rFonts w:eastAsia="Arial Unicode MS"/>
          <w:color w:val="000000" w:themeColor="text1"/>
          <w:lang w:val="en-US"/>
        </w:rPr>
        <w:t xml:space="preserve">) is insufficient. </w:t>
      </w:r>
    </w:p>
    <w:p w:rsidR="0043678E" w:rsidRPr="00722C5B" w:rsidRDefault="0043678E" w:rsidP="005C4A26">
      <w:pPr>
        <w:spacing w:line="480" w:lineRule="auto"/>
        <w:jc w:val="both"/>
        <w:rPr>
          <w:lang w:val="en-US" w:eastAsia="en-US"/>
        </w:rPr>
      </w:pPr>
    </w:p>
    <w:p w:rsidR="00D37F62" w:rsidRPr="00722C5B" w:rsidRDefault="00D37F62" w:rsidP="00314634">
      <w:pPr>
        <w:spacing w:line="480" w:lineRule="auto"/>
        <w:jc w:val="both"/>
        <w:rPr>
          <w:b/>
          <w:lang w:val="en-US"/>
        </w:rPr>
      </w:pPr>
      <w:r w:rsidRPr="00722C5B">
        <w:rPr>
          <w:b/>
          <w:lang w:val="en-US"/>
        </w:rPr>
        <w:t>References</w:t>
      </w:r>
    </w:p>
    <w:p w:rsidR="009C7F28" w:rsidRPr="00722C5B" w:rsidRDefault="009C7F28" w:rsidP="00314634">
      <w:pPr>
        <w:spacing w:line="480" w:lineRule="auto"/>
        <w:ind w:left="284" w:hanging="284"/>
        <w:jc w:val="both"/>
        <w:rPr>
          <w:lang w:val="en-US"/>
        </w:rPr>
      </w:pPr>
      <w:bookmarkStart w:id="2" w:name="OLE_LINK1"/>
      <w:bookmarkStart w:id="3" w:name="OLE_LINK2"/>
      <w:proofErr w:type="gramStart"/>
      <w:r w:rsidRPr="00722C5B">
        <w:rPr>
          <w:lang w:val="en-US"/>
        </w:rPr>
        <w:t>AOAC 2012.13 (2012)</w:t>
      </w:r>
      <w:bookmarkEnd w:id="2"/>
      <w:bookmarkEnd w:id="3"/>
      <w:r w:rsidR="00CD1DA6" w:rsidRPr="00722C5B">
        <w:rPr>
          <w:lang w:val="en-US"/>
        </w:rPr>
        <w:t>.</w:t>
      </w:r>
      <w:proofErr w:type="gramEnd"/>
      <w:r w:rsidR="00CD1DA6" w:rsidRPr="00722C5B">
        <w:rPr>
          <w:lang w:val="en-US"/>
        </w:rPr>
        <w:t xml:space="preserve"> </w:t>
      </w:r>
      <w:r w:rsidR="003D4346" w:rsidRPr="00722C5B">
        <w:rPr>
          <w:lang w:val="en-US"/>
        </w:rPr>
        <w:t>Determination of l</w:t>
      </w:r>
      <w:r w:rsidR="00CD1DA6" w:rsidRPr="00722C5B">
        <w:rPr>
          <w:lang w:val="en-US"/>
        </w:rPr>
        <w:t>abeled fatty acids content in m</w:t>
      </w:r>
      <w:r w:rsidR="003D4346" w:rsidRPr="00722C5B">
        <w:rPr>
          <w:lang w:val="en-US"/>
        </w:rPr>
        <w:t>ilk products and infant formula: Capillary gas chromatography – First action</w:t>
      </w:r>
      <w:r w:rsidR="002D0628" w:rsidRPr="00722C5B">
        <w:rPr>
          <w:lang w:val="en-US"/>
        </w:rPr>
        <w:t xml:space="preserve">. Maryland, USA: </w:t>
      </w:r>
      <w:r w:rsidR="0076776B" w:rsidRPr="00722C5B">
        <w:rPr>
          <w:lang w:val="en-US"/>
        </w:rPr>
        <w:t xml:space="preserve">Association of Official Analytical Chemists (AOAC) </w:t>
      </w:r>
      <w:r w:rsidR="002D0628" w:rsidRPr="00722C5B">
        <w:rPr>
          <w:lang w:val="en-US"/>
        </w:rPr>
        <w:t>Internatio</w:t>
      </w:r>
      <w:r w:rsidR="0076776B" w:rsidRPr="00722C5B">
        <w:rPr>
          <w:lang w:val="en-US"/>
        </w:rPr>
        <w:t>nal.</w:t>
      </w:r>
    </w:p>
    <w:p w:rsidR="00C97BB3" w:rsidRPr="00722C5B" w:rsidRDefault="00C97BB3" w:rsidP="00314634">
      <w:pPr>
        <w:spacing w:line="480" w:lineRule="auto"/>
        <w:ind w:left="284" w:hanging="284"/>
        <w:jc w:val="both"/>
        <w:rPr>
          <w:lang w:val="en-US"/>
        </w:rPr>
      </w:pPr>
      <w:proofErr w:type="gramStart"/>
      <w:r w:rsidRPr="00722C5B">
        <w:rPr>
          <w:lang w:val="en-US"/>
        </w:rPr>
        <w:t>AOCS Cd 8b-90 (2011)</w:t>
      </w:r>
      <w:r w:rsidR="00D03872" w:rsidRPr="00722C5B">
        <w:rPr>
          <w:lang w:val="en-US"/>
        </w:rPr>
        <w:t>.</w:t>
      </w:r>
      <w:proofErr w:type="gramEnd"/>
      <w:r w:rsidR="00D03872" w:rsidRPr="00722C5B">
        <w:rPr>
          <w:lang w:val="en-US"/>
        </w:rPr>
        <w:t xml:space="preserve"> </w:t>
      </w:r>
      <w:r w:rsidR="00314634" w:rsidRPr="00722C5B">
        <w:rPr>
          <w:lang w:val="en-US"/>
        </w:rPr>
        <w:t xml:space="preserve">Peroxide value acetic acid-isooctane method. </w:t>
      </w:r>
      <w:r w:rsidR="0076776B" w:rsidRPr="00722C5B">
        <w:rPr>
          <w:lang w:val="en-US"/>
        </w:rPr>
        <w:t>Illinois, USA: American Oil Chemists’ Society (AOCS).</w:t>
      </w:r>
    </w:p>
    <w:p w:rsidR="00422750" w:rsidRPr="00722C5B" w:rsidRDefault="00422750" w:rsidP="00314634">
      <w:pPr>
        <w:spacing w:line="480" w:lineRule="auto"/>
        <w:ind w:left="284" w:hanging="284"/>
        <w:jc w:val="both"/>
        <w:rPr>
          <w:lang w:val="en-US"/>
        </w:rPr>
      </w:pPr>
      <w:proofErr w:type="spellStart"/>
      <w:proofErr w:type="gramStart"/>
      <w:r w:rsidRPr="00722C5B">
        <w:rPr>
          <w:lang w:val="en-US"/>
        </w:rPr>
        <w:t>Beddows</w:t>
      </w:r>
      <w:proofErr w:type="spellEnd"/>
      <w:r w:rsidRPr="00722C5B">
        <w:rPr>
          <w:lang w:val="en-US"/>
        </w:rPr>
        <w:t>, C. G.</w:t>
      </w:r>
      <w:r w:rsidR="00B81F43" w:rsidRPr="00722C5B">
        <w:rPr>
          <w:lang w:val="en-US"/>
        </w:rPr>
        <w:t>,</w:t>
      </w:r>
      <w:r w:rsidRPr="00722C5B">
        <w:rPr>
          <w:lang w:val="en-US"/>
        </w:rPr>
        <w:t xml:space="preserve"> </w:t>
      </w:r>
      <w:proofErr w:type="spellStart"/>
      <w:r w:rsidRPr="00722C5B">
        <w:rPr>
          <w:lang w:val="en-US"/>
        </w:rPr>
        <w:t>Jagait</w:t>
      </w:r>
      <w:proofErr w:type="spellEnd"/>
      <w:r w:rsidRPr="00722C5B">
        <w:rPr>
          <w:lang w:val="en-US"/>
        </w:rPr>
        <w:t>, C. &amp; Kelly, M. J. (2001).</w:t>
      </w:r>
      <w:proofErr w:type="gramEnd"/>
      <w:r w:rsidRPr="00722C5B">
        <w:rPr>
          <w:lang w:val="en-US"/>
        </w:rPr>
        <w:t xml:space="preserve"> </w:t>
      </w:r>
      <w:proofErr w:type="gramStart"/>
      <w:r w:rsidRPr="00722C5B">
        <w:rPr>
          <w:lang w:val="en-US"/>
        </w:rPr>
        <w:t xml:space="preserve">Effect of </w:t>
      </w:r>
      <w:proofErr w:type="spellStart"/>
      <w:r w:rsidRPr="00722C5B">
        <w:rPr>
          <w:lang w:val="en-US"/>
        </w:rPr>
        <w:t>ascorbyl</w:t>
      </w:r>
      <w:proofErr w:type="spellEnd"/>
      <w:r w:rsidRPr="00722C5B">
        <w:rPr>
          <w:lang w:val="en-US"/>
        </w:rPr>
        <w:t xml:space="preserve"> </w:t>
      </w:r>
      <w:proofErr w:type="spellStart"/>
      <w:r w:rsidRPr="00722C5B">
        <w:rPr>
          <w:lang w:val="en-US"/>
        </w:rPr>
        <w:t>palmitate</w:t>
      </w:r>
      <w:proofErr w:type="spellEnd"/>
      <w:r w:rsidRPr="00722C5B">
        <w:rPr>
          <w:lang w:val="en-US"/>
        </w:rPr>
        <w:t xml:space="preserve"> on the preservation </w:t>
      </w:r>
      <w:r w:rsidR="0004799B" w:rsidRPr="00722C5B">
        <w:rPr>
          <w:lang w:val="en-US"/>
        </w:rPr>
        <w:t xml:space="preserve">of </w:t>
      </w:r>
      <w:r w:rsidR="00314634" w:rsidRPr="00722C5B">
        <w:rPr>
          <w:rFonts w:ascii="Symbol" w:hAnsi="Symbol"/>
          <w:lang w:val="en-US"/>
        </w:rPr>
        <w:t></w:t>
      </w:r>
      <w:r w:rsidR="0004799B" w:rsidRPr="00722C5B">
        <w:rPr>
          <w:lang w:val="en-US"/>
        </w:rPr>
        <w:t>-</w:t>
      </w:r>
      <w:proofErr w:type="spellStart"/>
      <w:r w:rsidR="0004799B" w:rsidRPr="00722C5B">
        <w:rPr>
          <w:lang w:val="en-US"/>
        </w:rPr>
        <w:t>tocopherol</w:t>
      </w:r>
      <w:proofErr w:type="spellEnd"/>
      <w:r w:rsidR="0004799B" w:rsidRPr="00722C5B">
        <w:rPr>
          <w:lang w:val="en-US"/>
        </w:rPr>
        <w:t xml:space="preserve"> in sunflower oil, alone and with herbs and spices.</w:t>
      </w:r>
      <w:proofErr w:type="gramEnd"/>
      <w:r w:rsidR="0004799B" w:rsidRPr="00722C5B">
        <w:rPr>
          <w:lang w:val="en-US"/>
        </w:rPr>
        <w:t xml:space="preserve"> </w:t>
      </w:r>
      <w:r w:rsidR="0004799B" w:rsidRPr="00722C5B">
        <w:rPr>
          <w:i/>
          <w:lang w:val="en-US"/>
        </w:rPr>
        <w:t>Food Chemistry</w:t>
      </w:r>
      <w:r w:rsidR="0004799B" w:rsidRPr="00722C5B">
        <w:rPr>
          <w:lang w:val="en-US"/>
        </w:rPr>
        <w:t xml:space="preserve">, </w:t>
      </w:r>
      <w:r w:rsidR="0004799B" w:rsidRPr="00722C5B">
        <w:rPr>
          <w:b/>
          <w:lang w:val="en-US"/>
        </w:rPr>
        <w:t xml:space="preserve">73, </w:t>
      </w:r>
      <w:r w:rsidR="0004799B" w:rsidRPr="00722C5B">
        <w:rPr>
          <w:lang w:val="en-US"/>
        </w:rPr>
        <w:t>255-261.</w:t>
      </w:r>
    </w:p>
    <w:p w:rsidR="0004799B" w:rsidRPr="00722C5B" w:rsidRDefault="0004799B" w:rsidP="00314634">
      <w:pPr>
        <w:spacing w:line="480" w:lineRule="auto"/>
        <w:ind w:left="284" w:hanging="284"/>
        <w:jc w:val="both"/>
        <w:rPr>
          <w:lang w:val="en-US"/>
        </w:rPr>
      </w:pPr>
      <w:proofErr w:type="gramStart"/>
      <w:r w:rsidRPr="00722C5B">
        <w:rPr>
          <w:lang w:val="en-US"/>
        </w:rPr>
        <w:t>Connor, W. E. (1999).</w:t>
      </w:r>
      <w:proofErr w:type="gramEnd"/>
      <w:r w:rsidRPr="00722C5B">
        <w:rPr>
          <w:lang w:val="en-US"/>
        </w:rPr>
        <w:t xml:space="preserve"> </w:t>
      </w:r>
      <w:proofErr w:type="gramStart"/>
      <w:r w:rsidRPr="00722C5B">
        <w:rPr>
          <w:lang w:val="en-US"/>
        </w:rPr>
        <w:t>Alpha-</w:t>
      </w:r>
      <w:proofErr w:type="spellStart"/>
      <w:r w:rsidRPr="00722C5B">
        <w:rPr>
          <w:lang w:val="en-US"/>
        </w:rPr>
        <w:t>linolenic</w:t>
      </w:r>
      <w:proofErr w:type="spellEnd"/>
      <w:r w:rsidRPr="00722C5B">
        <w:rPr>
          <w:lang w:val="en-US"/>
        </w:rPr>
        <w:t xml:space="preserve"> acid in health and disease.</w:t>
      </w:r>
      <w:proofErr w:type="gramEnd"/>
      <w:r w:rsidRPr="00722C5B">
        <w:rPr>
          <w:lang w:val="en-US"/>
        </w:rPr>
        <w:t xml:space="preserve"> </w:t>
      </w:r>
      <w:r w:rsidRPr="00722C5B">
        <w:rPr>
          <w:i/>
          <w:lang w:val="en-US"/>
        </w:rPr>
        <w:t>American Journal of Clinical Nutrition</w:t>
      </w:r>
      <w:r w:rsidRPr="00722C5B">
        <w:rPr>
          <w:lang w:val="en-US"/>
        </w:rPr>
        <w:t xml:space="preserve">, </w:t>
      </w:r>
      <w:r w:rsidRPr="00722C5B">
        <w:rPr>
          <w:b/>
          <w:lang w:val="en-US"/>
        </w:rPr>
        <w:t>69,</w:t>
      </w:r>
      <w:r w:rsidRPr="00722C5B">
        <w:rPr>
          <w:lang w:val="en-US"/>
        </w:rPr>
        <w:t xml:space="preserve"> 827-828.</w:t>
      </w:r>
    </w:p>
    <w:p w:rsidR="00144276" w:rsidRPr="00722C5B" w:rsidRDefault="00144276" w:rsidP="00314634">
      <w:pPr>
        <w:shd w:val="clear" w:color="auto" w:fill="FFFFFF" w:themeFill="background1"/>
        <w:spacing w:line="480" w:lineRule="auto"/>
        <w:ind w:left="284" w:hanging="284"/>
        <w:jc w:val="both"/>
        <w:rPr>
          <w:shd w:val="clear" w:color="auto" w:fill="FFFFFF" w:themeFill="background1"/>
          <w:lang w:val="en-US"/>
        </w:rPr>
      </w:pPr>
      <w:proofErr w:type="gramStart"/>
      <w:r w:rsidRPr="00722C5B">
        <w:rPr>
          <w:shd w:val="clear" w:color="auto" w:fill="FFFFFF" w:themeFill="background1"/>
          <w:lang w:val="en-US"/>
        </w:rPr>
        <w:t>EU.</w:t>
      </w:r>
      <w:proofErr w:type="gramEnd"/>
      <w:r w:rsidRPr="00722C5B">
        <w:rPr>
          <w:shd w:val="clear" w:color="auto" w:fill="FFFFFF" w:themeFill="background1"/>
          <w:lang w:val="en-US"/>
        </w:rPr>
        <w:t xml:space="preserve"> </w:t>
      </w:r>
      <w:proofErr w:type="gramStart"/>
      <w:r w:rsidRPr="00722C5B">
        <w:rPr>
          <w:shd w:val="clear" w:color="auto" w:fill="FFFFFF" w:themeFill="background1"/>
          <w:lang w:val="en-US"/>
        </w:rPr>
        <w:t xml:space="preserve">(2010). </w:t>
      </w:r>
      <w:proofErr w:type="spellStart"/>
      <w:r w:rsidRPr="00722C5B">
        <w:rPr>
          <w:shd w:val="clear" w:color="auto" w:fill="FFFFFF" w:themeFill="background1"/>
          <w:lang w:val="en-US"/>
        </w:rPr>
        <w:t>Commision</w:t>
      </w:r>
      <w:proofErr w:type="spellEnd"/>
      <w:r w:rsidRPr="00722C5B">
        <w:rPr>
          <w:shd w:val="clear" w:color="auto" w:fill="FFFFFF" w:themeFill="background1"/>
          <w:lang w:val="en-US"/>
        </w:rPr>
        <w:t xml:space="preserve"> Directive 2010/69/EU.</w:t>
      </w:r>
      <w:proofErr w:type="gramEnd"/>
      <w:r w:rsidRPr="00722C5B">
        <w:rPr>
          <w:shd w:val="clear" w:color="auto" w:fill="FFFFFF" w:themeFill="background1"/>
          <w:lang w:val="en-US"/>
        </w:rPr>
        <w:t xml:space="preserve"> </w:t>
      </w:r>
      <w:proofErr w:type="gramStart"/>
      <w:r w:rsidRPr="00722C5B">
        <w:rPr>
          <w:i/>
          <w:shd w:val="clear" w:color="auto" w:fill="FFFFFF" w:themeFill="background1"/>
          <w:lang w:val="en-US"/>
        </w:rPr>
        <w:t>Official Journal of the European Union</w:t>
      </w:r>
      <w:r w:rsidRPr="00722C5B">
        <w:rPr>
          <w:shd w:val="clear" w:color="auto" w:fill="FFFFFF" w:themeFill="background1"/>
          <w:lang w:val="en-US"/>
        </w:rPr>
        <w:t>.</w:t>
      </w:r>
      <w:proofErr w:type="gramEnd"/>
      <w:r w:rsidRPr="00722C5B">
        <w:rPr>
          <w:shd w:val="clear" w:color="auto" w:fill="FFFFFF" w:themeFill="background1"/>
          <w:lang w:val="en-US"/>
        </w:rPr>
        <w:t xml:space="preserve"> </w:t>
      </w:r>
      <w:r w:rsidRPr="00722C5B">
        <w:rPr>
          <w:b/>
          <w:shd w:val="clear" w:color="auto" w:fill="FFFFFF" w:themeFill="background1"/>
          <w:lang w:val="en-US"/>
        </w:rPr>
        <w:t>I 279</w:t>
      </w:r>
      <w:r w:rsidRPr="00722C5B">
        <w:rPr>
          <w:shd w:val="clear" w:color="auto" w:fill="FFFFFF" w:themeFill="background1"/>
          <w:lang w:val="en-US"/>
        </w:rPr>
        <w:t>, 22-31</w:t>
      </w:r>
    </w:p>
    <w:p w:rsidR="003B2513" w:rsidRPr="00722C5B" w:rsidRDefault="003B2513" w:rsidP="00314634">
      <w:pPr>
        <w:shd w:val="clear" w:color="auto" w:fill="FFFFFF" w:themeFill="background1"/>
        <w:spacing w:line="480" w:lineRule="auto"/>
        <w:ind w:left="284" w:hanging="284"/>
        <w:jc w:val="both"/>
        <w:rPr>
          <w:lang w:val="en-US"/>
        </w:rPr>
      </w:pPr>
      <w:r w:rsidRPr="00722C5B">
        <w:rPr>
          <w:shd w:val="clear" w:color="auto" w:fill="FFFFFF" w:themeFill="background1"/>
          <w:lang w:val="en-US"/>
        </w:rPr>
        <w:t>Frankel, E. N. (</w:t>
      </w:r>
      <w:r w:rsidR="00A40297" w:rsidRPr="00722C5B">
        <w:rPr>
          <w:shd w:val="clear" w:color="auto" w:fill="FFFFFF" w:themeFill="background1"/>
          <w:lang w:val="en-US"/>
        </w:rPr>
        <w:t>2005</w:t>
      </w:r>
      <w:r w:rsidRPr="00722C5B">
        <w:rPr>
          <w:shd w:val="clear" w:color="auto" w:fill="FFFFFF" w:themeFill="background1"/>
          <w:lang w:val="en-US"/>
        </w:rPr>
        <w:t xml:space="preserve">). </w:t>
      </w:r>
      <w:r w:rsidRPr="00722C5B">
        <w:rPr>
          <w:i/>
          <w:shd w:val="clear" w:color="auto" w:fill="FFFFFF" w:themeFill="background1"/>
          <w:lang w:val="en-US"/>
        </w:rPr>
        <w:t>Lipid Oxidation</w:t>
      </w:r>
      <w:r w:rsidR="00A40297" w:rsidRPr="00722C5B">
        <w:rPr>
          <w:shd w:val="clear" w:color="auto" w:fill="FFFFFF" w:themeFill="background1"/>
          <w:lang w:val="en-US"/>
        </w:rPr>
        <w:t>,</w:t>
      </w:r>
      <w:r w:rsidRPr="00722C5B">
        <w:rPr>
          <w:shd w:val="clear" w:color="auto" w:fill="FFFFFF" w:themeFill="background1"/>
          <w:lang w:val="en-US"/>
        </w:rPr>
        <w:t xml:space="preserve"> </w:t>
      </w:r>
      <w:r w:rsidR="00A40297" w:rsidRPr="00722C5B">
        <w:rPr>
          <w:shd w:val="clear" w:color="auto" w:fill="FFFFFF" w:themeFill="background1"/>
          <w:lang w:val="en-US"/>
        </w:rPr>
        <w:t xml:space="preserve">2nd </w:t>
      </w:r>
      <w:proofErr w:type="spellStart"/>
      <w:r w:rsidR="00A40297" w:rsidRPr="00722C5B">
        <w:rPr>
          <w:shd w:val="clear" w:color="auto" w:fill="FFFFFF" w:themeFill="background1"/>
          <w:lang w:val="en-US"/>
        </w:rPr>
        <w:t>edn</w:t>
      </w:r>
      <w:proofErr w:type="spellEnd"/>
      <w:r w:rsidR="00A40297" w:rsidRPr="00722C5B">
        <w:rPr>
          <w:shd w:val="clear" w:color="auto" w:fill="FFFFFF" w:themeFill="background1"/>
          <w:lang w:val="en-US"/>
        </w:rPr>
        <w:t>. Dundee, Scotland: The Oily Press Ltd</w:t>
      </w:r>
      <w:r w:rsidRPr="00722C5B">
        <w:rPr>
          <w:shd w:val="clear" w:color="auto" w:fill="FFFFFF" w:themeFill="background1"/>
          <w:lang w:val="en-US"/>
        </w:rPr>
        <w:t>.</w:t>
      </w:r>
    </w:p>
    <w:p w:rsidR="003B2513" w:rsidRPr="00722C5B" w:rsidRDefault="003B2513" w:rsidP="00314634">
      <w:pPr>
        <w:spacing w:line="480" w:lineRule="auto"/>
        <w:ind w:left="284" w:hanging="284"/>
        <w:jc w:val="both"/>
        <w:rPr>
          <w:lang w:val="en-US"/>
        </w:rPr>
      </w:pPr>
      <w:proofErr w:type="spellStart"/>
      <w:r w:rsidRPr="00722C5B">
        <w:rPr>
          <w:lang w:val="en-US"/>
        </w:rPr>
        <w:t>Giuffrida</w:t>
      </w:r>
      <w:proofErr w:type="spellEnd"/>
      <w:r w:rsidRPr="00722C5B">
        <w:rPr>
          <w:lang w:val="en-US"/>
        </w:rPr>
        <w:t>, F.</w:t>
      </w:r>
      <w:r w:rsidR="00B81F43" w:rsidRPr="00722C5B">
        <w:rPr>
          <w:lang w:val="en-US"/>
        </w:rPr>
        <w:t>,</w:t>
      </w:r>
      <w:r w:rsidRPr="00722C5B">
        <w:rPr>
          <w:lang w:val="en-US"/>
        </w:rPr>
        <w:t xml:space="preserve"> </w:t>
      </w:r>
      <w:proofErr w:type="spellStart"/>
      <w:r w:rsidRPr="00722C5B">
        <w:rPr>
          <w:lang w:val="en-US"/>
        </w:rPr>
        <w:t>Golay</w:t>
      </w:r>
      <w:proofErr w:type="spellEnd"/>
      <w:r w:rsidRPr="00722C5B">
        <w:rPr>
          <w:lang w:val="en-US"/>
        </w:rPr>
        <w:t>, P.-A.</w:t>
      </w:r>
      <w:r w:rsidR="00B81F43" w:rsidRPr="00722C5B">
        <w:rPr>
          <w:lang w:val="en-US"/>
        </w:rPr>
        <w:t>,</w:t>
      </w:r>
      <w:r w:rsidRPr="00722C5B">
        <w:rPr>
          <w:lang w:val="en-US"/>
        </w:rPr>
        <w:t xml:space="preserve"> </w:t>
      </w:r>
      <w:proofErr w:type="spellStart"/>
      <w:r w:rsidRPr="00722C5B">
        <w:rPr>
          <w:lang w:val="en-US"/>
        </w:rPr>
        <w:t>Destaillats</w:t>
      </w:r>
      <w:proofErr w:type="spellEnd"/>
      <w:r w:rsidRPr="00722C5B">
        <w:rPr>
          <w:lang w:val="en-US"/>
        </w:rPr>
        <w:t>, F.</w:t>
      </w:r>
      <w:r w:rsidR="00B81F43" w:rsidRPr="00722C5B">
        <w:rPr>
          <w:lang w:val="en-US"/>
        </w:rPr>
        <w:t>,</w:t>
      </w:r>
      <w:r w:rsidRPr="00722C5B">
        <w:rPr>
          <w:lang w:val="en-US"/>
        </w:rPr>
        <w:t xml:space="preserve"> Hug, B. &amp; </w:t>
      </w:r>
      <w:proofErr w:type="spellStart"/>
      <w:r w:rsidRPr="00722C5B">
        <w:rPr>
          <w:lang w:val="en-US"/>
        </w:rPr>
        <w:t>Dionisi</w:t>
      </w:r>
      <w:proofErr w:type="spellEnd"/>
      <w:r w:rsidRPr="00722C5B">
        <w:rPr>
          <w:lang w:val="en-US"/>
        </w:rPr>
        <w:t xml:space="preserve">, F. (2005). </w:t>
      </w:r>
      <w:proofErr w:type="gramStart"/>
      <w:r w:rsidRPr="00722C5B">
        <w:rPr>
          <w:lang w:val="en-US"/>
        </w:rPr>
        <w:t xml:space="preserve">Accurate determination of </w:t>
      </w:r>
      <w:proofErr w:type="spellStart"/>
      <w:r w:rsidRPr="00722C5B">
        <w:rPr>
          <w:lang w:val="en-US"/>
        </w:rPr>
        <w:t>hexanal</w:t>
      </w:r>
      <w:proofErr w:type="spellEnd"/>
      <w:r w:rsidRPr="00722C5B">
        <w:rPr>
          <w:lang w:val="en-US"/>
        </w:rPr>
        <w:t xml:space="preserve"> in beef bouillons by headspace solid-phase </w:t>
      </w:r>
      <w:proofErr w:type="spellStart"/>
      <w:r w:rsidRPr="00722C5B">
        <w:rPr>
          <w:lang w:val="en-US"/>
        </w:rPr>
        <w:t>microextraction</w:t>
      </w:r>
      <w:proofErr w:type="spellEnd"/>
      <w:r w:rsidRPr="00722C5B">
        <w:rPr>
          <w:lang w:val="en-US"/>
        </w:rPr>
        <w:t xml:space="preserve"> gas-chromatography mass-spectrometry.</w:t>
      </w:r>
      <w:proofErr w:type="gramEnd"/>
      <w:r w:rsidRPr="00722C5B">
        <w:rPr>
          <w:lang w:val="en-US"/>
        </w:rPr>
        <w:t xml:space="preserve"> </w:t>
      </w:r>
      <w:r w:rsidRPr="00722C5B">
        <w:rPr>
          <w:i/>
          <w:lang w:val="en-US"/>
        </w:rPr>
        <w:t>European Journal of Lipid Science and Technology</w:t>
      </w:r>
      <w:r w:rsidRPr="00722C5B">
        <w:rPr>
          <w:lang w:val="en-US"/>
        </w:rPr>
        <w:t xml:space="preserve">, </w:t>
      </w:r>
      <w:r w:rsidRPr="00722C5B">
        <w:rPr>
          <w:b/>
          <w:lang w:val="en-US"/>
        </w:rPr>
        <w:t>107,</w:t>
      </w:r>
      <w:r w:rsidRPr="00722C5B">
        <w:rPr>
          <w:lang w:val="en-US"/>
        </w:rPr>
        <w:t xml:space="preserve"> 792-798.</w:t>
      </w:r>
    </w:p>
    <w:p w:rsidR="005C4A26" w:rsidRPr="00722C5B" w:rsidRDefault="005C4A26" w:rsidP="00314634">
      <w:pPr>
        <w:spacing w:line="480" w:lineRule="auto"/>
        <w:ind w:left="284" w:hanging="284"/>
        <w:jc w:val="both"/>
        <w:rPr>
          <w:lang w:val="en-US"/>
        </w:rPr>
      </w:pPr>
      <w:proofErr w:type="gramStart"/>
      <w:r w:rsidRPr="00722C5B">
        <w:rPr>
          <w:lang w:val="en-US"/>
        </w:rPr>
        <w:t>ISO</w:t>
      </w:r>
      <w:r w:rsidR="00ED36CC" w:rsidRPr="00722C5B">
        <w:rPr>
          <w:lang w:val="en-US"/>
        </w:rPr>
        <w:t>-6886</w:t>
      </w:r>
      <w:r w:rsidRPr="00722C5B">
        <w:rPr>
          <w:lang w:val="en-US"/>
        </w:rPr>
        <w:t>.</w:t>
      </w:r>
      <w:proofErr w:type="gramEnd"/>
      <w:r w:rsidRPr="00722C5B">
        <w:rPr>
          <w:lang w:val="en-US"/>
        </w:rPr>
        <w:t xml:space="preserve"> (2006). </w:t>
      </w:r>
      <w:r w:rsidR="00ED36CC" w:rsidRPr="00722C5B">
        <w:rPr>
          <w:lang w:val="en-US"/>
        </w:rPr>
        <w:t xml:space="preserve">ISO Official Method </w:t>
      </w:r>
      <w:r w:rsidRPr="00722C5B">
        <w:rPr>
          <w:lang w:val="en-US"/>
        </w:rPr>
        <w:t>6886</w:t>
      </w:r>
      <w:r w:rsidR="00ED36CC" w:rsidRPr="00722C5B">
        <w:rPr>
          <w:lang w:val="en-US"/>
        </w:rPr>
        <w:t>:2006</w:t>
      </w:r>
      <w:r w:rsidRPr="00722C5B">
        <w:rPr>
          <w:lang w:val="en-US"/>
        </w:rPr>
        <w:t>. Determination of oxidative stability (accelerated oxidation test). G</w:t>
      </w:r>
      <w:r w:rsidR="00ED36CC" w:rsidRPr="00722C5B">
        <w:rPr>
          <w:lang w:val="en-US"/>
        </w:rPr>
        <w:t>eneva, Switzerland: International Standard Organization (ISO)</w:t>
      </w:r>
      <w:r w:rsidRPr="00722C5B">
        <w:rPr>
          <w:lang w:val="en-US"/>
        </w:rPr>
        <w:t>.</w:t>
      </w:r>
    </w:p>
    <w:p w:rsidR="009000AC" w:rsidRPr="00722C5B" w:rsidRDefault="009000AC" w:rsidP="00314634">
      <w:pPr>
        <w:spacing w:line="480" w:lineRule="auto"/>
        <w:ind w:left="284" w:hanging="284"/>
        <w:jc w:val="both"/>
        <w:rPr>
          <w:lang w:val="en-US"/>
        </w:rPr>
      </w:pPr>
      <w:r w:rsidRPr="00722C5B">
        <w:rPr>
          <w:lang w:val="en-US"/>
        </w:rPr>
        <w:lastRenderedPageBreak/>
        <w:t>ISO-15884 (2002)</w:t>
      </w:r>
      <w:r w:rsidR="00CD1DA6" w:rsidRPr="00722C5B">
        <w:rPr>
          <w:lang w:val="en-US"/>
        </w:rPr>
        <w:t xml:space="preserve"> ISO Official Method 15884:2002. Milk Fat – Preparation of fatty acid methyl esters. Geneva, Switzerland: International Standard Organization (ISO). </w:t>
      </w:r>
    </w:p>
    <w:p w:rsidR="00A57FDC" w:rsidRDefault="00A57FDC" w:rsidP="00A62F91">
      <w:pPr>
        <w:spacing w:line="480" w:lineRule="auto"/>
        <w:ind w:left="284" w:hanging="284"/>
        <w:jc w:val="both"/>
        <w:rPr>
          <w:lang w:val="en-US"/>
        </w:rPr>
      </w:pPr>
    </w:p>
    <w:p w:rsidR="00A62F91" w:rsidRPr="00A62F91" w:rsidRDefault="00A62F91" w:rsidP="00A62F91">
      <w:pPr>
        <w:spacing w:line="480" w:lineRule="auto"/>
        <w:ind w:left="284" w:hanging="284"/>
        <w:jc w:val="both"/>
        <w:rPr>
          <w:lang w:val="en-US"/>
        </w:rPr>
      </w:pPr>
      <w:proofErr w:type="spellStart"/>
      <w:proofErr w:type="gramStart"/>
      <w:r>
        <w:rPr>
          <w:lang w:val="en-US"/>
        </w:rPr>
        <w:t>Kirimura</w:t>
      </w:r>
      <w:proofErr w:type="spellEnd"/>
      <w:r>
        <w:rPr>
          <w:lang w:val="en-US"/>
        </w:rPr>
        <w:t>, K., Honda, Y. &amp; Hattori, H. (2011).</w:t>
      </w:r>
      <w:proofErr w:type="gramEnd"/>
      <w:r>
        <w:rPr>
          <w:lang w:val="en-US"/>
        </w:rPr>
        <w:t xml:space="preserve"> </w:t>
      </w:r>
      <w:proofErr w:type="gramStart"/>
      <w:r>
        <w:rPr>
          <w:lang w:val="en-US"/>
        </w:rPr>
        <w:t>Citric Acid.</w:t>
      </w:r>
      <w:proofErr w:type="gramEnd"/>
      <w:r>
        <w:rPr>
          <w:lang w:val="en-US"/>
        </w:rPr>
        <w:t xml:space="preserve"> In: </w:t>
      </w:r>
      <w:r w:rsidRPr="00A62F91">
        <w:rPr>
          <w:lang w:val="en-US"/>
        </w:rPr>
        <w:t>Comprehensive Biotechnology</w:t>
      </w:r>
    </w:p>
    <w:p w:rsidR="00A62F91" w:rsidRPr="00722C5B" w:rsidRDefault="00A62F91" w:rsidP="00D83906">
      <w:pPr>
        <w:spacing w:line="480" w:lineRule="auto"/>
        <w:jc w:val="both"/>
        <w:rPr>
          <w:lang w:val="en-US"/>
        </w:rPr>
      </w:pPr>
      <w:r w:rsidRPr="00A62F91">
        <w:rPr>
          <w:lang w:val="en-US"/>
        </w:rPr>
        <w:t>(Second Edition)</w:t>
      </w:r>
      <w:r>
        <w:rPr>
          <w:lang w:val="en-US"/>
        </w:rPr>
        <w:t>(</w:t>
      </w:r>
      <w:proofErr w:type="gramStart"/>
      <w:r>
        <w:rPr>
          <w:lang w:val="en-US"/>
        </w:rPr>
        <w:t>edited</w:t>
      </w:r>
      <w:proofErr w:type="gramEnd"/>
      <w:r>
        <w:rPr>
          <w:lang w:val="en-US"/>
        </w:rPr>
        <w:t xml:space="preserve"> by M. M-Young). Pp. 135-142. </w:t>
      </w:r>
      <w:proofErr w:type="spellStart"/>
      <w:r>
        <w:rPr>
          <w:lang w:val="en-US"/>
        </w:rPr>
        <w:t>Burlongton</w:t>
      </w:r>
      <w:proofErr w:type="spellEnd"/>
      <w:r>
        <w:rPr>
          <w:lang w:val="en-US"/>
        </w:rPr>
        <w:t>, Canada: Academic Press.</w:t>
      </w:r>
    </w:p>
    <w:p w:rsidR="0071411D" w:rsidRPr="00722C5B" w:rsidRDefault="0071411D" w:rsidP="00767857">
      <w:pPr>
        <w:shd w:val="clear" w:color="auto" w:fill="FFFFFF" w:themeFill="background1"/>
        <w:spacing w:line="480" w:lineRule="auto"/>
        <w:ind w:left="284" w:hanging="284"/>
        <w:jc w:val="both"/>
        <w:rPr>
          <w:rFonts w:eastAsiaTheme="minorHAnsi"/>
          <w:lang w:val="en-US" w:eastAsia="en-US"/>
        </w:rPr>
      </w:pPr>
      <w:r w:rsidRPr="00A62F91">
        <w:rPr>
          <w:rFonts w:eastAsiaTheme="minorHAnsi"/>
          <w:lang w:val="de-CH" w:eastAsia="en-US"/>
        </w:rPr>
        <w:t xml:space="preserve">Kim, H. J., Min, D. B. &amp; Hahm, T. S. (2007). </w:t>
      </w:r>
      <w:proofErr w:type="spellStart"/>
      <w:proofErr w:type="gramStart"/>
      <w:r w:rsidRPr="00722C5B">
        <w:rPr>
          <w:rFonts w:eastAsiaTheme="minorHAnsi"/>
          <w:lang w:val="en-US" w:eastAsia="en-US"/>
        </w:rPr>
        <w:t>Hydroperoxide</w:t>
      </w:r>
      <w:proofErr w:type="spellEnd"/>
      <w:r w:rsidRPr="00722C5B">
        <w:rPr>
          <w:rFonts w:eastAsiaTheme="minorHAnsi"/>
          <w:lang w:val="en-US" w:eastAsia="en-US"/>
        </w:rPr>
        <w:t xml:space="preserve"> as a pro-oxidant in the oxidative stability of soybean oil.</w:t>
      </w:r>
      <w:proofErr w:type="gramEnd"/>
      <w:r w:rsidRPr="00722C5B">
        <w:rPr>
          <w:rFonts w:eastAsiaTheme="minorHAnsi"/>
          <w:lang w:val="en-US" w:eastAsia="en-US"/>
        </w:rPr>
        <w:t xml:space="preserve"> </w:t>
      </w:r>
      <w:r w:rsidRPr="00722C5B">
        <w:rPr>
          <w:rFonts w:eastAsiaTheme="minorHAnsi"/>
          <w:i/>
          <w:lang w:val="en-US" w:eastAsia="en-US"/>
        </w:rPr>
        <w:t>Journal of the American Oil Chemists’ Society</w:t>
      </w:r>
      <w:r w:rsidRPr="00722C5B">
        <w:rPr>
          <w:rFonts w:eastAsiaTheme="minorHAnsi"/>
          <w:lang w:val="en-US" w:eastAsia="en-US"/>
        </w:rPr>
        <w:t xml:space="preserve">, </w:t>
      </w:r>
      <w:r w:rsidRPr="00722C5B">
        <w:rPr>
          <w:rFonts w:eastAsiaTheme="minorHAnsi"/>
          <w:b/>
          <w:lang w:val="en-US" w:eastAsia="en-US"/>
        </w:rPr>
        <w:t>84,</w:t>
      </w:r>
      <w:r w:rsidRPr="00722C5B">
        <w:rPr>
          <w:rFonts w:eastAsiaTheme="minorHAnsi"/>
          <w:lang w:val="en-US" w:eastAsia="en-US"/>
        </w:rPr>
        <w:t xml:space="preserve"> 349-355.</w:t>
      </w:r>
    </w:p>
    <w:p w:rsidR="00767857" w:rsidRPr="00722C5B" w:rsidRDefault="00767857" w:rsidP="00767857">
      <w:pPr>
        <w:shd w:val="clear" w:color="auto" w:fill="FFFFFF" w:themeFill="background1"/>
        <w:spacing w:line="480" w:lineRule="auto"/>
        <w:ind w:left="284" w:hanging="284"/>
        <w:jc w:val="both"/>
        <w:rPr>
          <w:noProof/>
          <w:lang w:val="en-US"/>
        </w:rPr>
      </w:pPr>
      <w:proofErr w:type="spellStart"/>
      <w:proofErr w:type="gramStart"/>
      <w:r w:rsidRPr="00722C5B">
        <w:rPr>
          <w:rFonts w:eastAsiaTheme="minorHAnsi"/>
          <w:lang w:val="en-US" w:eastAsia="en-US"/>
        </w:rPr>
        <w:t>Kittipongpittaya</w:t>
      </w:r>
      <w:proofErr w:type="spellEnd"/>
      <w:r w:rsidRPr="00722C5B">
        <w:rPr>
          <w:rFonts w:eastAsiaTheme="minorHAnsi"/>
          <w:lang w:val="en-US" w:eastAsia="en-US"/>
        </w:rPr>
        <w:t xml:space="preserve">, K., Chen, B., </w:t>
      </w:r>
      <w:proofErr w:type="spellStart"/>
      <w:r w:rsidRPr="00722C5B">
        <w:rPr>
          <w:rFonts w:eastAsiaTheme="minorHAnsi"/>
          <w:lang w:val="en-US" w:eastAsia="en-US"/>
        </w:rPr>
        <w:t>Panya</w:t>
      </w:r>
      <w:proofErr w:type="spellEnd"/>
      <w:r w:rsidRPr="00722C5B">
        <w:rPr>
          <w:rFonts w:eastAsiaTheme="minorHAnsi"/>
          <w:lang w:val="en-US" w:eastAsia="en-US"/>
        </w:rPr>
        <w:t xml:space="preserve">, A., </w:t>
      </w:r>
      <w:proofErr w:type="spellStart"/>
      <w:r w:rsidRPr="00722C5B">
        <w:rPr>
          <w:rFonts w:eastAsiaTheme="minorHAnsi"/>
          <w:lang w:val="en-US" w:eastAsia="en-US"/>
        </w:rPr>
        <w:t>McClements</w:t>
      </w:r>
      <w:proofErr w:type="spellEnd"/>
      <w:r w:rsidRPr="00722C5B">
        <w:rPr>
          <w:rFonts w:eastAsiaTheme="minorHAnsi"/>
          <w:lang w:val="en-US" w:eastAsia="en-US"/>
        </w:rPr>
        <w:t>, D. J.</w:t>
      </w:r>
      <w:r w:rsidR="000A4A2A" w:rsidRPr="00722C5B">
        <w:rPr>
          <w:rFonts w:eastAsiaTheme="minorHAnsi"/>
          <w:lang w:val="en-US" w:eastAsia="en-US"/>
        </w:rPr>
        <w:t xml:space="preserve"> </w:t>
      </w:r>
      <w:r w:rsidRPr="00722C5B">
        <w:rPr>
          <w:noProof/>
          <w:lang w:val="en-US"/>
        </w:rPr>
        <w:t>&amp;</w:t>
      </w:r>
      <w:r w:rsidRPr="00722C5B">
        <w:rPr>
          <w:rFonts w:eastAsiaTheme="minorHAnsi"/>
          <w:lang w:val="en-US" w:eastAsia="en-US"/>
        </w:rPr>
        <w:t xml:space="preserve"> Decker, E. A. (2012).</w:t>
      </w:r>
      <w:proofErr w:type="gramEnd"/>
      <w:r w:rsidRPr="00722C5B">
        <w:rPr>
          <w:rFonts w:eastAsiaTheme="minorHAnsi"/>
          <w:lang w:val="en-US" w:eastAsia="en-US"/>
        </w:rPr>
        <w:t xml:space="preserve"> </w:t>
      </w:r>
      <w:proofErr w:type="spellStart"/>
      <w:proofErr w:type="gramStart"/>
      <w:r w:rsidRPr="00722C5B">
        <w:rPr>
          <w:rFonts w:eastAsiaTheme="minorHAnsi"/>
          <w:lang w:val="en-US" w:eastAsia="en-US"/>
        </w:rPr>
        <w:t>Prooxidant</w:t>
      </w:r>
      <w:proofErr w:type="spellEnd"/>
      <w:r w:rsidRPr="00722C5B">
        <w:rPr>
          <w:rFonts w:eastAsiaTheme="minorHAnsi"/>
          <w:lang w:val="en-US" w:eastAsia="en-US"/>
        </w:rPr>
        <w:t xml:space="preserve"> activity of polar lipid oxidation products in bulk oil and oil-in-water emulsion.</w:t>
      </w:r>
      <w:proofErr w:type="gramEnd"/>
      <w:r w:rsidRPr="00722C5B">
        <w:rPr>
          <w:rFonts w:eastAsiaTheme="minorHAnsi"/>
          <w:lang w:val="en-US" w:eastAsia="en-US"/>
        </w:rPr>
        <w:t xml:space="preserve"> </w:t>
      </w:r>
      <w:r w:rsidRPr="00722C5B">
        <w:rPr>
          <w:i/>
          <w:noProof/>
          <w:lang w:val="en-US"/>
        </w:rPr>
        <w:t>Journal of the American Oil Chemists’ Society</w:t>
      </w:r>
      <w:r w:rsidRPr="00722C5B">
        <w:rPr>
          <w:noProof/>
          <w:lang w:val="en-US"/>
        </w:rPr>
        <w:t xml:space="preserve">, </w:t>
      </w:r>
      <w:r w:rsidRPr="00722C5B">
        <w:rPr>
          <w:b/>
          <w:noProof/>
          <w:lang w:val="en-US"/>
        </w:rPr>
        <w:t xml:space="preserve">89, </w:t>
      </w:r>
      <w:r w:rsidRPr="00722C5B">
        <w:rPr>
          <w:rFonts w:eastAsiaTheme="minorHAnsi"/>
          <w:lang w:val="en-US" w:eastAsia="en-US"/>
        </w:rPr>
        <w:t>2187-2194.</w:t>
      </w:r>
    </w:p>
    <w:p w:rsidR="00767857" w:rsidRPr="00722C5B" w:rsidRDefault="000A4A2A" w:rsidP="00767857">
      <w:pPr>
        <w:shd w:val="clear" w:color="auto" w:fill="FFFFFF" w:themeFill="background1"/>
        <w:spacing w:line="480" w:lineRule="auto"/>
        <w:ind w:left="284" w:hanging="284"/>
        <w:jc w:val="both"/>
        <w:rPr>
          <w:noProof/>
          <w:lang w:val="en-US"/>
        </w:rPr>
      </w:pPr>
      <w:proofErr w:type="spellStart"/>
      <w:proofErr w:type="gramStart"/>
      <w:r w:rsidRPr="00080EA5">
        <w:rPr>
          <w:rFonts w:eastAsiaTheme="minorHAnsi"/>
          <w:lang w:val="en-US" w:eastAsia="en-US"/>
        </w:rPr>
        <w:t>Leufven</w:t>
      </w:r>
      <w:proofErr w:type="spellEnd"/>
      <w:r w:rsidRPr="00080EA5">
        <w:rPr>
          <w:rFonts w:eastAsiaTheme="minorHAnsi"/>
          <w:lang w:val="en-US" w:eastAsia="en-US"/>
        </w:rPr>
        <w:t xml:space="preserve">, A., </w:t>
      </w:r>
      <w:proofErr w:type="spellStart"/>
      <w:r w:rsidRPr="00080EA5">
        <w:rPr>
          <w:rFonts w:eastAsiaTheme="minorHAnsi"/>
          <w:lang w:val="en-US" w:eastAsia="en-US"/>
        </w:rPr>
        <w:t>Sedaghat</w:t>
      </w:r>
      <w:proofErr w:type="spellEnd"/>
      <w:r w:rsidRPr="00080EA5">
        <w:rPr>
          <w:rFonts w:eastAsiaTheme="minorHAnsi"/>
          <w:lang w:val="en-US" w:eastAsia="en-US"/>
        </w:rPr>
        <w:t>, N.</w:t>
      </w:r>
      <w:r w:rsidR="00767857" w:rsidRPr="00080EA5">
        <w:rPr>
          <w:rFonts w:eastAsiaTheme="minorHAnsi"/>
          <w:lang w:val="en-US" w:eastAsia="en-US"/>
        </w:rPr>
        <w:t xml:space="preserve"> </w:t>
      </w:r>
      <w:r w:rsidR="00767857" w:rsidRPr="00080EA5">
        <w:rPr>
          <w:noProof/>
          <w:lang w:val="en-US"/>
        </w:rPr>
        <w:t>&amp;</w:t>
      </w:r>
      <w:r w:rsidR="00767857" w:rsidRPr="00080EA5">
        <w:rPr>
          <w:rFonts w:eastAsiaTheme="minorHAnsi"/>
          <w:lang w:val="en-US" w:eastAsia="en-US"/>
        </w:rPr>
        <w:t xml:space="preserve"> </w:t>
      </w:r>
      <w:proofErr w:type="spellStart"/>
      <w:r w:rsidR="00767857" w:rsidRPr="00080EA5">
        <w:rPr>
          <w:rFonts w:eastAsiaTheme="minorHAnsi"/>
          <w:lang w:val="en-US" w:eastAsia="en-US"/>
        </w:rPr>
        <w:t>Habibi</w:t>
      </w:r>
      <w:proofErr w:type="spellEnd"/>
      <w:r w:rsidR="00767857" w:rsidRPr="00080EA5">
        <w:rPr>
          <w:rFonts w:eastAsiaTheme="minorHAnsi"/>
          <w:lang w:val="en-US" w:eastAsia="en-US"/>
        </w:rPr>
        <w:t xml:space="preserve"> </w:t>
      </w:r>
      <w:proofErr w:type="spellStart"/>
      <w:r w:rsidR="00767857" w:rsidRPr="00080EA5">
        <w:rPr>
          <w:rFonts w:eastAsiaTheme="minorHAnsi"/>
          <w:lang w:val="en-US" w:eastAsia="en-US"/>
        </w:rPr>
        <w:t>Najafi</w:t>
      </w:r>
      <w:proofErr w:type="spellEnd"/>
      <w:r w:rsidR="00767857" w:rsidRPr="00080EA5">
        <w:rPr>
          <w:rFonts w:eastAsiaTheme="minorHAnsi"/>
          <w:lang w:val="en-US" w:eastAsia="en-US"/>
        </w:rPr>
        <w:t>, M. B. (2010).</w:t>
      </w:r>
      <w:proofErr w:type="gramEnd"/>
      <w:r w:rsidR="00767857" w:rsidRPr="00080EA5">
        <w:rPr>
          <w:rFonts w:eastAsiaTheme="minorHAnsi"/>
          <w:lang w:val="en-US" w:eastAsia="en-US"/>
        </w:rPr>
        <w:t xml:space="preserve"> </w:t>
      </w:r>
      <w:r w:rsidR="00767857" w:rsidRPr="00722C5B">
        <w:rPr>
          <w:rFonts w:eastAsiaTheme="minorHAnsi"/>
          <w:lang w:val="en-US" w:eastAsia="en-US"/>
        </w:rPr>
        <w:t xml:space="preserve">Influence of different packaging systems on stability of raw dried pistachio nuts at various conditions. </w:t>
      </w:r>
      <w:r w:rsidR="00767857" w:rsidRPr="00722C5B">
        <w:rPr>
          <w:rFonts w:eastAsiaTheme="minorHAnsi"/>
          <w:i/>
          <w:iCs/>
          <w:lang w:val="en-US" w:eastAsia="en-US"/>
        </w:rPr>
        <w:t>Journal of Agricultural Engineering</w:t>
      </w:r>
      <w:r w:rsidR="00767857" w:rsidRPr="00722C5B">
        <w:rPr>
          <w:rFonts w:eastAsiaTheme="minorHAnsi"/>
          <w:iCs/>
          <w:lang w:val="en-US" w:eastAsia="en-US"/>
        </w:rPr>
        <w:t xml:space="preserve">, </w:t>
      </w:r>
      <w:r w:rsidR="00767857" w:rsidRPr="00722C5B">
        <w:rPr>
          <w:rFonts w:eastAsiaTheme="minorHAnsi"/>
          <w:b/>
          <w:iCs/>
          <w:lang w:val="en-US" w:eastAsia="en-US"/>
        </w:rPr>
        <w:t>8,</w:t>
      </w:r>
      <w:r w:rsidR="00767857" w:rsidRPr="00722C5B">
        <w:rPr>
          <w:rFonts w:eastAsiaTheme="minorHAnsi"/>
          <w:iCs/>
          <w:lang w:val="en-US" w:eastAsia="en-US"/>
        </w:rPr>
        <w:t xml:space="preserve"> </w:t>
      </w:r>
      <w:r w:rsidR="00767857" w:rsidRPr="00722C5B">
        <w:rPr>
          <w:rFonts w:eastAsiaTheme="minorHAnsi"/>
          <w:lang w:val="en-US" w:eastAsia="en-US"/>
        </w:rPr>
        <w:t>576-581.</w:t>
      </w:r>
    </w:p>
    <w:p w:rsidR="000A4A2A" w:rsidRPr="00722C5B" w:rsidRDefault="000A4A2A" w:rsidP="00314634">
      <w:pPr>
        <w:spacing w:line="480" w:lineRule="auto"/>
        <w:ind w:left="284" w:hanging="284"/>
        <w:jc w:val="both"/>
        <w:rPr>
          <w:lang w:val="en-US"/>
        </w:rPr>
      </w:pPr>
      <w:proofErr w:type="gramStart"/>
      <w:r w:rsidRPr="00722C5B">
        <w:rPr>
          <w:lang w:val="en-US"/>
        </w:rPr>
        <w:t>Martin-</w:t>
      </w:r>
      <w:proofErr w:type="spellStart"/>
      <w:r w:rsidRPr="00722C5B">
        <w:rPr>
          <w:lang w:val="en-US"/>
        </w:rPr>
        <w:t>Polvillo</w:t>
      </w:r>
      <w:proofErr w:type="spellEnd"/>
      <w:r w:rsidRPr="00722C5B">
        <w:rPr>
          <w:lang w:val="en-US"/>
        </w:rPr>
        <w:t xml:space="preserve">, M., </w:t>
      </w:r>
      <w:proofErr w:type="spellStart"/>
      <w:r w:rsidRPr="00722C5B">
        <w:rPr>
          <w:lang w:val="en-US"/>
        </w:rPr>
        <w:t>Dobarganes</w:t>
      </w:r>
      <w:proofErr w:type="spellEnd"/>
      <w:r w:rsidRPr="00722C5B">
        <w:rPr>
          <w:lang w:val="en-US"/>
        </w:rPr>
        <w:t>, M. C. &amp; Marquez-Ruiz, G. (2004).</w:t>
      </w:r>
      <w:proofErr w:type="gramEnd"/>
      <w:r w:rsidRPr="00722C5B">
        <w:rPr>
          <w:lang w:val="en-US"/>
        </w:rPr>
        <w:t xml:space="preserve"> Oxidative stability of sunflower oils differing in unsaturation degree during long-term storage at room temperature. </w:t>
      </w:r>
      <w:r w:rsidRPr="00722C5B">
        <w:rPr>
          <w:i/>
          <w:lang w:val="en-US"/>
        </w:rPr>
        <w:t>Journal of the American Oil Chemists’ Society</w:t>
      </w:r>
      <w:r w:rsidRPr="00722C5B">
        <w:rPr>
          <w:lang w:val="en-US"/>
        </w:rPr>
        <w:t xml:space="preserve">, </w:t>
      </w:r>
      <w:r w:rsidRPr="00722C5B">
        <w:rPr>
          <w:b/>
          <w:lang w:val="en-US"/>
        </w:rPr>
        <w:t>81,</w:t>
      </w:r>
      <w:r w:rsidRPr="00722C5B">
        <w:rPr>
          <w:lang w:val="en-US"/>
        </w:rPr>
        <w:t xml:space="preserve"> 577-583.</w:t>
      </w:r>
    </w:p>
    <w:p w:rsidR="000D69DB" w:rsidRDefault="0051394B" w:rsidP="000D69DB">
      <w:pPr>
        <w:spacing w:line="480" w:lineRule="auto"/>
        <w:ind w:left="284" w:hanging="284"/>
        <w:jc w:val="both"/>
        <w:rPr>
          <w:lang w:val="en-US"/>
        </w:rPr>
      </w:pPr>
      <w:proofErr w:type="gramStart"/>
      <w:r w:rsidRPr="00722C5B">
        <w:rPr>
          <w:lang w:val="en-US"/>
        </w:rPr>
        <w:t>McMullen, L. M.</w:t>
      </w:r>
      <w:r w:rsidR="00B81F43" w:rsidRPr="00722C5B">
        <w:rPr>
          <w:lang w:val="en-US"/>
        </w:rPr>
        <w:t>,</w:t>
      </w:r>
      <w:r w:rsidRPr="00722C5B">
        <w:rPr>
          <w:lang w:val="en-US"/>
        </w:rPr>
        <w:t xml:space="preserve"> </w:t>
      </w:r>
      <w:proofErr w:type="spellStart"/>
      <w:r w:rsidRPr="00722C5B">
        <w:rPr>
          <w:lang w:val="en-US"/>
        </w:rPr>
        <w:t>Hawrysh</w:t>
      </w:r>
      <w:proofErr w:type="spellEnd"/>
      <w:r w:rsidRPr="00722C5B">
        <w:rPr>
          <w:lang w:val="en-US"/>
        </w:rPr>
        <w:t xml:space="preserve">, C. &amp; </w:t>
      </w:r>
      <w:proofErr w:type="spellStart"/>
      <w:r w:rsidRPr="00722C5B">
        <w:rPr>
          <w:lang w:val="en-US"/>
        </w:rPr>
        <w:t>Tokarsha</w:t>
      </w:r>
      <w:proofErr w:type="spellEnd"/>
      <w:r w:rsidRPr="00722C5B">
        <w:rPr>
          <w:lang w:val="en-US"/>
        </w:rPr>
        <w:t>, B. (1991).</w:t>
      </w:r>
      <w:proofErr w:type="gramEnd"/>
      <w:r w:rsidRPr="00722C5B">
        <w:rPr>
          <w:lang w:val="en-US"/>
        </w:rPr>
        <w:t xml:space="preserve"> </w:t>
      </w:r>
      <w:proofErr w:type="spellStart"/>
      <w:proofErr w:type="gramStart"/>
      <w:r w:rsidRPr="00722C5B">
        <w:rPr>
          <w:lang w:val="en-US"/>
        </w:rPr>
        <w:t>Ascorbyl</w:t>
      </w:r>
      <w:proofErr w:type="spellEnd"/>
      <w:r w:rsidRPr="00722C5B">
        <w:rPr>
          <w:lang w:val="en-US"/>
        </w:rPr>
        <w:t xml:space="preserve"> </w:t>
      </w:r>
      <w:proofErr w:type="spellStart"/>
      <w:r w:rsidRPr="00722C5B">
        <w:rPr>
          <w:lang w:val="en-US"/>
        </w:rPr>
        <w:t>palmitate</w:t>
      </w:r>
      <w:proofErr w:type="spellEnd"/>
      <w:r w:rsidRPr="00722C5B">
        <w:rPr>
          <w:lang w:val="en-US"/>
        </w:rPr>
        <w:t xml:space="preserve"> efficiency in enhancing the accelerated storage stability of canola oil.</w:t>
      </w:r>
      <w:proofErr w:type="gramEnd"/>
      <w:r w:rsidRPr="00722C5B">
        <w:rPr>
          <w:lang w:val="en-US"/>
        </w:rPr>
        <w:t xml:space="preserve"> </w:t>
      </w:r>
      <w:r w:rsidRPr="00722C5B">
        <w:rPr>
          <w:i/>
          <w:lang w:val="en-US"/>
        </w:rPr>
        <w:t>Journal of Food Science</w:t>
      </w:r>
      <w:r w:rsidRPr="00722C5B">
        <w:rPr>
          <w:lang w:val="en-US"/>
        </w:rPr>
        <w:t xml:space="preserve">, </w:t>
      </w:r>
      <w:r w:rsidRPr="00722C5B">
        <w:rPr>
          <w:b/>
          <w:lang w:val="en-US"/>
        </w:rPr>
        <w:t>56,</w:t>
      </w:r>
      <w:r w:rsidRPr="00722C5B">
        <w:rPr>
          <w:lang w:val="en-US"/>
        </w:rPr>
        <w:t xml:space="preserve"> 1651-1659.</w:t>
      </w:r>
    </w:p>
    <w:p w:rsidR="00A57FDC" w:rsidRDefault="00A57FDC" w:rsidP="000D69DB">
      <w:pPr>
        <w:spacing w:line="480" w:lineRule="auto"/>
        <w:ind w:left="284" w:hanging="284"/>
        <w:jc w:val="both"/>
        <w:rPr>
          <w:lang w:val="en-US"/>
        </w:rPr>
      </w:pPr>
      <w:proofErr w:type="gramStart"/>
      <w:r>
        <w:rPr>
          <w:lang w:val="en-US"/>
        </w:rPr>
        <w:t>Merrill, L. I., Pike, O. A., Ogden, L. V. &amp; Dunn, M. L. (2008).</w:t>
      </w:r>
      <w:proofErr w:type="gramEnd"/>
      <w:r>
        <w:rPr>
          <w:lang w:val="en-US"/>
        </w:rPr>
        <w:t xml:space="preserve"> </w:t>
      </w:r>
      <w:proofErr w:type="gramStart"/>
      <w:r w:rsidRPr="00A57FDC">
        <w:rPr>
          <w:lang w:val="en-US"/>
        </w:rPr>
        <w:t xml:space="preserve">Oxidative </w:t>
      </w:r>
      <w:r>
        <w:rPr>
          <w:lang w:val="en-US"/>
        </w:rPr>
        <w:t>s</w:t>
      </w:r>
      <w:r w:rsidRPr="00A57FDC">
        <w:rPr>
          <w:lang w:val="en-US"/>
        </w:rPr>
        <w:t xml:space="preserve">tability of </w:t>
      </w:r>
      <w:r>
        <w:rPr>
          <w:lang w:val="en-US"/>
        </w:rPr>
        <w:t>c</w:t>
      </w:r>
      <w:r w:rsidRPr="00A57FDC">
        <w:rPr>
          <w:lang w:val="en-US"/>
        </w:rPr>
        <w:t xml:space="preserve">onventional and </w:t>
      </w:r>
      <w:r>
        <w:rPr>
          <w:lang w:val="en-US"/>
        </w:rPr>
        <w:t>h</w:t>
      </w:r>
      <w:r w:rsidRPr="00A57FDC">
        <w:rPr>
          <w:lang w:val="en-US"/>
        </w:rPr>
        <w:t>igh-</w:t>
      </w:r>
      <w:r>
        <w:rPr>
          <w:lang w:val="en-US"/>
        </w:rPr>
        <w:t>o</w:t>
      </w:r>
      <w:r w:rsidRPr="00A57FDC">
        <w:rPr>
          <w:lang w:val="en-US"/>
        </w:rPr>
        <w:t xml:space="preserve">leic </w:t>
      </w:r>
      <w:r>
        <w:rPr>
          <w:lang w:val="en-US"/>
        </w:rPr>
        <w:t>v</w:t>
      </w:r>
      <w:r w:rsidRPr="00A57FDC">
        <w:rPr>
          <w:lang w:val="en-US"/>
        </w:rPr>
        <w:t xml:space="preserve">egetable </w:t>
      </w:r>
      <w:r>
        <w:rPr>
          <w:lang w:val="en-US"/>
        </w:rPr>
        <w:t>o</w:t>
      </w:r>
      <w:r w:rsidRPr="00A57FDC">
        <w:rPr>
          <w:lang w:val="en-US"/>
        </w:rPr>
        <w:t xml:space="preserve">ils with </w:t>
      </w:r>
      <w:r>
        <w:rPr>
          <w:lang w:val="en-US"/>
        </w:rPr>
        <w:t>a</w:t>
      </w:r>
      <w:r w:rsidRPr="00A57FDC">
        <w:rPr>
          <w:lang w:val="en-US"/>
        </w:rPr>
        <w:t xml:space="preserve">dded </w:t>
      </w:r>
      <w:r>
        <w:rPr>
          <w:lang w:val="en-US"/>
        </w:rPr>
        <w:t>a</w:t>
      </w:r>
      <w:r w:rsidRPr="00A57FDC">
        <w:rPr>
          <w:lang w:val="en-US"/>
        </w:rPr>
        <w:t>ntioxidants</w:t>
      </w:r>
      <w:r>
        <w:rPr>
          <w:lang w:val="en-US"/>
        </w:rPr>
        <w:t>.</w:t>
      </w:r>
      <w:proofErr w:type="gramEnd"/>
      <w:r>
        <w:rPr>
          <w:lang w:val="en-US"/>
        </w:rPr>
        <w:t xml:space="preserve"> </w:t>
      </w:r>
      <w:r w:rsidRPr="00D83906">
        <w:rPr>
          <w:i/>
          <w:lang w:val="en-US"/>
        </w:rPr>
        <w:t>Journal of the American Oil Chemists' Society</w:t>
      </w:r>
      <w:r>
        <w:rPr>
          <w:lang w:val="en-US"/>
        </w:rPr>
        <w:t xml:space="preserve">, </w:t>
      </w:r>
      <w:r w:rsidR="007C695F" w:rsidRPr="00D83906">
        <w:rPr>
          <w:b/>
          <w:lang w:val="en-US"/>
        </w:rPr>
        <w:t>85,</w:t>
      </w:r>
      <w:r w:rsidR="007C695F">
        <w:rPr>
          <w:lang w:val="en-US"/>
        </w:rPr>
        <w:t xml:space="preserve"> 771-776.</w:t>
      </w:r>
    </w:p>
    <w:p w:rsidR="000D69DB" w:rsidRPr="007628C7" w:rsidRDefault="000D69DB" w:rsidP="000D69DB">
      <w:pPr>
        <w:spacing w:line="480" w:lineRule="auto"/>
        <w:ind w:left="284" w:hanging="284"/>
        <w:jc w:val="both"/>
        <w:rPr>
          <w:noProof/>
          <w:lang w:val="en-US"/>
        </w:rPr>
      </w:pPr>
      <w:r w:rsidRPr="007628C7">
        <w:rPr>
          <w:noProof/>
          <w:lang w:val="en-US"/>
        </w:rPr>
        <w:lastRenderedPageBreak/>
        <w:t xml:space="preserve">Min, D.B. &amp; Bradley, G.D. (1992). Fats and oils: flavors. In: </w:t>
      </w:r>
      <w:r w:rsidRPr="007628C7">
        <w:rPr>
          <w:i/>
          <w:noProof/>
          <w:lang w:val="en-US"/>
        </w:rPr>
        <w:t xml:space="preserve">Wiley Encyclopedia of Food Science and Technology. </w:t>
      </w:r>
      <w:r w:rsidRPr="007628C7">
        <w:rPr>
          <w:noProof/>
          <w:lang w:val="en-US"/>
        </w:rPr>
        <w:t>(edited by Y. H. Hui)</w:t>
      </w:r>
      <w:r w:rsidR="0071550C" w:rsidRPr="007628C7">
        <w:rPr>
          <w:noProof/>
          <w:lang w:val="en-US"/>
        </w:rPr>
        <w:t>. P</w:t>
      </w:r>
      <w:r w:rsidR="0071550C" w:rsidRPr="007628C7">
        <w:rPr>
          <w:noProof/>
          <w:shd w:val="clear" w:color="auto" w:fill="FFFFFF" w:themeFill="background1"/>
          <w:lang w:val="en-US"/>
        </w:rPr>
        <w:t>p. 829-832. N</w:t>
      </w:r>
      <w:r>
        <w:rPr>
          <w:noProof/>
          <w:lang w:val="en-US"/>
        </w:rPr>
        <w:t xml:space="preserve">ew </w:t>
      </w:r>
      <w:r w:rsidR="0071550C">
        <w:rPr>
          <w:noProof/>
          <w:lang w:val="en-US"/>
        </w:rPr>
        <w:t>York</w:t>
      </w:r>
      <w:r>
        <w:rPr>
          <w:noProof/>
          <w:lang w:val="en-US"/>
        </w:rPr>
        <w:t xml:space="preserve">, USA: </w:t>
      </w:r>
      <w:r w:rsidRPr="00CE2921">
        <w:rPr>
          <w:noProof/>
          <w:lang w:val="en-US"/>
        </w:rPr>
        <w:t>John Wiley &amp; Sons</w:t>
      </w:r>
      <w:r>
        <w:rPr>
          <w:noProof/>
          <w:lang w:val="en-US"/>
        </w:rPr>
        <w:t>, Inc.</w:t>
      </w:r>
    </w:p>
    <w:p w:rsidR="00296F54" w:rsidRPr="00722C5B" w:rsidRDefault="00296F54" w:rsidP="00314634">
      <w:pPr>
        <w:spacing w:line="480" w:lineRule="auto"/>
        <w:ind w:left="284" w:hanging="284"/>
        <w:jc w:val="both"/>
        <w:rPr>
          <w:lang w:val="en-US"/>
        </w:rPr>
      </w:pPr>
      <w:proofErr w:type="spellStart"/>
      <w:r w:rsidRPr="00722C5B">
        <w:rPr>
          <w:lang w:val="en-US"/>
        </w:rPr>
        <w:t>Omura</w:t>
      </w:r>
      <w:proofErr w:type="spellEnd"/>
      <w:r w:rsidRPr="00722C5B">
        <w:rPr>
          <w:lang w:val="en-US"/>
        </w:rPr>
        <w:t xml:space="preserve">, K. (1995). </w:t>
      </w:r>
      <w:proofErr w:type="gramStart"/>
      <w:r w:rsidRPr="00722C5B">
        <w:rPr>
          <w:lang w:val="en-US"/>
        </w:rPr>
        <w:t xml:space="preserve">Antioxidant synergism between </w:t>
      </w:r>
      <w:proofErr w:type="spellStart"/>
      <w:r w:rsidRPr="00722C5B">
        <w:rPr>
          <w:lang w:val="en-US"/>
        </w:rPr>
        <w:t>butylated</w:t>
      </w:r>
      <w:proofErr w:type="spellEnd"/>
      <w:r w:rsidRPr="00722C5B">
        <w:rPr>
          <w:lang w:val="en-US"/>
        </w:rPr>
        <w:t xml:space="preserve"> </w:t>
      </w:r>
      <w:proofErr w:type="spellStart"/>
      <w:r w:rsidRPr="00722C5B">
        <w:rPr>
          <w:lang w:val="en-US"/>
        </w:rPr>
        <w:t>hydroxyanisole</w:t>
      </w:r>
      <w:proofErr w:type="spellEnd"/>
      <w:r w:rsidRPr="00722C5B">
        <w:rPr>
          <w:lang w:val="en-US"/>
        </w:rPr>
        <w:t xml:space="preserve"> and </w:t>
      </w:r>
      <w:proofErr w:type="spellStart"/>
      <w:r w:rsidRPr="00722C5B">
        <w:rPr>
          <w:lang w:val="en-US"/>
        </w:rPr>
        <w:t>butylated</w:t>
      </w:r>
      <w:proofErr w:type="spellEnd"/>
      <w:r w:rsidRPr="00722C5B">
        <w:rPr>
          <w:lang w:val="en-US"/>
        </w:rPr>
        <w:t xml:space="preserve"> </w:t>
      </w:r>
      <w:proofErr w:type="spellStart"/>
      <w:r w:rsidRPr="00722C5B">
        <w:rPr>
          <w:lang w:val="en-US"/>
        </w:rPr>
        <w:t>hydroxytoluene</w:t>
      </w:r>
      <w:proofErr w:type="spellEnd"/>
      <w:r w:rsidRPr="00722C5B">
        <w:rPr>
          <w:lang w:val="en-US"/>
        </w:rPr>
        <w:t>.</w:t>
      </w:r>
      <w:proofErr w:type="gramEnd"/>
      <w:r w:rsidRPr="00722C5B">
        <w:rPr>
          <w:lang w:val="en-US"/>
        </w:rPr>
        <w:t xml:space="preserve"> </w:t>
      </w:r>
      <w:r w:rsidRPr="00722C5B">
        <w:rPr>
          <w:i/>
          <w:lang w:val="en-US"/>
        </w:rPr>
        <w:t>Journal of the American Oil Chemists’ Society</w:t>
      </w:r>
      <w:r w:rsidRPr="00722C5B">
        <w:rPr>
          <w:lang w:val="en-US"/>
        </w:rPr>
        <w:t xml:space="preserve">, </w:t>
      </w:r>
      <w:r w:rsidRPr="00722C5B">
        <w:rPr>
          <w:b/>
          <w:lang w:val="en-US"/>
        </w:rPr>
        <w:t>72,</w:t>
      </w:r>
      <w:r w:rsidRPr="00722C5B">
        <w:rPr>
          <w:lang w:val="en-US"/>
        </w:rPr>
        <w:t xml:space="preserve"> 1565-1570.</w:t>
      </w:r>
    </w:p>
    <w:p w:rsidR="00296F54" w:rsidRPr="00722C5B" w:rsidRDefault="00296F54" w:rsidP="00314634">
      <w:pPr>
        <w:spacing w:line="480" w:lineRule="auto"/>
        <w:ind w:left="284" w:hanging="284"/>
        <w:jc w:val="both"/>
        <w:rPr>
          <w:lang w:val="en-US"/>
        </w:rPr>
      </w:pPr>
      <w:proofErr w:type="spellStart"/>
      <w:r w:rsidRPr="00080EA5">
        <w:rPr>
          <w:shd w:val="clear" w:color="auto" w:fill="FFFFFF" w:themeFill="background1"/>
          <w:lang w:val="fr-CH"/>
        </w:rPr>
        <w:t>Shahidi</w:t>
      </w:r>
      <w:proofErr w:type="spellEnd"/>
      <w:r w:rsidRPr="00080EA5">
        <w:rPr>
          <w:shd w:val="clear" w:color="auto" w:fill="FFFFFF" w:themeFill="background1"/>
          <w:lang w:val="fr-CH"/>
        </w:rPr>
        <w:t xml:space="preserve">, F. &amp; Pegg, R. B. (1994). </w:t>
      </w:r>
      <w:proofErr w:type="spellStart"/>
      <w:proofErr w:type="gramStart"/>
      <w:r w:rsidRPr="00722C5B">
        <w:rPr>
          <w:shd w:val="clear" w:color="auto" w:fill="FFFFFF" w:themeFill="background1"/>
          <w:lang w:val="en-US"/>
        </w:rPr>
        <w:t>Hexanal</w:t>
      </w:r>
      <w:proofErr w:type="spellEnd"/>
      <w:r w:rsidRPr="00722C5B">
        <w:rPr>
          <w:shd w:val="clear" w:color="auto" w:fill="FFFFFF" w:themeFill="background1"/>
          <w:lang w:val="en-US"/>
        </w:rPr>
        <w:t xml:space="preserve"> as an indicator of the flavor deterioration of meat and meat products.</w:t>
      </w:r>
      <w:proofErr w:type="gramEnd"/>
      <w:r w:rsidRPr="00722C5B">
        <w:rPr>
          <w:shd w:val="clear" w:color="auto" w:fill="FFFFFF" w:themeFill="background1"/>
          <w:lang w:val="en-US"/>
        </w:rPr>
        <w:t xml:space="preserve"> In: </w:t>
      </w:r>
      <w:r w:rsidRPr="00722C5B">
        <w:rPr>
          <w:i/>
          <w:shd w:val="clear" w:color="auto" w:fill="FFFFFF" w:themeFill="background1"/>
          <w:lang w:val="en-US"/>
        </w:rPr>
        <w:t>Lipids in Food Flavors</w:t>
      </w:r>
      <w:r w:rsidRPr="00722C5B">
        <w:rPr>
          <w:shd w:val="clear" w:color="auto" w:fill="FFFFFF" w:themeFill="background1"/>
          <w:lang w:val="en-US"/>
        </w:rPr>
        <w:t xml:space="preserve"> (edited by </w:t>
      </w:r>
      <w:r w:rsidR="00736B92" w:rsidRPr="00722C5B">
        <w:rPr>
          <w:shd w:val="clear" w:color="auto" w:fill="FFFFFF" w:themeFill="background1"/>
          <w:lang w:val="en-US"/>
        </w:rPr>
        <w:t xml:space="preserve">C.-T. </w:t>
      </w:r>
      <w:proofErr w:type="gramStart"/>
      <w:r w:rsidR="00736B92" w:rsidRPr="00722C5B">
        <w:rPr>
          <w:shd w:val="clear" w:color="auto" w:fill="FFFFFF" w:themeFill="background1"/>
          <w:lang w:val="en-US"/>
        </w:rPr>
        <w:t xml:space="preserve">Ho &amp; T. G. </w:t>
      </w:r>
      <w:r w:rsidRPr="00722C5B">
        <w:rPr>
          <w:shd w:val="clear" w:color="auto" w:fill="FFFFFF" w:themeFill="background1"/>
          <w:lang w:val="en-US"/>
        </w:rPr>
        <w:t>Hartman</w:t>
      </w:r>
      <w:r w:rsidR="00736B92" w:rsidRPr="00722C5B">
        <w:rPr>
          <w:shd w:val="clear" w:color="auto" w:fill="FFFFFF" w:themeFill="background1"/>
          <w:lang w:val="en-US"/>
        </w:rPr>
        <w:t>)</w:t>
      </w:r>
      <w:r w:rsidRPr="00722C5B">
        <w:rPr>
          <w:shd w:val="clear" w:color="auto" w:fill="FFFFFF" w:themeFill="background1"/>
          <w:lang w:val="en-US"/>
        </w:rPr>
        <w:t>.</w:t>
      </w:r>
      <w:proofErr w:type="gramEnd"/>
      <w:r w:rsidRPr="00722C5B">
        <w:rPr>
          <w:shd w:val="clear" w:color="auto" w:fill="FFFFFF" w:themeFill="background1"/>
          <w:lang w:val="en-US"/>
        </w:rPr>
        <w:t xml:space="preserve"> Pp. 256-279. New Jersey, </w:t>
      </w:r>
      <w:r w:rsidR="002D0628" w:rsidRPr="00722C5B">
        <w:rPr>
          <w:shd w:val="clear" w:color="auto" w:fill="FFFFFF" w:themeFill="background1"/>
          <w:lang w:val="en-US"/>
        </w:rPr>
        <w:t>USA</w:t>
      </w:r>
      <w:r w:rsidRPr="00722C5B">
        <w:rPr>
          <w:shd w:val="clear" w:color="auto" w:fill="FFFFFF" w:themeFill="background1"/>
          <w:lang w:val="en-US"/>
        </w:rPr>
        <w:t>: American Chemical Society</w:t>
      </w:r>
      <w:r w:rsidR="0076776B" w:rsidRPr="00722C5B">
        <w:rPr>
          <w:shd w:val="clear" w:color="auto" w:fill="FFFFFF" w:themeFill="background1"/>
          <w:lang w:val="en-US"/>
        </w:rPr>
        <w:t xml:space="preserve"> (ACS)</w:t>
      </w:r>
      <w:r w:rsidRPr="00722C5B">
        <w:rPr>
          <w:shd w:val="clear" w:color="auto" w:fill="FFFFFF" w:themeFill="background1"/>
          <w:lang w:val="en-US"/>
        </w:rPr>
        <w:t>.</w:t>
      </w:r>
    </w:p>
    <w:p w:rsidR="003C3BB7" w:rsidRPr="00CE2921" w:rsidRDefault="003C3BB7" w:rsidP="00314634">
      <w:pPr>
        <w:spacing w:line="480" w:lineRule="auto"/>
        <w:ind w:left="284" w:hanging="284"/>
        <w:jc w:val="both"/>
        <w:rPr>
          <w:lang w:val="en-US"/>
        </w:rPr>
      </w:pPr>
      <w:proofErr w:type="spellStart"/>
      <w:proofErr w:type="gramStart"/>
      <w:r w:rsidRPr="00722C5B">
        <w:rPr>
          <w:shd w:val="clear" w:color="auto" w:fill="FFFFFF" w:themeFill="background1"/>
          <w:lang w:val="en-US"/>
        </w:rPr>
        <w:t>Shahidi</w:t>
      </w:r>
      <w:proofErr w:type="spellEnd"/>
      <w:r w:rsidRPr="00722C5B">
        <w:rPr>
          <w:shd w:val="clear" w:color="auto" w:fill="FFFFFF" w:themeFill="background1"/>
          <w:lang w:val="en-US"/>
        </w:rPr>
        <w:t xml:space="preserve">, F. &amp; </w:t>
      </w:r>
      <w:proofErr w:type="spellStart"/>
      <w:r w:rsidRPr="00722C5B">
        <w:rPr>
          <w:shd w:val="clear" w:color="auto" w:fill="FFFFFF" w:themeFill="background1"/>
          <w:lang w:val="en-US"/>
        </w:rPr>
        <w:t>Wanasundara</w:t>
      </w:r>
      <w:proofErr w:type="spellEnd"/>
      <w:r w:rsidRPr="00722C5B">
        <w:rPr>
          <w:shd w:val="clear" w:color="auto" w:fill="FFFFFF" w:themeFill="background1"/>
          <w:lang w:val="en-US"/>
        </w:rPr>
        <w:t>, U. N. (2008).</w:t>
      </w:r>
      <w:proofErr w:type="gramEnd"/>
      <w:r w:rsidRPr="00722C5B">
        <w:rPr>
          <w:shd w:val="clear" w:color="auto" w:fill="FFFFFF" w:themeFill="background1"/>
          <w:lang w:val="en-US"/>
        </w:rPr>
        <w:t xml:space="preserve"> </w:t>
      </w:r>
      <w:proofErr w:type="gramStart"/>
      <w:r w:rsidRPr="00722C5B">
        <w:rPr>
          <w:shd w:val="clear" w:color="auto" w:fill="FFFFFF" w:themeFill="background1"/>
          <w:lang w:val="en-US"/>
        </w:rPr>
        <w:t xml:space="preserve">Methods for measuring oxidative rancidity in fats </w:t>
      </w:r>
      <w:r w:rsidRPr="00CE2921">
        <w:rPr>
          <w:shd w:val="clear" w:color="auto" w:fill="FFFFFF" w:themeFill="background1"/>
          <w:lang w:val="en-US"/>
        </w:rPr>
        <w:t>and oils.</w:t>
      </w:r>
      <w:proofErr w:type="gramEnd"/>
      <w:r w:rsidRPr="00CE2921">
        <w:rPr>
          <w:shd w:val="clear" w:color="auto" w:fill="FFFFFF" w:themeFill="background1"/>
          <w:lang w:val="en-US"/>
        </w:rPr>
        <w:t xml:space="preserve"> In: </w:t>
      </w:r>
      <w:r w:rsidRPr="00CE2921">
        <w:rPr>
          <w:i/>
          <w:shd w:val="clear" w:color="auto" w:fill="FFFFFF" w:themeFill="background1"/>
          <w:lang w:val="en-US"/>
        </w:rPr>
        <w:t>Food Lipids</w:t>
      </w:r>
      <w:r w:rsidRPr="00CE2921">
        <w:rPr>
          <w:shd w:val="clear" w:color="auto" w:fill="FFFFFF" w:themeFill="background1"/>
          <w:lang w:val="en-US"/>
        </w:rPr>
        <w:t xml:space="preserve"> (edited by C. </w:t>
      </w:r>
      <w:proofErr w:type="spellStart"/>
      <w:r w:rsidRPr="00CE2921">
        <w:rPr>
          <w:shd w:val="clear" w:color="auto" w:fill="FFFFFF" w:themeFill="background1"/>
          <w:lang w:val="en-US"/>
        </w:rPr>
        <w:t>Akoh</w:t>
      </w:r>
      <w:proofErr w:type="spellEnd"/>
      <w:r w:rsidRPr="00CE2921">
        <w:rPr>
          <w:shd w:val="clear" w:color="auto" w:fill="FFFFFF" w:themeFill="background1"/>
          <w:lang w:val="en-US"/>
        </w:rPr>
        <w:t xml:space="preserve"> &amp; D. B. Min). Pp. 387-408. New York, </w:t>
      </w:r>
      <w:r w:rsidR="002D0628" w:rsidRPr="00CE2921">
        <w:rPr>
          <w:shd w:val="clear" w:color="auto" w:fill="FFFFFF" w:themeFill="background1"/>
          <w:lang w:val="en-US"/>
        </w:rPr>
        <w:t>USA</w:t>
      </w:r>
      <w:r w:rsidRPr="00CE2921">
        <w:rPr>
          <w:shd w:val="clear" w:color="auto" w:fill="FFFFFF" w:themeFill="background1"/>
          <w:lang w:val="en-US"/>
        </w:rPr>
        <w:t>: Marcel Dekker.</w:t>
      </w:r>
    </w:p>
    <w:p w:rsidR="00CE2921" w:rsidRPr="00CE2921" w:rsidRDefault="00CE2921" w:rsidP="00CE2921">
      <w:pPr>
        <w:shd w:val="clear" w:color="auto" w:fill="FFFFFF" w:themeFill="background1"/>
        <w:spacing w:line="480" w:lineRule="auto"/>
        <w:ind w:left="284" w:hanging="284"/>
        <w:jc w:val="both"/>
        <w:rPr>
          <w:noProof/>
          <w:lang w:val="en-US"/>
        </w:rPr>
      </w:pPr>
      <w:r w:rsidRPr="00CE2921">
        <w:rPr>
          <w:noProof/>
          <w:lang w:val="en-US"/>
        </w:rPr>
        <w:t xml:space="preserve">Shahidi, F. &amp; Zhong, Y. (2005). </w:t>
      </w:r>
      <w:r w:rsidR="00BC3AB7">
        <w:rPr>
          <w:noProof/>
          <w:lang w:val="en-US"/>
        </w:rPr>
        <w:t>Antioxidants: Regulatory status</w:t>
      </w:r>
      <w:r w:rsidRPr="00CE2921">
        <w:rPr>
          <w:noProof/>
          <w:lang w:val="en-US"/>
        </w:rPr>
        <w:t>. In</w:t>
      </w:r>
      <w:r w:rsidR="000D69DB">
        <w:rPr>
          <w:noProof/>
          <w:lang w:val="en-US"/>
        </w:rPr>
        <w:t>:</w:t>
      </w:r>
      <w:r w:rsidRPr="00CE2921">
        <w:rPr>
          <w:noProof/>
          <w:lang w:val="en-US"/>
        </w:rPr>
        <w:t xml:space="preserve"> </w:t>
      </w:r>
      <w:r w:rsidRPr="00CE2921">
        <w:rPr>
          <w:i/>
          <w:noProof/>
          <w:lang w:val="en-US"/>
        </w:rPr>
        <w:t xml:space="preserve">Bailey's Industrial Oil and Fat Products </w:t>
      </w:r>
      <w:r>
        <w:rPr>
          <w:noProof/>
          <w:lang w:val="en-US"/>
        </w:rPr>
        <w:t xml:space="preserve">(edited by </w:t>
      </w:r>
      <w:r w:rsidRPr="00CE2921">
        <w:rPr>
          <w:noProof/>
          <w:lang w:val="en-US"/>
        </w:rPr>
        <w:t>F. Shahidi</w:t>
      </w:r>
      <w:r>
        <w:rPr>
          <w:noProof/>
          <w:lang w:val="en-US"/>
        </w:rPr>
        <w:t>).</w:t>
      </w:r>
      <w:r w:rsidRPr="00CE2921">
        <w:rPr>
          <w:noProof/>
          <w:lang w:val="en-US"/>
        </w:rPr>
        <w:t xml:space="preserve"> </w:t>
      </w:r>
      <w:r>
        <w:rPr>
          <w:noProof/>
          <w:lang w:val="en-US"/>
        </w:rPr>
        <w:t>P</w:t>
      </w:r>
      <w:r w:rsidRPr="00CE2921">
        <w:rPr>
          <w:noProof/>
          <w:lang w:val="en-US"/>
        </w:rPr>
        <w:t xml:space="preserve">p. </w:t>
      </w:r>
      <w:r w:rsidR="00BC3AB7">
        <w:rPr>
          <w:noProof/>
          <w:lang w:val="en-US"/>
        </w:rPr>
        <w:t>491-512</w:t>
      </w:r>
      <w:r w:rsidRPr="00CE2921">
        <w:rPr>
          <w:noProof/>
          <w:lang w:val="en-US"/>
        </w:rPr>
        <w:t xml:space="preserve">. </w:t>
      </w:r>
      <w:r>
        <w:rPr>
          <w:noProof/>
          <w:lang w:val="en-US"/>
        </w:rPr>
        <w:t xml:space="preserve">New </w:t>
      </w:r>
      <w:r w:rsidR="00BC3AB7">
        <w:rPr>
          <w:noProof/>
          <w:lang w:val="en-US"/>
        </w:rPr>
        <w:t>Jersey, USA</w:t>
      </w:r>
      <w:r>
        <w:rPr>
          <w:noProof/>
          <w:lang w:val="en-US"/>
        </w:rPr>
        <w:t xml:space="preserve">: </w:t>
      </w:r>
      <w:r w:rsidRPr="00CE2921">
        <w:rPr>
          <w:noProof/>
          <w:lang w:val="en-US"/>
        </w:rPr>
        <w:t>John Wiley &amp; Sons</w:t>
      </w:r>
      <w:r w:rsidR="00BC3AB7">
        <w:rPr>
          <w:noProof/>
          <w:lang w:val="en-US"/>
        </w:rPr>
        <w:t>, Inc.</w:t>
      </w:r>
    </w:p>
    <w:p w:rsidR="00296F54" w:rsidRPr="00722C5B" w:rsidRDefault="00296F54" w:rsidP="00314634">
      <w:pPr>
        <w:spacing w:line="480" w:lineRule="auto"/>
        <w:ind w:left="284" w:hanging="284"/>
        <w:jc w:val="both"/>
        <w:rPr>
          <w:lang w:val="en-US"/>
        </w:rPr>
      </w:pPr>
      <w:proofErr w:type="spellStart"/>
      <w:r w:rsidRPr="00080EA5">
        <w:rPr>
          <w:shd w:val="clear" w:color="auto" w:fill="FFFFFF" w:themeFill="background1"/>
          <w:lang w:val="fr-CH"/>
        </w:rPr>
        <w:t>Taoukis</w:t>
      </w:r>
      <w:proofErr w:type="spellEnd"/>
      <w:r w:rsidRPr="00080EA5">
        <w:rPr>
          <w:shd w:val="clear" w:color="auto" w:fill="FFFFFF" w:themeFill="background1"/>
          <w:lang w:val="fr-CH"/>
        </w:rPr>
        <w:t xml:space="preserve">, P. S. &amp; </w:t>
      </w:r>
      <w:proofErr w:type="spellStart"/>
      <w:r w:rsidRPr="00080EA5">
        <w:rPr>
          <w:shd w:val="clear" w:color="auto" w:fill="FFFFFF" w:themeFill="background1"/>
          <w:lang w:val="fr-CH"/>
        </w:rPr>
        <w:t>Labuza</w:t>
      </w:r>
      <w:proofErr w:type="spellEnd"/>
      <w:r w:rsidRPr="00080EA5">
        <w:rPr>
          <w:shd w:val="clear" w:color="auto" w:fill="FFFFFF" w:themeFill="background1"/>
          <w:lang w:val="fr-CH"/>
        </w:rPr>
        <w:t xml:space="preserve">, T. P. (1996). </w:t>
      </w:r>
      <w:r w:rsidR="00297E1D" w:rsidRPr="00722C5B">
        <w:rPr>
          <w:shd w:val="clear" w:color="auto" w:fill="FFFFFF" w:themeFill="background1"/>
          <w:lang w:val="en-US"/>
        </w:rPr>
        <w:t xml:space="preserve">Summary: </w:t>
      </w:r>
      <w:r w:rsidRPr="00722C5B">
        <w:rPr>
          <w:shd w:val="clear" w:color="auto" w:fill="FFFFFF" w:themeFill="background1"/>
          <w:lang w:val="en-US"/>
        </w:rPr>
        <w:t xml:space="preserve">Integrative concepts. In: </w:t>
      </w:r>
      <w:r w:rsidRPr="00722C5B">
        <w:rPr>
          <w:i/>
          <w:shd w:val="clear" w:color="auto" w:fill="FFFFFF" w:themeFill="background1"/>
          <w:lang w:val="en-US"/>
        </w:rPr>
        <w:t>Food Chemistry</w:t>
      </w:r>
      <w:r w:rsidRPr="00722C5B">
        <w:rPr>
          <w:shd w:val="clear" w:color="auto" w:fill="FFFFFF" w:themeFill="background1"/>
          <w:lang w:val="en-US"/>
        </w:rPr>
        <w:t xml:space="preserve"> (edited by </w:t>
      </w:r>
      <w:r w:rsidR="00297E1D" w:rsidRPr="00722C5B">
        <w:rPr>
          <w:shd w:val="clear" w:color="auto" w:fill="FFFFFF" w:themeFill="background1"/>
          <w:lang w:val="en-US"/>
        </w:rPr>
        <w:t xml:space="preserve">O. R. </w:t>
      </w:r>
      <w:proofErr w:type="spellStart"/>
      <w:r w:rsidRPr="00722C5B">
        <w:rPr>
          <w:shd w:val="clear" w:color="auto" w:fill="FFFFFF" w:themeFill="background1"/>
          <w:lang w:val="en-US"/>
        </w:rPr>
        <w:t>Fennema</w:t>
      </w:r>
      <w:proofErr w:type="spellEnd"/>
      <w:r w:rsidRPr="00722C5B">
        <w:rPr>
          <w:shd w:val="clear" w:color="auto" w:fill="FFFFFF" w:themeFill="background1"/>
          <w:lang w:val="en-US"/>
        </w:rPr>
        <w:t xml:space="preserve">). Pp. 1013-1042. New York, </w:t>
      </w:r>
      <w:r w:rsidR="002D0628" w:rsidRPr="00722C5B">
        <w:rPr>
          <w:shd w:val="clear" w:color="auto" w:fill="FFFFFF" w:themeFill="background1"/>
          <w:lang w:val="en-US"/>
        </w:rPr>
        <w:t>USA:</w:t>
      </w:r>
      <w:r w:rsidRPr="00722C5B">
        <w:rPr>
          <w:shd w:val="clear" w:color="auto" w:fill="FFFFFF" w:themeFill="background1"/>
          <w:lang w:val="en-US"/>
        </w:rPr>
        <w:t xml:space="preserve"> Marcel Dekker.</w:t>
      </w:r>
    </w:p>
    <w:p w:rsidR="00296F54" w:rsidRPr="00722C5B" w:rsidRDefault="00296F54" w:rsidP="00314634">
      <w:pPr>
        <w:spacing w:line="480" w:lineRule="auto"/>
        <w:ind w:left="284" w:hanging="284"/>
        <w:jc w:val="both"/>
        <w:rPr>
          <w:lang w:val="en-US"/>
        </w:rPr>
      </w:pPr>
      <w:proofErr w:type="spellStart"/>
      <w:proofErr w:type="gramStart"/>
      <w:r w:rsidRPr="00722C5B">
        <w:rPr>
          <w:shd w:val="clear" w:color="auto" w:fill="FFFFFF" w:themeFill="background1"/>
          <w:lang w:val="en-US"/>
        </w:rPr>
        <w:t>Wanasundara</w:t>
      </w:r>
      <w:proofErr w:type="spellEnd"/>
      <w:r w:rsidRPr="00722C5B">
        <w:rPr>
          <w:shd w:val="clear" w:color="auto" w:fill="FFFFFF" w:themeFill="background1"/>
          <w:lang w:val="en-US"/>
        </w:rPr>
        <w:t xml:space="preserve">, P. K. J. P. D. &amp; </w:t>
      </w:r>
      <w:proofErr w:type="spellStart"/>
      <w:r w:rsidRPr="00722C5B">
        <w:rPr>
          <w:shd w:val="clear" w:color="auto" w:fill="FFFFFF" w:themeFill="background1"/>
          <w:lang w:val="en-US"/>
        </w:rPr>
        <w:t>Shahidi</w:t>
      </w:r>
      <w:proofErr w:type="spellEnd"/>
      <w:r w:rsidRPr="00722C5B">
        <w:rPr>
          <w:shd w:val="clear" w:color="auto" w:fill="FFFFFF" w:themeFill="background1"/>
          <w:lang w:val="en-US"/>
        </w:rPr>
        <w:t>, F. (2005).</w:t>
      </w:r>
      <w:proofErr w:type="gramEnd"/>
      <w:r w:rsidRPr="00722C5B">
        <w:rPr>
          <w:shd w:val="clear" w:color="auto" w:fill="FFFFFF" w:themeFill="background1"/>
          <w:lang w:val="en-US"/>
        </w:rPr>
        <w:t xml:space="preserve"> Antioxidants: Science, Technology, and Applications. In: </w:t>
      </w:r>
      <w:r w:rsidRPr="00722C5B">
        <w:rPr>
          <w:i/>
          <w:shd w:val="clear" w:color="auto" w:fill="FFFFFF" w:themeFill="background1"/>
          <w:lang w:val="en-US"/>
        </w:rPr>
        <w:t>Bailey’s Industrial Oil and Fat Products</w:t>
      </w:r>
      <w:r w:rsidRPr="00722C5B">
        <w:rPr>
          <w:shd w:val="clear" w:color="auto" w:fill="FFFFFF" w:themeFill="background1"/>
          <w:lang w:val="en-US"/>
        </w:rPr>
        <w:t xml:space="preserve">. </w:t>
      </w:r>
      <w:proofErr w:type="gramStart"/>
      <w:r w:rsidR="00BD108F" w:rsidRPr="00722C5B">
        <w:rPr>
          <w:shd w:val="clear" w:color="auto" w:fill="FFFFFF" w:themeFill="background1"/>
          <w:lang w:val="en-US"/>
        </w:rPr>
        <w:t xml:space="preserve">6th </w:t>
      </w:r>
      <w:proofErr w:type="spellStart"/>
      <w:r w:rsidR="00BD108F" w:rsidRPr="00722C5B">
        <w:rPr>
          <w:shd w:val="clear" w:color="auto" w:fill="FFFFFF" w:themeFill="background1"/>
          <w:lang w:val="en-US"/>
        </w:rPr>
        <w:t>edn</w:t>
      </w:r>
      <w:proofErr w:type="spellEnd"/>
      <w:r w:rsidR="00BD108F" w:rsidRPr="00722C5B">
        <w:rPr>
          <w:shd w:val="clear" w:color="auto" w:fill="FFFFFF" w:themeFill="background1"/>
          <w:lang w:val="en-US"/>
        </w:rPr>
        <w:t>.</w:t>
      </w:r>
      <w:proofErr w:type="gramEnd"/>
      <w:r w:rsidR="00BD108F" w:rsidRPr="00722C5B">
        <w:rPr>
          <w:shd w:val="clear" w:color="auto" w:fill="FFFFFF" w:themeFill="background1"/>
          <w:lang w:val="en-US"/>
        </w:rPr>
        <w:t xml:space="preserve"> (</w:t>
      </w:r>
      <w:proofErr w:type="gramStart"/>
      <w:r w:rsidR="00BD108F" w:rsidRPr="00722C5B">
        <w:rPr>
          <w:shd w:val="clear" w:color="auto" w:fill="FFFFFF" w:themeFill="background1"/>
          <w:lang w:val="en-US"/>
        </w:rPr>
        <w:t>edited</w:t>
      </w:r>
      <w:proofErr w:type="gramEnd"/>
      <w:r w:rsidR="00BD108F" w:rsidRPr="00722C5B">
        <w:rPr>
          <w:shd w:val="clear" w:color="auto" w:fill="FFFFFF" w:themeFill="background1"/>
          <w:lang w:val="en-US"/>
        </w:rPr>
        <w:t xml:space="preserve"> by F. </w:t>
      </w:r>
      <w:proofErr w:type="spellStart"/>
      <w:r w:rsidR="00BD108F" w:rsidRPr="00722C5B">
        <w:rPr>
          <w:shd w:val="clear" w:color="auto" w:fill="FFFFFF" w:themeFill="background1"/>
          <w:lang w:val="en-US"/>
        </w:rPr>
        <w:t>Shahidi</w:t>
      </w:r>
      <w:proofErr w:type="spellEnd"/>
      <w:r w:rsidR="00BD108F" w:rsidRPr="00722C5B">
        <w:rPr>
          <w:shd w:val="clear" w:color="auto" w:fill="FFFFFF" w:themeFill="background1"/>
          <w:lang w:val="en-US"/>
        </w:rPr>
        <w:t>). Pp. 431-490. New Jersey</w:t>
      </w:r>
      <w:r w:rsidR="002D0628" w:rsidRPr="00722C5B">
        <w:rPr>
          <w:shd w:val="clear" w:color="auto" w:fill="FFFFFF" w:themeFill="background1"/>
          <w:lang w:val="en-US"/>
        </w:rPr>
        <w:t>, USA</w:t>
      </w:r>
      <w:r w:rsidR="00BD108F" w:rsidRPr="00722C5B">
        <w:rPr>
          <w:shd w:val="clear" w:color="auto" w:fill="FFFFFF" w:themeFill="background1"/>
          <w:lang w:val="en-US"/>
        </w:rPr>
        <w:t xml:space="preserve">: </w:t>
      </w:r>
      <w:r w:rsidRPr="00722C5B">
        <w:rPr>
          <w:shd w:val="clear" w:color="auto" w:fill="FFFFFF" w:themeFill="background1"/>
          <w:lang w:val="en-US"/>
        </w:rPr>
        <w:t>John Wiley &amp; Sons, Inc.</w:t>
      </w:r>
    </w:p>
    <w:p w:rsidR="00823C48" w:rsidRPr="00722C5B" w:rsidRDefault="00823C48" w:rsidP="00314634">
      <w:pPr>
        <w:spacing w:line="480" w:lineRule="auto"/>
        <w:ind w:left="284" w:hanging="284"/>
        <w:jc w:val="both"/>
        <w:rPr>
          <w:lang w:val="en-US"/>
        </w:rPr>
      </w:pPr>
      <w:proofErr w:type="gramStart"/>
      <w:r w:rsidRPr="00722C5B">
        <w:rPr>
          <w:lang w:val="en-US"/>
        </w:rPr>
        <w:t>Yang, M.-H.</w:t>
      </w:r>
      <w:r w:rsidR="00B81F43" w:rsidRPr="00722C5B">
        <w:rPr>
          <w:lang w:val="en-US"/>
        </w:rPr>
        <w:t>,</w:t>
      </w:r>
      <w:r w:rsidRPr="00722C5B">
        <w:rPr>
          <w:lang w:val="en-US"/>
        </w:rPr>
        <w:t xml:space="preserve"> Lin, H.-J.</w:t>
      </w:r>
      <w:proofErr w:type="gramEnd"/>
      <w:r w:rsidRPr="00722C5B">
        <w:rPr>
          <w:lang w:val="en-US"/>
        </w:rPr>
        <w:t xml:space="preserve"> &amp; </w:t>
      </w:r>
      <w:proofErr w:type="spellStart"/>
      <w:r w:rsidRPr="00722C5B">
        <w:rPr>
          <w:lang w:val="en-US"/>
        </w:rPr>
        <w:t>Choong</w:t>
      </w:r>
      <w:proofErr w:type="spellEnd"/>
      <w:r w:rsidRPr="00722C5B">
        <w:rPr>
          <w:lang w:val="en-US"/>
        </w:rPr>
        <w:t xml:space="preserve">, Y.-M. </w:t>
      </w:r>
      <w:proofErr w:type="gramStart"/>
      <w:r w:rsidRPr="00722C5B">
        <w:rPr>
          <w:lang w:val="en-US"/>
        </w:rPr>
        <w:t>(2002). A rapid gas chromatographic method for direct determination of BHA, BHT and TBHQ in edible oils and fats.</w:t>
      </w:r>
      <w:proofErr w:type="gramEnd"/>
      <w:r w:rsidRPr="00722C5B">
        <w:rPr>
          <w:lang w:val="en-US"/>
        </w:rPr>
        <w:t xml:space="preserve"> </w:t>
      </w:r>
      <w:r w:rsidRPr="00722C5B">
        <w:rPr>
          <w:i/>
          <w:lang w:val="en-US"/>
        </w:rPr>
        <w:t>Food Research International</w:t>
      </w:r>
      <w:r w:rsidRPr="00722C5B">
        <w:rPr>
          <w:lang w:val="en-US"/>
        </w:rPr>
        <w:t xml:space="preserve">, </w:t>
      </w:r>
      <w:r w:rsidRPr="00722C5B">
        <w:rPr>
          <w:b/>
          <w:lang w:val="en-US"/>
        </w:rPr>
        <w:t xml:space="preserve">35, </w:t>
      </w:r>
      <w:r w:rsidRPr="00722C5B">
        <w:rPr>
          <w:lang w:val="en-US"/>
        </w:rPr>
        <w:t>627-633.</w:t>
      </w:r>
    </w:p>
    <w:p w:rsidR="001C1224" w:rsidRPr="00722C5B" w:rsidRDefault="001C1224" w:rsidP="005C4A26">
      <w:pPr>
        <w:spacing w:line="480" w:lineRule="auto"/>
        <w:ind w:left="284" w:hanging="284"/>
        <w:jc w:val="both"/>
        <w:rPr>
          <w:lang w:val="en-US"/>
        </w:rPr>
      </w:pPr>
    </w:p>
    <w:p w:rsidR="001C1224" w:rsidRPr="00722C5B" w:rsidRDefault="001C1224" w:rsidP="005C4A26">
      <w:pPr>
        <w:spacing w:line="480" w:lineRule="auto"/>
        <w:ind w:left="284" w:hanging="284"/>
        <w:jc w:val="both"/>
        <w:rPr>
          <w:lang w:val="en-US"/>
        </w:rPr>
        <w:sectPr w:rsidR="001C1224" w:rsidRPr="00722C5B" w:rsidSect="009733E4">
          <w:pgSz w:w="11906" w:h="16838" w:code="9"/>
          <w:pgMar w:top="1418" w:right="1418" w:bottom="1418" w:left="1418" w:header="709" w:footer="709" w:gutter="0"/>
          <w:lnNumType w:countBy="1" w:restart="continuous"/>
          <w:cols w:space="708"/>
          <w:docGrid w:linePitch="360"/>
        </w:sectPr>
      </w:pPr>
    </w:p>
    <w:p w:rsidR="001C1224" w:rsidRPr="00722C5B" w:rsidRDefault="001C1224" w:rsidP="005C4A26">
      <w:pPr>
        <w:spacing w:line="480" w:lineRule="auto"/>
        <w:jc w:val="both"/>
        <w:rPr>
          <w:b/>
          <w:lang w:val="en-US"/>
        </w:rPr>
      </w:pPr>
      <w:r w:rsidRPr="00722C5B">
        <w:rPr>
          <w:b/>
          <w:lang w:val="en-US"/>
        </w:rPr>
        <w:lastRenderedPageBreak/>
        <w:t>Legends to Figures</w:t>
      </w:r>
    </w:p>
    <w:p w:rsidR="001C1224" w:rsidRPr="00722C5B" w:rsidRDefault="00052A41" w:rsidP="005C4A26">
      <w:pPr>
        <w:spacing w:line="480" w:lineRule="auto"/>
        <w:ind w:left="284" w:hanging="284"/>
        <w:jc w:val="both"/>
        <w:rPr>
          <w:lang w:val="en-US"/>
        </w:rPr>
      </w:pPr>
      <w:proofErr w:type="gramStart"/>
      <w:r w:rsidRPr="00722C5B">
        <w:rPr>
          <w:b/>
          <w:color w:val="000000" w:themeColor="text1"/>
          <w:lang w:val="en-US"/>
        </w:rPr>
        <w:t xml:space="preserve">Figure </w:t>
      </w:r>
      <w:r w:rsidR="00EB2E6C">
        <w:rPr>
          <w:b/>
          <w:color w:val="000000" w:themeColor="text1"/>
          <w:lang w:val="en-US"/>
        </w:rPr>
        <w:t>1</w:t>
      </w:r>
      <w:r w:rsidRPr="00722C5B">
        <w:rPr>
          <w:b/>
          <w:color w:val="000000" w:themeColor="text1"/>
          <w:lang w:val="en-US"/>
        </w:rPr>
        <w:t>.</w:t>
      </w:r>
      <w:proofErr w:type="gramEnd"/>
      <w:r w:rsidRPr="00722C5B">
        <w:rPr>
          <w:b/>
          <w:color w:val="000000" w:themeColor="text1"/>
          <w:lang w:val="en-US"/>
        </w:rPr>
        <w:t xml:space="preserve"> </w:t>
      </w:r>
      <w:r w:rsidR="00152B8C" w:rsidRPr="00722C5B">
        <w:rPr>
          <w:color w:val="000000" w:themeColor="text1"/>
          <w:lang w:val="en-US"/>
        </w:rPr>
        <w:t>Mean (</w:t>
      </w:r>
      <w:r w:rsidR="00152B8C" w:rsidRPr="00722C5B">
        <w:rPr>
          <w:i/>
          <w:color w:val="000000" w:themeColor="text1"/>
          <w:lang w:val="en-US"/>
        </w:rPr>
        <w:t>n</w:t>
      </w:r>
      <w:r w:rsidR="00152B8C" w:rsidRPr="00722C5B">
        <w:rPr>
          <w:color w:val="000000" w:themeColor="text1"/>
          <w:lang w:val="en-US"/>
        </w:rPr>
        <w:t>=3) f</w:t>
      </w:r>
      <w:r w:rsidRPr="00722C5B">
        <w:rPr>
          <w:color w:val="000000" w:themeColor="text1"/>
          <w:lang w:val="en-US"/>
        </w:rPr>
        <w:t xml:space="preserve">ormation of </w:t>
      </w:r>
      <w:proofErr w:type="spellStart"/>
      <w:r w:rsidRPr="00722C5B">
        <w:rPr>
          <w:color w:val="000000" w:themeColor="text1"/>
          <w:lang w:val="en-US"/>
        </w:rPr>
        <w:t>hydroperoxides</w:t>
      </w:r>
      <w:proofErr w:type="spellEnd"/>
      <w:r w:rsidRPr="00722C5B">
        <w:rPr>
          <w:color w:val="000000" w:themeColor="text1"/>
          <w:lang w:val="en-US"/>
        </w:rPr>
        <w:t xml:space="preserve"> during the storage of oils (</w:t>
      </w:r>
      <w:r w:rsidRPr="00722C5B">
        <w:rPr>
          <w:i/>
          <w:color w:val="000000" w:themeColor="text1"/>
          <w:lang w:val="en-US"/>
        </w:rPr>
        <w:t xml:space="preserve">i.e. </w:t>
      </w:r>
      <w:r w:rsidRPr="00722C5B">
        <w:rPr>
          <w:color w:val="000000" w:themeColor="text1"/>
          <w:lang w:val="en-US"/>
        </w:rPr>
        <w:t xml:space="preserve">HOSFO, SO, and SOs with added antioxidants) incubated at 35 °C </w:t>
      </w:r>
      <w:r w:rsidR="00827EE8" w:rsidRPr="00722C5B">
        <w:rPr>
          <w:color w:val="000000" w:themeColor="text1"/>
          <w:lang w:val="en-US"/>
        </w:rPr>
        <w:t xml:space="preserve">for </w:t>
      </w:r>
      <w:r w:rsidR="00E91CE8">
        <w:rPr>
          <w:color w:val="000000" w:themeColor="text1"/>
          <w:lang w:val="en-US"/>
        </w:rPr>
        <w:t>28</w:t>
      </w:r>
      <w:r w:rsidR="00827EE8" w:rsidRPr="00722C5B">
        <w:rPr>
          <w:color w:val="000000" w:themeColor="text1"/>
          <w:lang w:val="en-US"/>
        </w:rPr>
        <w:t> weeks</w:t>
      </w:r>
      <w:r w:rsidRPr="00722C5B">
        <w:rPr>
          <w:color w:val="000000" w:themeColor="text1"/>
          <w:lang w:val="en-US"/>
        </w:rPr>
        <w:t xml:space="preserve">. Refer to </w:t>
      </w:r>
      <w:r w:rsidRPr="00722C5B">
        <w:rPr>
          <w:b/>
          <w:color w:val="000000" w:themeColor="text1"/>
          <w:lang w:val="en-US"/>
        </w:rPr>
        <w:t>Table 1</w:t>
      </w:r>
      <w:r w:rsidRPr="00722C5B">
        <w:rPr>
          <w:color w:val="000000" w:themeColor="text1"/>
          <w:lang w:val="en-US"/>
        </w:rPr>
        <w:t xml:space="preserve"> for the abbreviations used in this study</w:t>
      </w:r>
      <w:r w:rsidR="001C1224" w:rsidRPr="00722C5B">
        <w:rPr>
          <w:lang w:val="en-US"/>
        </w:rPr>
        <w:t>.</w:t>
      </w:r>
    </w:p>
    <w:p w:rsidR="001C1224" w:rsidRPr="00722C5B" w:rsidRDefault="00052A41" w:rsidP="005C4A26">
      <w:pPr>
        <w:spacing w:line="480" w:lineRule="auto"/>
        <w:ind w:left="284" w:hanging="284"/>
        <w:jc w:val="both"/>
        <w:rPr>
          <w:lang w:val="en-US"/>
        </w:rPr>
      </w:pPr>
      <w:proofErr w:type="gramStart"/>
      <w:r w:rsidRPr="00722C5B">
        <w:rPr>
          <w:b/>
          <w:color w:val="000000" w:themeColor="text1"/>
          <w:lang w:val="en-US"/>
        </w:rPr>
        <w:t xml:space="preserve">Figure </w:t>
      </w:r>
      <w:r w:rsidR="00EB2E6C">
        <w:rPr>
          <w:b/>
          <w:color w:val="000000" w:themeColor="text1"/>
          <w:lang w:val="en-US"/>
        </w:rPr>
        <w:t>2</w:t>
      </w:r>
      <w:r w:rsidRPr="00722C5B">
        <w:rPr>
          <w:b/>
          <w:color w:val="000000" w:themeColor="text1"/>
          <w:lang w:val="en-US"/>
        </w:rPr>
        <w:t>.</w:t>
      </w:r>
      <w:proofErr w:type="gramEnd"/>
      <w:r w:rsidRPr="00722C5B">
        <w:rPr>
          <w:b/>
          <w:color w:val="000000" w:themeColor="text1"/>
          <w:lang w:val="en-US"/>
        </w:rPr>
        <w:t xml:space="preserve"> </w:t>
      </w:r>
      <w:r w:rsidR="00152B8C" w:rsidRPr="00722C5B">
        <w:rPr>
          <w:color w:val="000000" w:themeColor="text1"/>
          <w:lang w:val="en-US"/>
        </w:rPr>
        <w:t>Mean (</w:t>
      </w:r>
      <w:r w:rsidR="00152B8C" w:rsidRPr="00722C5B">
        <w:rPr>
          <w:i/>
          <w:color w:val="000000" w:themeColor="text1"/>
          <w:lang w:val="en-US"/>
        </w:rPr>
        <w:t>n</w:t>
      </w:r>
      <w:r w:rsidR="00152B8C" w:rsidRPr="00722C5B">
        <w:rPr>
          <w:color w:val="000000" w:themeColor="text1"/>
          <w:lang w:val="en-US"/>
        </w:rPr>
        <w:t>=3) a</w:t>
      </w:r>
      <w:r w:rsidRPr="00722C5B">
        <w:rPr>
          <w:color w:val="000000" w:themeColor="text1"/>
          <w:lang w:val="en-US"/>
        </w:rPr>
        <w:t xml:space="preserve">ccumulation of </w:t>
      </w:r>
      <w:proofErr w:type="spellStart"/>
      <w:r w:rsidRPr="00722C5B">
        <w:rPr>
          <w:color w:val="000000" w:themeColor="text1"/>
          <w:lang w:val="en-US"/>
        </w:rPr>
        <w:t>hexanal</w:t>
      </w:r>
      <w:proofErr w:type="spellEnd"/>
      <w:r w:rsidRPr="00722C5B">
        <w:rPr>
          <w:color w:val="000000" w:themeColor="text1"/>
          <w:lang w:val="en-US"/>
        </w:rPr>
        <w:t xml:space="preserve"> in the headspace during the storage of oils (</w:t>
      </w:r>
      <w:r w:rsidRPr="00722C5B">
        <w:rPr>
          <w:i/>
          <w:color w:val="000000" w:themeColor="text1"/>
          <w:lang w:val="en-US"/>
        </w:rPr>
        <w:t xml:space="preserve">i.e. </w:t>
      </w:r>
      <w:r w:rsidRPr="00722C5B">
        <w:rPr>
          <w:color w:val="000000" w:themeColor="text1"/>
          <w:lang w:val="en-US"/>
        </w:rPr>
        <w:t xml:space="preserve">HOSFO, SO, and SOs with added antioxidants) incubated at 35 °C </w:t>
      </w:r>
      <w:r w:rsidR="00827EE8" w:rsidRPr="00722C5B">
        <w:rPr>
          <w:color w:val="000000" w:themeColor="text1"/>
          <w:lang w:val="en-US"/>
        </w:rPr>
        <w:t xml:space="preserve">for </w:t>
      </w:r>
      <w:r w:rsidR="00E91CE8">
        <w:rPr>
          <w:color w:val="000000" w:themeColor="text1"/>
          <w:lang w:val="en-US"/>
        </w:rPr>
        <w:t>20</w:t>
      </w:r>
      <w:r w:rsidR="00827EE8" w:rsidRPr="00722C5B">
        <w:rPr>
          <w:color w:val="000000" w:themeColor="text1"/>
          <w:lang w:val="en-US"/>
        </w:rPr>
        <w:t> weeks</w:t>
      </w:r>
      <w:r w:rsidRPr="00722C5B">
        <w:rPr>
          <w:color w:val="000000" w:themeColor="text1"/>
          <w:lang w:val="en-US"/>
        </w:rPr>
        <w:t xml:space="preserve">. Refer to </w:t>
      </w:r>
      <w:r w:rsidRPr="00722C5B">
        <w:rPr>
          <w:b/>
          <w:color w:val="000000" w:themeColor="text1"/>
          <w:lang w:val="en-US"/>
        </w:rPr>
        <w:t>Table 1</w:t>
      </w:r>
      <w:r w:rsidRPr="00722C5B">
        <w:rPr>
          <w:color w:val="000000" w:themeColor="text1"/>
          <w:lang w:val="en-US"/>
        </w:rPr>
        <w:t xml:space="preserve"> for the abbreviations used in this study</w:t>
      </w:r>
      <w:r w:rsidR="001C1224" w:rsidRPr="00722C5B">
        <w:rPr>
          <w:lang w:val="en-US"/>
        </w:rPr>
        <w:t>.</w:t>
      </w:r>
    </w:p>
    <w:p w:rsidR="001C1224" w:rsidRDefault="001C1224" w:rsidP="005C4A26">
      <w:pPr>
        <w:spacing w:line="480" w:lineRule="auto"/>
        <w:jc w:val="both"/>
        <w:rPr>
          <w:lang w:val="en-US"/>
        </w:rPr>
      </w:pPr>
    </w:p>
    <w:p w:rsidR="008F4E02" w:rsidRDefault="008F4E02" w:rsidP="00823C48">
      <w:pPr>
        <w:ind w:left="720" w:hanging="720"/>
        <w:rPr>
          <w:lang w:val="en-US"/>
        </w:rPr>
        <w:sectPr w:rsidR="008F4E02" w:rsidSect="009733E4">
          <w:pgSz w:w="11906" w:h="16838" w:code="9"/>
          <w:pgMar w:top="1418" w:right="1418" w:bottom="1418" w:left="1418" w:header="709" w:footer="709" w:gutter="0"/>
          <w:lnNumType w:countBy="1" w:restart="continuous"/>
          <w:cols w:space="708"/>
          <w:docGrid w:linePitch="360"/>
        </w:sectPr>
      </w:pPr>
    </w:p>
    <w:p w:rsidR="008F4E02" w:rsidRDefault="008F4E02" w:rsidP="008F4E02">
      <w:pPr>
        <w:rPr>
          <w:shd w:val="clear" w:color="auto" w:fill="FFFFFF" w:themeFill="background1"/>
          <w:lang w:val="en-US"/>
        </w:rPr>
      </w:pPr>
    </w:p>
    <w:p w:rsidR="00A00C9F" w:rsidRDefault="00A00C9F" w:rsidP="00A00C9F">
      <w:pPr>
        <w:rPr>
          <w:color w:val="000000" w:themeColor="text1"/>
          <w:lang w:val="en-US"/>
        </w:rPr>
      </w:pPr>
      <w:proofErr w:type="gramStart"/>
      <w:r>
        <w:rPr>
          <w:b/>
          <w:lang w:val="en-US"/>
        </w:rPr>
        <w:t>Table 1.</w:t>
      </w:r>
      <w:proofErr w:type="gramEnd"/>
      <w:r w:rsidR="000D174A">
        <w:rPr>
          <w:b/>
          <w:lang w:val="en-US"/>
        </w:rPr>
        <w:t xml:space="preserve"> </w:t>
      </w:r>
      <w:r>
        <w:rPr>
          <w:lang w:val="en-US"/>
        </w:rPr>
        <w:t xml:space="preserve"> </w:t>
      </w:r>
      <w:r w:rsidR="000D174A" w:rsidRPr="00256BE0">
        <w:rPr>
          <w:color w:val="000000" w:themeColor="text1"/>
          <w:lang w:val="en-US"/>
        </w:rPr>
        <w:t>Mean (</w:t>
      </w:r>
      <w:r w:rsidR="000D174A" w:rsidRPr="00256BE0">
        <w:rPr>
          <w:i/>
          <w:color w:val="000000" w:themeColor="text1"/>
          <w:lang w:val="en-US"/>
        </w:rPr>
        <w:t>n</w:t>
      </w:r>
      <w:r w:rsidR="000D174A" w:rsidRPr="00256BE0">
        <w:rPr>
          <w:color w:val="000000" w:themeColor="text1"/>
          <w:lang w:val="en-US"/>
        </w:rPr>
        <w:t>=3) Oil stability index (OSI) values at 110 °C for HOSFO, as well as SO containing various mixtures of added antioxidants</w:t>
      </w:r>
      <w:r w:rsidR="000D174A">
        <w:rPr>
          <w:color w:val="000000" w:themeColor="text1"/>
          <w:lang w:val="en-US"/>
        </w:rPr>
        <w:t xml:space="preserve"> (Soy bean Oil, SO; High oleic sunflower oil, </w:t>
      </w:r>
      <w:r w:rsidR="002208F7">
        <w:rPr>
          <w:color w:val="000000" w:themeColor="text1"/>
          <w:lang w:val="en-US"/>
        </w:rPr>
        <w:t>HOSFO</w:t>
      </w:r>
      <w:r w:rsidR="000D174A">
        <w:rPr>
          <w:color w:val="000000" w:themeColor="text1"/>
          <w:lang w:val="en-US"/>
        </w:rPr>
        <w:t>;</w:t>
      </w:r>
      <w:r w:rsidR="002208F7">
        <w:rPr>
          <w:color w:val="000000" w:themeColor="text1"/>
          <w:lang w:val="en-US"/>
        </w:rPr>
        <w:t xml:space="preserve"> </w:t>
      </w:r>
      <w:proofErr w:type="spellStart"/>
      <w:r w:rsidR="002208F7">
        <w:rPr>
          <w:color w:val="000000" w:themeColor="text1"/>
          <w:lang w:val="en-US"/>
        </w:rPr>
        <w:t>Ascorbyl</w:t>
      </w:r>
      <w:proofErr w:type="spellEnd"/>
      <w:r w:rsidR="002208F7">
        <w:rPr>
          <w:color w:val="000000" w:themeColor="text1"/>
          <w:lang w:val="en-US"/>
        </w:rPr>
        <w:t xml:space="preserve"> </w:t>
      </w:r>
      <w:proofErr w:type="spellStart"/>
      <w:r w:rsidR="002208F7">
        <w:rPr>
          <w:color w:val="000000" w:themeColor="text1"/>
          <w:lang w:val="en-US"/>
        </w:rPr>
        <w:t>palmitate</w:t>
      </w:r>
      <w:proofErr w:type="spellEnd"/>
      <w:r w:rsidR="002208F7">
        <w:rPr>
          <w:color w:val="000000" w:themeColor="text1"/>
          <w:lang w:val="en-US"/>
        </w:rPr>
        <w:t xml:space="preserve">, AP; </w:t>
      </w:r>
      <w:proofErr w:type="spellStart"/>
      <w:r w:rsidR="002208F7">
        <w:rPr>
          <w:color w:val="000000" w:themeColor="text1"/>
          <w:lang w:val="en-US"/>
        </w:rPr>
        <w:t>Butlylated</w:t>
      </w:r>
      <w:proofErr w:type="spellEnd"/>
      <w:r w:rsidR="002208F7">
        <w:rPr>
          <w:color w:val="000000" w:themeColor="text1"/>
          <w:lang w:val="en-US"/>
        </w:rPr>
        <w:t xml:space="preserve"> </w:t>
      </w:r>
      <w:proofErr w:type="spellStart"/>
      <w:r w:rsidR="002208F7">
        <w:rPr>
          <w:color w:val="000000" w:themeColor="text1"/>
          <w:lang w:val="en-US"/>
        </w:rPr>
        <w:t>hydroxyanisole</w:t>
      </w:r>
      <w:proofErr w:type="spellEnd"/>
      <w:r w:rsidR="002208F7">
        <w:rPr>
          <w:color w:val="000000" w:themeColor="text1"/>
          <w:lang w:val="en-US"/>
        </w:rPr>
        <w:t xml:space="preserve">, BHA; </w:t>
      </w:r>
      <w:proofErr w:type="spellStart"/>
      <w:r w:rsidR="002208F7">
        <w:rPr>
          <w:color w:val="000000" w:themeColor="text1"/>
          <w:lang w:val="en-US"/>
        </w:rPr>
        <w:t>Butylated</w:t>
      </w:r>
      <w:proofErr w:type="spellEnd"/>
      <w:r w:rsidR="002208F7">
        <w:rPr>
          <w:color w:val="000000" w:themeColor="text1"/>
          <w:lang w:val="en-US"/>
        </w:rPr>
        <w:t xml:space="preserve"> </w:t>
      </w:r>
      <w:proofErr w:type="spellStart"/>
      <w:r w:rsidR="002208F7">
        <w:rPr>
          <w:color w:val="000000" w:themeColor="text1"/>
          <w:lang w:val="en-US"/>
        </w:rPr>
        <w:t>hydroxytoluene</w:t>
      </w:r>
      <w:proofErr w:type="spellEnd"/>
      <w:r w:rsidR="002208F7">
        <w:rPr>
          <w:color w:val="000000" w:themeColor="text1"/>
          <w:lang w:val="en-US"/>
        </w:rPr>
        <w:t xml:space="preserve">, BHT; mixed </w:t>
      </w:r>
      <w:proofErr w:type="spellStart"/>
      <w:r w:rsidR="002208F7">
        <w:rPr>
          <w:color w:val="000000" w:themeColor="text1"/>
          <w:lang w:val="en-US"/>
        </w:rPr>
        <w:t>tocopherols</w:t>
      </w:r>
      <w:proofErr w:type="spellEnd"/>
      <w:r w:rsidR="002208F7">
        <w:rPr>
          <w:color w:val="000000" w:themeColor="text1"/>
          <w:lang w:val="en-US"/>
        </w:rPr>
        <w:t>, M-TOC; Rosemary extract, RO; Citric acid, CA</w:t>
      </w:r>
      <w:r w:rsidR="000D174A" w:rsidRPr="00256BE0">
        <w:rPr>
          <w:color w:val="000000" w:themeColor="text1"/>
          <w:lang w:val="en-US"/>
        </w:rPr>
        <w:t xml:space="preserve">. </w:t>
      </w:r>
    </w:p>
    <w:tbl>
      <w:tblPr>
        <w:tblStyle w:val="LightShading"/>
        <w:tblW w:w="9560" w:type="dxa"/>
        <w:tblLook w:val="04A0" w:firstRow="1" w:lastRow="0" w:firstColumn="1" w:lastColumn="0" w:noHBand="0" w:noVBand="1"/>
      </w:tblPr>
      <w:tblGrid>
        <w:gridCol w:w="6345"/>
        <w:gridCol w:w="3215"/>
      </w:tblGrid>
      <w:tr w:rsidR="000D174A" w:rsidRPr="00FD7BA9" w:rsidTr="00D8390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noWrap/>
            <w:hideMark/>
          </w:tcPr>
          <w:p w:rsidR="000D174A" w:rsidRPr="00FD7BA9" w:rsidRDefault="000D174A" w:rsidP="00C278B1">
            <w:pPr>
              <w:rPr>
                <w:color w:val="000000"/>
                <w:sz w:val="21"/>
                <w:szCs w:val="21"/>
                <w:lang w:val="en-US" w:eastAsia="fr-CH"/>
              </w:rPr>
            </w:pPr>
            <w:r w:rsidRPr="00FD7BA9">
              <w:rPr>
                <w:color w:val="000000"/>
                <w:sz w:val="21"/>
                <w:szCs w:val="21"/>
                <w:lang w:val="en-US" w:eastAsia="fr-CH"/>
              </w:rPr>
              <w:t>Oils containing various mixtures of added antioxidants</w:t>
            </w:r>
          </w:p>
        </w:tc>
        <w:tc>
          <w:tcPr>
            <w:tcW w:w="3215" w:type="dxa"/>
            <w:noWrap/>
            <w:hideMark/>
          </w:tcPr>
          <w:p w:rsidR="000D174A" w:rsidRPr="00FD7BA9" w:rsidRDefault="000D174A" w:rsidP="00C278B1">
            <w:pPr>
              <w:cnfStyle w:val="100000000000" w:firstRow="1" w:lastRow="0" w:firstColumn="0" w:lastColumn="0" w:oddVBand="0" w:evenVBand="0" w:oddHBand="0" w:evenHBand="0" w:firstRowFirstColumn="0" w:firstRowLastColumn="0" w:lastRowFirstColumn="0" w:lastRowLastColumn="0"/>
              <w:rPr>
                <w:color w:val="000000"/>
                <w:sz w:val="21"/>
                <w:szCs w:val="21"/>
                <w:lang w:eastAsia="fr-CH"/>
              </w:rPr>
            </w:pPr>
            <w:r w:rsidRPr="00FD7BA9">
              <w:rPr>
                <w:color w:val="000000"/>
                <w:sz w:val="21"/>
                <w:szCs w:val="21"/>
                <w:lang w:eastAsia="fr-CH"/>
              </w:rPr>
              <w:t xml:space="preserve">OSI values </w:t>
            </w:r>
            <w:proofErr w:type="spellStart"/>
            <w:r w:rsidRPr="00FD7BA9">
              <w:rPr>
                <w:color w:val="000000"/>
                <w:sz w:val="21"/>
                <w:szCs w:val="21"/>
                <w:lang w:eastAsia="fr-CH"/>
              </w:rPr>
              <w:t>values</w:t>
            </w:r>
            <w:proofErr w:type="spellEnd"/>
            <w:r w:rsidRPr="00FD7BA9">
              <w:rPr>
                <w:color w:val="000000"/>
                <w:sz w:val="21"/>
                <w:szCs w:val="21"/>
                <w:lang w:eastAsia="fr-CH"/>
              </w:rPr>
              <w:t xml:space="preserve"> at 110 °C </w:t>
            </w:r>
          </w:p>
        </w:tc>
      </w:tr>
      <w:tr w:rsidR="000D174A" w:rsidRPr="00FD7BA9" w:rsidTr="00D839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noWrap/>
            <w:hideMark/>
          </w:tcPr>
          <w:p w:rsidR="000D174A" w:rsidRPr="00FD7BA9" w:rsidRDefault="000D174A" w:rsidP="00C278B1">
            <w:pPr>
              <w:rPr>
                <w:b w:val="0"/>
                <w:sz w:val="21"/>
                <w:szCs w:val="21"/>
                <w:lang w:eastAsia="fr-CH"/>
              </w:rPr>
            </w:pPr>
            <w:r w:rsidRPr="00FD7BA9">
              <w:rPr>
                <w:b w:val="0"/>
                <w:sz w:val="21"/>
                <w:szCs w:val="21"/>
                <w:lang w:eastAsia="fr-CH"/>
              </w:rPr>
              <w:t>HOSFO</w:t>
            </w:r>
          </w:p>
        </w:tc>
        <w:tc>
          <w:tcPr>
            <w:tcW w:w="3215" w:type="dxa"/>
            <w:noWrap/>
            <w:hideMark/>
          </w:tcPr>
          <w:p w:rsidR="000D174A" w:rsidRPr="00FD7BA9" w:rsidRDefault="000D174A" w:rsidP="00C278B1">
            <w:pPr>
              <w:cnfStyle w:val="000000100000" w:firstRow="0" w:lastRow="0" w:firstColumn="0" w:lastColumn="0" w:oddVBand="0" w:evenVBand="0" w:oddHBand="1" w:evenHBand="0" w:firstRowFirstColumn="0" w:firstRowLastColumn="0" w:lastRowFirstColumn="0" w:lastRowLastColumn="0"/>
              <w:rPr>
                <w:sz w:val="21"/>
                <w:szCs w:val="21"/>
                <w:lang w:eastAsia="fr-CH"/>
              </w:rPr>
            </w:pPr>
            <w:r w:rsidRPr="00FD7BA9">
              <w:rPr>
                <w:sz w:val="21"/>
                <w:szCs w:val="21"/>
                <w:lang w:eastAsia="fr-CH"/>
              </w:rPr>
              <w:t xml:space="preserve">18.83 </w:t>
            </w:r>
            <w:r w:rsidRPr="00FD7BA9">
              <w:rPr>
                <w:sz w:val="21"/>
                <w:szCs w:val="21"/>
                <w:u w:val="single"/>
                <w:lang w:eastAsia="fr-CH"/>
              </w:rPr>
              <w:t>+</w:t>
            </w:r>
            <w:r w:rsidRPr="00FD7BA9">
              <w:rPr>
                <w:sz w:val="21"/>
                <w:szCs w:val="21"/>
                <w:lang w:eastAsia="fr-CH"/>
              </w:rPr>
              <w:t xml:space="preserve"> 0.14</w:t>
            </w:r>
          </w:p>
        </w:tc>
      </w:tr>
      <w:tr w:rsidR="000D174A" w:rsidRPr="00FD7BA9" w:rsidTr="00D83906">
        <w:trPr>
          <w:trHeight w:val="300"/>
        </w:trPr>
        <w:tc>
          <w:tcPr>
            <w:cnfStyle w:val="001000000000" w:firstRow="0" w:lastRow="0" w:firstColumn="1" w:lastColumn="0" w:oddVBand="0" w:evenVBand="0" w:oddHBand="0" w:evenHBand="0" w:firstRowFirstColumn="0" w:firstRowLastColumn="0" w:lastRowFirstColumn="0" w:lastRowLastColumn="0"/>
            <w:tcW w:w="6345" w:type="dxa"/>
            <w:noWrap/>
            <w:hideMark/>
          </w:tcPr>
          <w:p w:rsidR="000D174A" w:rsidRPr="00FD7BA9" w:rsidRDefault="000D174A" w:rsidP="00C278B1">
            <w:pPr>
              <w:rPr>
                <w:b w:val="0"/>
                <w:sz w:val="21"/>
                <w:szCs w:val="21"/>
                <w:lang w:eastAsia="fr-CH"/>
              </w:rPr>
            </w:pPr>
            <w:r w:rsidRPr="00FD7BA9">
              <w:rPr>
                <w:b w:val="0"/>
                <w:sz w:val="21"/>
                <w:szCs w:val="21"/>
                <w:lang w:eastAsia="fr-CH"/>
              </w:rPr>
              <w:t xml:space="preserve">SO </w:t>
            </w:r>
          </w:p>
        </w:tc>
        <w:tc>
          <w:tcPr>
            <w:tcW w:w="3215" w:type="dxa"/>
            <w:noWrap/>
            <w:hideMark/>
          </w:tcPr>
          <w:p w:rsidR="000D174A" w:rsidRPr="00FD7BA9" w:rsidRDefault="000D174A" w:rsidP="00C278B1">
            <w:pPr>
              <w:cnfStyle w:val="000000000000" w:firstRow="0" w:lastRow="0" w:firstColumn="0" w:lastColumn="0" w:oddVBand="0" w:evenVBand="0" w:oddHBand="0" w:evenHBand="0" w:firstRowFirstColumn="0" w:firstRowLastColumn="0" w:lastRowFirstColumn="0" w:lastRowLastColumn="0"/>
              <w:rPr>
                <w:sz w:val="21"/>
                <w:szCs w:val="21"/>
                <w:lang w:eastAsia="fr-CH"/>
              </w:rPr>
            </w:pPr>
            <w:r w:rsidRPr="00FD7BA9">
              <w:rPr>
                <w:sz w:val="21"/>
                <w:szCs w:val="21"/>
                <w:lang w:eastAsia="fr-CH"/>
              </w:rPr>
              <w:t xml:space="preserve">5.85 </w:t>
            </w:r>
            <w:r w:rsidRPr="00FD7BA9">
              <w:rPr>
                <w:sz w:val="21"/>
                <w:szCs w:val="21"/>
                <w:u w:val="single"/>
                <w:lang w:eastAsia="fr-CH"/>
              </w:rPr>
              <w:t>+</w:t>
            </w:r>
            <w:r w:rsidRPr="00FD7BA9">
              <w:rPr>
                <w:sz w:val="21"/>
                <w:szCs w:val="21"/>
                <w:lang w:eastAsia="fr-CH"/>
              </w:rPr>
              <w:t xml:space="preserve"> 0.28</w:t>
            </w:r>
          </w:p>
        </w:tc>
      </w:tr>
      <w:tr w:rsidR="000D174A" w:rsidRPr="00FD7BA9" w:rsidTr="00D839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noWrap/>
            <w:hideMark/>
          </w:tcPr>
          <w:p w:rsidR="000D174A" w:rsidRPr="00FD7BA9" w:rsidRDefault="000D174A" w:rsidP="00C278B1">
            <w:pPr>
              <w:rPr>
                <w:b w:val="0"/>
                <w:sz w:val="21"/>
                <w:szCs w:val="21"/>
                <w:lang w:eastAsia="fr-CH"/>
              </w:rPr>
            </w:pPr>
            <w:r w:rsidRPr="00FD7BA9">
              <w:rPr>
                <w:b w:val="0"/>
                <w:sz w:val="21"/>
                <w:szCs w:val="21"/>
                <w:lang w:eastAsia="fr-CH"/>
              </w:rPr>
              <w:t>SO + 100 ppm AP</w:t>
            </w:r>
          </w:p>
        </w:tc>
        <w:tc>
          <w:tcPr>
            <w:tcW w:w="3215" w:type="dxa"/>
            <w:noWrap/>
            <w:hideMark/>
          </w:tcPr>
          <w:p w:rsidR="000D174A" w:rsidRPr="00FD7BA9" w:rsidRDefault="000D174A" w:rsidP="00C278B1">
            <w:pPr>
              <w:cnfStyle w:val="000000100000" w:firstRow="0" w:lastRow="0" w:firstColumn="0" w:lastColumn="0" w:oddVBand="0" w:evenVBand="0" w:oddHBand="1" w:evenHBand="0" w:firstRowFirstColumn="0" w:firstRowLastColumn="0" w:lastRowFirstColumn="0" w:lastRowLastColumn="0"/>
              <w:rPr>
                <w:sz w:val="21"/>
                <w:szCs w:val="21"/>
                <w:lang w:eastAsia="fr-CH"/>
              </w:rPr>
            </w:pPr>
            <w:r w:rsidRPr="00FD7BA9">
              <w:rPr>
                <w:sz w:val="21"/>
                <w:szCs w:val="21"/>
                <w:lang w:eastAsia="fr-CH"/>
              </w:rPr>
              <w:t xml:space="preserve">8.48 </w:t>
            </w:r>
            <w:r w:rsidRPr="00FD7BA9">
              <w:rPr>
                <w:sz w:val="21"/>
                <w:szCs w:val="21"/>
                <w:u w:val="single"/>
                <w:lang w:eastAsia="fr-CH"/>
              </w:rPr>
              <w:t>+</w:t>
            </w:r>
            <w:r w:rsidRPr="00FD7BA9">
              <w:rPr>
                <w:sz w:val="21"/>
                <w:szCs w:val="21"/>
                <w:lang w:eastAsia="fr-CH"/>
              </w:rPr>
              <w:t xml:space="preserve"> 0.88 </w:t>
            </w:r>
          </w:p>
        </w:tc>
      </w:tr>
      <w:tr w:rsidR="000D174A" w:rsidRPr="00FD7BA9" w:rsidTr="00D83906">
        <w:trPr>
          <w:trHeight w:val="300"/>
        </w:trPr>
        <w:tc>
          <w:tcPr>
            <w:cnfStyle w:val="001000000000" w:firstRow="0" w:lastRow="0" w:firstColumn="1" w:lastColumn="0" w:oddVBand="0" w:evenVBand="0" w:oddHBand="0" w:evenHBand="0" w:firstRowFirstColumn="0" w:firstRowLastColumn="0" w:lastRowFirstColumn="0" w:lastRowLastColumn="0"/>
            <w:tcW w:w="6345" w:type="dxa"/>
            <w:noWrap/>
            <w:hideMark/>
          </w:tcPr>
          <w:p w:rsidR="000D174A" w:rsidRPr="00FD7BA9" w:rsidRDefault="000D174A" w:rsidP="00C278B1">
            <w:pPr>
              <w:rPr>
                <w:b w:val="0"/>
                <w:sz w:val="21"/>
                <w:szCs w:val="21"/>
                <w:lang w:eastAsia="fr-CH"/>
              </w:rPr>
            </w:pPr>
            <w:r w:rsidRPr="00FD7BA9">
              <w:rPr>
                <w:b w:val="0"/>
                <w:sz w:val="21"/>
                <w:szCs w:val="21"/>
                <w:lang w:eastAsia="fr-CH"/>
              </w:rPr>
              <w:t>SO + 300 ppm AP</w:t>
            </w:r>
          </w:p>
        </w:tc>
        <w:tc>
          <w:tcPr>
            <w:tcW w:w="3215" w:type="dxa"/>
            <w:noWrap/>
            <w:hideMark/>
          </w:tcPr>
          <w:p w:rsidR="000D174A" w:rsidRPr="00FD7BA9" w:rsidRDefault="000D174A" w:rsidP="00C278B1">
            <w:pPr>
              <w:cnfStyle w:val="000000000000" w:firstRow="0" w:lastRow="0" w:firstColumn="0" w:lastColumn="0" w:oddVBand="0" w:evenVBand="0" w:oddHBand="0" w:evenHBand="0" w:firstRowFirstColumn="0" w:firstRowLastColumn="0" w:lastRowFirstColumn="0" w:lastRowLastColumn="0"/>
              <w:rPr>
                <w:sz w:val="21"/>
                <w:szCs w:val="21"/>
                <w:lang w:eastAsia="fr-CH"/>
              </w:rPr>
            </w:pPr>
            <w:r w:rsidRPr="00FD7BA9">
              <w:rPr>
                <w:sz w:val="21"/>
                <w:szCs w:val="21"/>
                <w:lang w:eastAsia="fr-CH"/>
              </w:rPr>
              <w:t>12.15 + 1.04</w:t>
            </w:r>
          </w:p>
        </w:tc>
      </w:tr>
      <w:tr w:rsidR="000D174A" w:rsidRPr="00FD7BA9" w:rsidTr="00D839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noWrap/>
            <w:hideMark/>
          </w:tcPr>
          <w:p w:rsidR="000D174A" w:rsidRPr="00FD7BA9" w:rsidRDefault="000D174A" w:rsidP="00C278B1">
            <w:pPr>
              <w:rPr>
                <w:b w:val="0"/>
                <w:sz w:val="21"/>
                <w:szCs w:val="21"/>
                <w:lang w:eastAsia="fr-CH"/>
              </w:rPr>
            </w:pPr>
            <w:r w:rsidRPr="00FD7BA9">
              <w:rPr>
                <w:b w:val="0"/>
                <w:sz w:val="21"/>
                <w:szCs w:val="21"/>
                <w:lang w:eastAsia="fr-CH"/>
              </w:rPr>
              <w:t>SO + 100 ppm M-TOC</w:t>
            </w:r>
          </w:p>
        </w:tc>
        <w:tc>
          <w:tcPr>
            <w:tcW w:w="3215" w:type="dxa"/>
            <w:noWrap/>
            <w:hideMark/>
          </w:tcPr>
          <w:p w:rsidR="000D174A" w:rsidRPr="00FD7BA9" w:rsidRDefault="000D174A" w:rsidP="00C278B1">
            <w:pPr>
              <w:cnfStyle w:val="000000100000" w:firstRow="0" w:lastRow="0" w:firstColumn="0" w:lastColumn="0" w:oddVBand="0" w:evenVBand="0" w:oddHBand="1" w:evenHBand="0" w:firstRowFirstColumn="0" w:firstRowLastColumn="0" w:lastRowFirstColumn="0" w:lastRowLastColumn="0"/>
              <w:rPr>
                <w:sz w:val="21"/>
                <w:szCs w:val="21"/>
                <w:lang w:eastAsia="fr-CH"/>
              </w:rPr>
            </w:pPr>
            <w:r w:rsidRPr="00FD7BA9">
              <w:rPr>
                <w:sz w:val="21"/>
                <w:szCs w:val="21"/>
                <w:lang w:eastAsia="fr-CH"/>
              </w:rPr>
              <w:t xml:space="preserve">5.73 </w:t>
            </w:r>
            <w:r w:rsidRPr="00FD7BA9">
              <w:rPr>
                <w:sz w:val="21"/>
                <w:szCs w:val="21"/>
                <w:u w:val="single"/>
                <w:lang w:eastAsia="fr-CH"/>
              </w:rPr>
              <w:t>+</w:t>
            </w:r>
            <w:r w:rsidRPr="00FD7BA9">
              <w:rPr>
                <w:sz w:val="21"/>
                <w:szCs w:val="21"/>
                <w:lang w:eastAsia="fr-CH"/>
              </w:rPr>
              <w:t xml:space="preserve"> 0.49</w:t>
            </w:r>
          </w:p>
        </w:tc>
      </w:tr>
      <w:tr w:rsidR="000D174A" w:rsidRPr="00FD7BA9" w:rsidTr="00D83906">
        <w:trPr>
          <w:trHeight w:val="300"/>
        </w:trPr>
        <w:tc>
          <w:tcPr>
            <w:cnfStyle w:val="001000000000" w:firstRow="0" w:lastRow="0" w:firstColumn="1" w:lastColumn="0" w:oddVBand="0" w:evenVBand="0" w:oddHBand="0" w:evenHBand="0" w:firstRowFirstColumn="0" w:firstRowLastColumn="0" w:lastRowFirstColumn="0" w:lastRowLastColumn="0"/>
            <w:tcW w:w="6345" w:type="dxa"/>
            <w:noWrap/>
            <w:hideMark/>
          </w:tcPr>
          <w:p w:rsidR="000D174A" w:rsidRPr="00FD7BA9" w:rsidRDefault="000D174A" w:rsidP="00C278B1">
            <w:pPr>
              <w:rPr>
                <w:b w:val="0"/>
                <w:sz w:val="21"/>
                <w:szCs w:val="21"/>
                <w:lang w:eastAsia="fr-CH"/>
              </w:rPr>
            </w:pPr>
            <w:r w:rsidRPr="00FD7BA9">
              <w:rPr>
                <w:b w:val="0"/>
                <w:sz w:val="21"/>
                <w:szCs w:val="21"/>
                <w:lang w:eastAsia="fr-CH"/>
              </w:rPr>
              <w:t>SO + 1000 ppm M-TOC</w:t>
            </w:r>
          </w:p>
        </w:tc>
        <w:tc>
          <w:tcPr>
            <w:tcW w:w="3215" w:type="dxa"/>
            <w:noWrap/>
            <w:hideMark/>
          </w:tcPr>
          <w:p w:rsidR="000D174A" w:rsidRPr="00FD7BA9" w:rsidRDefault="000D174A" w:rsidP="00C278B1">
            <w:pPr>
              <w:cnfStyle w:val="000000000000" w:firstRow="0" w:lastRow="0" w:firstColumn="0" w:lastColumn="0" w:oddVBand="0" w:evenVBand="0" w:oddHBand="0" w:evenHBand="0" w:firstRowFirstColumn="0" w:firstRowLastColumn="0" w:lastRowFirstColumn="0" w:lastRowLastColumn="0"/>
              <w:rPr>
                <w:sz w:val="21"/>
                <w:szCs w:val="21"/>
                <w:lang w:eastAsia="fr-CH"/>
              </w:rPr>
            </w:pPr>
            <w:r w:rsidRPr="00FD7BA9">
              <w:rPr>
                <w:sz w:val="21"/>
                <w:szCs w:val="21"/>
                <w:lang w:eastAsia="fr-CH"/>
              </w:rPr>
              <w:t xml:space="preserve">6.05 </w:t>
            </w:r>
            <w:r w:rsidRPr="00FD7BA9">
              <w:rPr>
                <w:sz w:val="21"/>
                <w:szCs w:val="21"/>
                <w:u w:val="single"/>
                <w:lang w:eastAsia="fr-CH"/>
              </w:rPr>
              <w:t>+</w:t>
            </w:r>
            <w:r w:rsidRPr="00FD7BA9">
              <w:rPr>
                <w:sz w:val="21"/>
                <w:szCs w:val="21"/>
                <w:lang w:eastAsia="fr-CH"/>
              </w:rPr>
              <w:t xml:space="preserve"> 0.18</w:t>
            </w:r>
          </w:p>
        </w:tc>
      </w:tr>
      <w:tr w:rsidR="000D174A" w:rsidRPr="00FD7BA9" w:rsidTr="00D839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noWrap/>
            <w:hideMark/>
          </w:tcPr>
          <w:p w:rsidR="000D174A" w:rsidRPr="00FD7BA9" w:rsidRDefault="000D174A" w:rsidP="00C278B1">
            <w:pPr>
              <w:rPr>
                <w:b w:val="0"/>
                <w:sz w:val="21"/>
                <w:szCs w:val="21"/>
                <w:lang w:eastAsia="fr-CH"/>
              </w:rPr>
            </w:pPr>
            <w:r w:rsidRPr="00FD7BA9">
              <w:rPr>
                <w:b w:val="0"/>
                <w:sz w:val="21"/>
                <w:szCs w:val="21"/>
                <w:lang w:eastAsia="fr-CH"/>
              </w:rPr>
              <w:t>SO + 300 ppm AP +  1000 ppm M-TOC</w:t>
            </w:r>
          </w:p>
        </w:tc>
        <w:tc>
          <w:tcPr>
            <w:tcW w:w="3215" w:type="dxa"/>
            <w:noWrap/>
            <w:hideMark/>
          </w:tcPr>
          <w:p w:rsidR="000D174A" w:rsidRPr="00FD7BA9" w:rsidRDefault="000D174A" w:rsidP="00C278B1">
            <w:pPr>
              <w:cnfStyle w:val="000000100000" w:firstRow="0" w:lastRow="0" w:firstColumn="0" w:lastColumn="0" w:oddVBand="0" w:evenVBand="0" w:oddHBand="1" w:evenHBand="0" w:firstRowFirstColumn="0" w:firstRowLastColumn="0" w:lastRowFirstColumn="0" w:lastRowLastColumn="0"/>
              <w:rPr>
                <w:sz w:val="21"/>
                <w:szCs w:val="21"/>
                <w:lang w:eastAsia="fr-CH"/>
              </w:rPr>
            </w:pPr>
            <w:r w:rsidRPr="00FD7BA9">
              <w:rPr>
                <w:sz w:val="21"/>
                <w:szCs w:val="21"/>
                <w:lang w:eastAsia="fr-CH"/>
              </w:rPr>
              <w:t xml:space="preserve">11.45 </w:t>
            </w:r>
            <w:r w:rsidRPr="00FD7BA9">
              <w:rPr>
                <w:sz w:val="21"/>
                <w:szCs w:val="21"/>
                <w:u w:val="single"/>
                <w:lang w:eastAsia="fr-CH"/>
              </w:rPr>
              <w:t>+</w:t>
            </w:r>
            <w:r w:rsidRPr="00FD7BA9">
              <w:rPr>
                <w:sz w:val="21"/>
                <w:szCs w:val="21"/>
                <w:lang w:eastAsia="fr-CH"/>
              </w:rPr>
              <w:t xml:space="preserve"> 0.07</w:t>
            </w:r>
          </w:p>
        </w:tc>
      </w:tr>
      <w:tr w:rsidR="000D174A" w:rsidRPr="00FD7BA9" w:rsidTr="00D83906">
        <w:trPr>
          <w:trHeight w:val="300"/>
        </w:trPr>
        <w:tc>
          <w:tcPr>
            <w:cnfStyle w:val="001000000000" w:firstRow="0" w:lastRow="0" w:firstColumn="1" w:lastColumn="0" w:oddVBand="0" w:evenVBand="0" w:oddHBand="0" w:evenHBand="0" w:firstRowFirstColumn="0" w:firstRowLastColumn="0" w:lastRowFirstColumn="0" w:lastRowLastColumn="0"/>
            <w:tcW w:w="6345" w:type="dxa"/>
            <w:noWrap/>
            <w:hideMark/>
          </w:tcPr>
          <w:p w:rsidR="000D174A" w:rsidRPr="00FD7BA9" w:rsidRDefault="000D174A" w:rsidP="00C278B1">
            <w:pPr>
              <w:rPr>
                <w:b w:val="0"/>
                <w:sz w:val="21"/>
                <w:szCs w:val="21"/>
                <w:lang w:eastAsia="fr-CH"/>
              </w:rPr>
            </w:pPr>
            <w:r w:rsidRPr="00FD7BA9">
              <w:rPr>
                <w:b w:val="0"/>
                <w:sz w:val="21"/>
                <w:szCs w:val="21"/>
                <w:lang w:eastAsia="fr-CH"/>
              </w:rPr>
              <w:t>SO + 20 ppm CA</w:t>
            </w:r>
          </w:p>
        </w:tc>
        <w:tc>
          <w:tcPr>
            <w:tcW w:w="3215" w:type="dxa"/>
            <w:noWrap/>
            <w:hideMark/>
          </w:tcPr>
          <w:p w:rsidR="000D174A" w:rsidRPr="00FD7BA9" w:rsidRDefault="000D174A" w:rsidP="00C278B1">
            <w:pPr>
              <w:cnfStyle w:val="000000000000" w:firstRow="0" w:lastRow="0" w:firstColumn="0" w:lastColumn="0" w:oddVBand="0" w:evenVBand="0" w:oddHBand="0" w:evenHBand="0" w:firstRowFirstColumn="0" w:firstRowLastColumn="0" w:lastRowFirstColumn="0" w:lastRowLastColumn="0"/>
              <w:rPr>
                <w:sz w:val="21"/>
                <w:szCs w:val="21"/>
                <w:lang w:eastAsia="fr-CH"/>
              </w:rPr>
            </w:pPr>
            <w:r w:rsidRPr="00FD7BA9">
              <w:rPr>
                <w:sz w:val="21"/>
                <w:szCs w:val="21"/>
                <w:lang w:eastAsia="fr-CH"/>
              </w:rPr>
              <w:t xml:space="preserve">7.13 </w:t>
            </w:r>
            <w:r w:rsidRPr="00FD7BA9">
              <w:rPr>
                <w:sz w:val="21"/>
                <w:szCs w:val="21"/>
                <w:u w:val="single"/>
                <w:lang w:eastAsia="fr-CH"/>
              </w:rPr>
              <w:t>+</w:t>
            </w:r>
            <w:r w:rsidRPr="00FD7BA9">
              <w:rPr>
                <w:sz w:val="21"/>
                <w:szCs w:val="21"/>
                <w:lang w:eastAsia="fr-CH"/>
              </w:rPr>
              <w:t xml:space="preserve"> 0.14</w:t>
            </w:r>
          </w:p>
        </w:tc>
      </w:tr>
      <w:tr w:rsidR="000D174A" w:rsidRPr="00FD7BA9" w:rsidTr="00D839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noWrap/>
            <w:hideMark/>
          </w:tcPr>
          <w:p w:rsidR="000D174A" w:rsidRPr="00FD7BA9" w:rsidRDefault="000D174A" w:rsidP="00C278B1">
            <w:pPr>
              <w:rPr>
                <w:b w:val="0"/>
                <w:sz w:val="21"/>
                <w:szCs w:val="21"/>
                <w:lang w:val="en-US" w:eastAsia="fr-CH"/>
              </w:rPr>
            </w:pPr>
            <w:r w:rsidRPr="00FD7BA9">
              <w:rPr>
                <w:b w:val="0"/>
                <w:sz w:val="21"/>
                <w:szCs w:val="21"/>
                <w:lang w:val="en-US" w:eastAsia="fr-CH"/>
              </w:rPr>
              <w:t>SO + 20 ppm CA + 300 ppm AP +  1000 ppm M-TOC</w:t>
            </w:r>
          </w:p>
        </w:tc>
        <w:tc>
          <w:tcPr>
            <w:tcW w:w="3215" w:type="dxa"/>
            <w:noWrap/>
            <w:hideMark/>
          </w:tcPr>
          <w:p w:rsidR="000D174A" w:rsidRPr="00FD7BA9" w:rsidRDefault="000D174A" w:rsidP="00C278B1">
            <w:pPr>
              <w:cnfStyle w:val="000000100000" w:firstRow="0" w:lastRow="0" w:firstColumn="0" w:lastColumn="0" w:oddVBand="0" w:evenVBand="0" w:oddHBand="1" w:evenHBand="0" w:firstRowFirstColumn="0" w:firstRowLastColumn="0" w:lastRowFirstColumn="0" w:lastRowLastColumn="0"/>
              <w:rPr>
                <w:sz w:val="21"/>
                <w:szCs w:val="21"/>
                <w:lang w:eastAsia="fr-CH"/>
              </w:rPr>
            </w:pPr>
            <w:r w:rsidRPr="00FD7BA9">
              <w:rPr>
                <w:sz w:val="21"/>
                <w:szCs w:val="21"/>
                <w:lang w:eastAsia="fr-CH"/>
              </w:rPr>
              <w:t xml:space="preserve">8.9 </w:t>
            </w:r>
            <w:r w:rsidRPr="00FD7BA9">
              <w:rPr>
                <w:sz w:val="21"/>
                <w:szCs w:val="21"/>
                <w:u w:val="single"/>
                <w:lang w:eastAsia="fr-CH"/>
              </w:rPr>
              <w:t>+</w:t>
            </w:r>
            <w:r w:rsidRPr="00FD7BA9">
              <w:rPr>
                <w:sz w:val="21"/>
                <w:szCs w:val="21"/>
                <w:lang w:eastAsia="fr-CH"/>
              </w:rPr>
              <w:t xml:space="preserve"> 0.07</w:t>
            </w:r>
          </w:p>
        </w:tc>
      </w:tr>
      <w:tr w:rsidR="000D174A" w:rsidRPr="00FD7BA9" w:rsidTr="00D83906">
        <w:trPr>
          <w:trHeight w:val="300"/>
        </w:trPr>
        <w:tc>
          <w:tcPr>
            <w:cnfStyle w:val="001000000000" w:firstRow="0" w:lastRow="0" w:firstColumn="1" w:lastColumn="0" w:oddVBand="0" w:evenVBand="0" w:oddHBand="0" w:evenHBand="0" w:firstRowFirstColumn="0" w:firstRowLastColumn="0" w:lastRowFirstColumn="0" w:lastRowLastColumn="0"/>
            <w:tcW w:w="6345" w:type="dxa"/>
            <w:noWrap/>
            <w:hideMark/>
          </w:tcPr>
          <w:p w:rsidR="000D174A" w:rsidRPr="00FD7BA9" w:rsidRDefault="000D174A" w:rsidP="00C278B1">
            <w:pPr>
              <w:rPr>
                <w:b w:val="0"/>
                <w:sz w:val="21"/>
                <w:szCs w:val="21"/>
                <w:lang w:eastAsia="fr-CH"/>
              </w:rPr>
            </w:pPr>
            <w:r w:rsidRPr="00FD7BA9">
              <w:rPr>
                <w:b w:val="0"/>
                <w:sz w:val="21"/>
                <w:szCs w:val="21"/>
                <w:lang w:eastAsia="fr-CH"/>
              </w:rPr>
              <w:t>SO + 50 ppm BHA</w:t>
            </w:r>
          </w:p>
        </w:tc>
        <w:tc>
          <w:tcPr>
            <w:tcW w:w="3215" w:type="dxa"/>
            <w:noWrap/>
            <w:hideMark/>
          </w:tcPr>
          <w:p w:rsidR="000D174A" w:rsidRPr="00FD7BA9" w:rsidRDefault="000D174A" w:rsidP="00C278B1">
            <w:pPr>
              <w:cnfStyle w:val="000000000000" w:firstRow="0" w:lastRow="0" w:firstColumn="0" w:lastColumn="0" w:oddVBand="0" w:evenVBand="0" w:oddHBand="0" w:evenHBand="0" w:firstRowFirstColumn="0" w:firstRowLastColumn="0" w:lastRowFirstColumn="0" w:lastRowLastColumn="0"/>
              <w:rPr>
                <w:sz w:val="21"/>
                <w:szCs w:val="21"/>
                <w:lang w:eastAsia="fr-CH"/>
              </w:rPr>
            </w:pPr>
            <w:r w:rsidRPr="00FD7BA9">
              <w:rPr>
                <w:sz w:val="21"/>
                <w:szCs w:val="21"/>
                <w:lang w:eastAsia="fr-CH"/>
              </w:rPr>
              <w:t xml:space="preserve">6.01 </w:t>
            </w:r>
            <w:r w:rsidRPr="00FD7BA9">
              <w:rPr>
                <w:sz w:val="21"/>
                <w:szCs w:val="21"/>
                <w:u w:val="single"/>
                <w:lang w:eastAsia="fr-CH"/>
              </w:rPr>
              <w:t>+</w:t>
            </w:r>
            <w:r w:rsidRPr="00FD7BA9">
              <w:rPr>
                <w:sz w:val="21"/>
                <w:szCs w:val="21"/>
                <w:lang w:eastAsia="fr-CH"/>
              </w:rPr>
              <w:t xml:space="preserve"> 0.07</w:t>
            </w:r>
          </w:p>
        </w:tc>
      </w:tr>
      <w:tr w:rsidR="000D174A" w:rsidRPr="00FD7BA9" w:rsidTr="00D839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noWrap/>
            <w:hideMark/>
          </w:tcPr>
          <w:p w:rsidR="000D174A" w:rsidRPr="00FD7BA9" w:rsidRDefault="000D174A" w:rsidP="00C278B1">
            <w:pPr>
              <w:rPr>
                <w:b w:val="0"/>
                <w:sz w:val="21"/>
                <w:szCs w:val="21"/>
                <w:lang w:eastAsia="fr-CH"/>
              </w:rPr>
            </w:pPr>
            <w:r w:rsidRPr="00FD7BA9">
              <w:rPr>
                <w:b w:val="0"/>
                <w:sz w:val="21"/>
                <w:szCs w:val="21"/>
                <w:lang w:eastAsia="fr-CH"/>
              </w:rPr>
              <w:t>SO + 125 ppm BHA</w:t>
            </w:r>
          </w:p>
        </w:tc>
        <w:tc>
          <w:tcPr>
            <w:tcW w:w="3215" w:type="dxa"/>
            <w:noWrap/>
            <w:hideMark/>
          </w:tcPr>
          <w:p w:rsidR="000D174A" w:rsidRPr="00FD7BA9" w:rsidRDefault="000D174A" w:rsidP="00C278B1">
            <w:pPr>
              <w:cnfStyle w:val="000000100000" w:firstRow="0" w:lastRow="0" w:firstColumn="0" w:lastColumn="0" w:oddVBand="0" w:evenVBand="0" w:oddHBand="1" w:evenHBand="0" w:firstRowFirstColumn="0" w:firstRowLastColumn="0" w:lastRowFirstColumn="0" w:lastRowLastColumn="0"/>
              <w:rPr>
                <w:sz w:val="21"/>
                <w:szCs w:val="21"/>
                <w:lang w:eastAsia="fr-CH"/>
              </w:rPr>
            </w:pPr>
            <w:r w:rsidRPr="00FD7BA9">
              <w:rPr>
                <w:sz w:val="21"/>
                <w:szCs w:val="21"/>
                <w:lang w:eastAsia="fr-CH"/>
              </w:rPr>
              <w:t xml:space="preserve">6.05 </w:t>
            </w:r>
            <w:r w:rsidRPr="00FD7BA9">
              <w:rPr>
                <w:sz w:val="21"/>
                <w:szCs w:val="21"/>
                <w:u w:val="single"/>
                <w:lang w:eastAsia="fr-CH"/>
              </w:rPr>
              <w:t>+</w:t>
            </w:r>
            <w:r w:rsidRPr="00FD7BA9">
              <w:rPr>
                <w:sz w:val="21"/>
                <w:szCs w:val="21"/>
                <w:lang w:eastAsia="fr-CH"/>
              </w:rPr>
              <w:t xml:space="preserve"> 0.14</w:t>
            </w:r>
          </w:p>
        </w:tc>
      </w:tr>
      <w:tr w:rsidR="000D174A" w:rsidRPr="00FD7BA9" w:rsidTr="00D83906">
        <w:trPr>
          <w:trHeight w:val="300"/>
        </w:trPr>
        <w:tc>
          <w:tcPr>
            <w:cnfStyle w:val="001000000000" w:firstRow="0" w:lastRow="0" w:firstColumn="1" w:lastColumn="0" w:oddVBand="0" w:evenVBand="0" w:oddHBand="0" w:evenHBand="0" w:firstRowFirstColumn="0" w:firstRowLastColumn="0" w:lastRowFirstColumn="0" w:lastRowLastColumn="0"/>
            <w:tcW w:w="6345" w:type="dxa"/>
            <w:noWrap/>
            <w:hideMark/>
          </w:tcPr>
          <w:p w:rsidR="000D174A" w:rsidRPr="00FD7BA9" w:rsidRDefault="000D174A" w:rsidP="00C278B1">
            <w:pPr>
              <w:rPr>
                <w:b w:val="0"/>
                <w:sz w:val="21"/>
                <w:szCs w:val="21"/>
                <w:lang w:eastAsia="fr-CH"/>
              </w:rPr>
            </w:pPr>
            <w:r w:rsidRPr="00FD7BA9">
              <w:rPr>
                <w:b w:val="0"/>
                <w:sz w:val="21"/>
                <w:szCs w:val="21"/>
                <w:lang w:eastAsia="fr-CH"/>
              </w:rPr>
              <w:t>SO + 50 ppm BHT</w:t>
            </w:r>
          </w:p>
        </w:tc>
        <w:tc>
          <w:tcPr>
            <w:tcW w:w="3215" w:type="dxa"/>
            <w:noWrap/>
            <w:hideMark/>
          </w:tcPr>
          <w:p w:rsidR="000D174A" w:rsidRPr="00FD7BA9" w:rsidRDefault="000D174A" w:rsidP="00C278B1">
            <w:pPr>
              <w:cnfStyle w:val="000000000000" w:firstRow="0" w:lastRow="0" w:firstColumn="0" w:lastColumn="0" w:oddVBand="0" w:evenVBand="0" w:oddHBand="0" w:evenHBand="0" w:firstRowFirstColumn="0" w:firstRowLastColumn="0" w:lastRowFirstColumn="0" w:lastRowLastColumn="0"/>
              <w:rPr>
                <w:sz w:val="21"/>
                <w:szCs w:val="21"/>
                <w:lang w:eastAsia="fr-CH"/>
              </w:rPr>
            </w:pPr>
            <w:r w:rsidRPr="00FD7BA9">
              <w:rPr>
                <w:sz w:val="21"/>
                <w:szCs w:val="21"/>
                <w:lang w:eastAsia="fr-CH"/>
              </w:rPr>
              <w:t xml:space="preserve">5.95 </w:t>
            </w:r>
            <w:r w:rsidRPr="00FD7BA9">
              <w:rPr>
                <w:sz w:val="21"/>
                <w:szCs w:val="21"/>
                <w:u w:val="single"/>
                <w:lang w:eastAsia="fr-CH"/>
              </w:rPr>
              <w:t>+</w:t>
            </w:r>
            <w:r w:rsidRPr="00FD7BA9">
              <w:rPr>
                <w:sz w:val="21"/>
                <w:szCs w:val="21"/>
                <w:lang w:eastAsia="fr-CH"/>
              </w:rPr>
              <w:t xml:space="preserve"> 0.28</w:t>
            </w:r>
          </w:p>
        </w:tc>
      </w:tr>
      <w:tr w:rsidR="000D174A" w:rsidRPr="00FD7BA9" w:rsidTr="00D839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noWrap/>
            <w:hideMark/>
          </w:tcPr>
          <w:p w:rsidR="000D174A" w:rsidRPr="00FD7BA9" w:rsidRDefault="000D174A" w:rsidP="00C278B1">
            <w:pPr>
              <w:rPr>
                <w:b w:val="0"/>
                <w:sz w:val="21"/>
                <w:szCs w:val="21"/>
                <w:lang w:eastAsia="fr-CH"/>
              </w:rPr>
            </w:pPr>
            <w:r w:rsidRPr="00FD7BA9">
              <w:rPr>
                <w:b w:val="0"/>
                <w:sz w:val="21"/>
                <w:szCs w:val="21"/>
                <w:lang w:eastAsia="fr-CH"/>
              </w:rPr>
              <w:t>SO + 75 ppm BHT</w:t>
            </w:r>
          </w:p>
        </w:tc>
        <w:tc>
          <w:tcPr>
            <w:tcW w:w="3215" w:type="dxa"/>
            <w:noWrap/>
            <w:hideMark/>
          </w:tcPr>
          <w:p w:rsidR="000D174A" w:rsidRPr="00FD7BA9" w:rsidRDefault="000D174A" w:rsidP="00C278B1">
            <w:pPr>
              <w:cnfStyle w:val="000000100000" w:firstRow="0" w:lastRow="0" w:firstColumn="0" w:lastColumn="0" w:oddVBand="0" w:evenVBand="0" w:oddHBand="1" w:evenHBand="0" w:firstRowFirstColumn="0" w:firstRowLastColumn="0" w:lastRowFirstColumn="0" w:lastRowLastColumn="0"/>
              <w:rPr>
                <w:sz w:val="21"/>
                <w:szCs w:val="21"/>
                <w:lang w:eastAsia="fr-CH"/>
              </w:rPr>
            </w:pPr>
            <w:r w:rsidRPr="00FD7BA9">
              <w:rPr>
                <w:sz w:val="21"/>
                <w:szCs w:val="21"/>
                <w:lang w:eastAsia="fr-CH"/>
              </w:rPr>
              <w:t xml:space="preserve">6.03 </w:t>
            </w:r>
            <w:r w:rsidRPr="00FD7BA9">
              <w:rPr>
                <w:sz w:val="21"/>
                <w:szCs w:val="21"/>
                <w:u w:val="single"/>
                <w:lang w:eastAsia="fr-CH"/>
              </w:rPr>
              <w:t>+</w:t>
            </w:r>
            <w:r w:rsidRPr="00FD7BA9">
              <w:rPr>
                <w:sz w:val="21"/>
                <w:szCs w:val="21"/>
                <w:lang w:eastAsia="fr-CH"/>
              </w:rPr>
              <w:t xml:space="preserve"> 0.11</w:t>
            </w:r>
          </w:p>
        </w:tc>
      </w:tr>
      <w:tr w:rsidR="000D174A" w:rsidRPr="00FD7BA9" w:rsidTr="00D83906">
        <w:trPr>
          <w:trHeight w:val="300"/>
        </w:trPr>
        <w:tc>
          <w:tcPr>
            <w:cnfStyle w:val="001000000000" w:firstRow="0" w:lastRow="0" w:firstColumn="1" w:lastColumn="0" w:oddVBand="0" w:evenVBand="0" w:oddHBand="0" w:evenHBand="0" w:firstRowFirstColumn="0" w:firstRowLastColumn="0" w:lastRowFirstColumn="0" w:lastRowLastColumn="0"/>
            <w:tcW w:w="6345" w:type="dxa"/>
            <w:noWrap/>
            <w:hideMark/>
          </w:tcPr>
          <w:p w:rsidR="000D174A" w:rsidRPr="00FD7BA9" w:rsidRDefault="000D174A" w:rsidP="00C278B1">
            <w:pPr>
              <w:rPr>
                <w:b w:val="0"/>
                <w:sz w:val="21"/>
                <w:szCs w:val="21"/>
                <w:lang w:eastAsia="fr-CH"/>
              </w:rPr>
            </w:pPr>
            <w:r w:rsidRPr="00FD7BA9">
              <w:rPr>
                <w:b w:val="0"/>
                <w:sz w:val="21"/>
                <w:szCs w:val="21"/>
                <w:lang w:eastAsia="fr-CH"/>
              </w:rPr>
              <w:t>SO + 50 ppm BHA + 50 ppm BHT</w:t>
            </w:r>
          </w:p>
        </w:tc>
        <w:tc>
          <w:tcPr>
            <w:tcW w:w="3215" w:type="dxa"/>
            <w:noWrap/>
            <w:hideMark/>
          </w:tcPr>
          <w:p w:rsidR="000D174A" w:rsidRPr="00FD7BA9" w:rsidRDefault="000D174A" w:rsidP="00C278B1">
            <w:pPr>
              <w:cnfStyle w:val="000000000000" w:firstRow="0" w:lastRow="0" w:firstColumn="0" w:lastColumn="0" w:oddVBand="0" w:evenVBand="0" w:oddHBand="0" w:evenHBand="0" w:firstRowFirstColumn="0" w:firstRowLastColumn="0" w:lastRowFirstColumn="0" w:lastRowLastColumn="0"/>
              <w:rPr>
                <w:sz w:val="21"/>
                <w:szCs w:val="21"/>
                <w:lang w:eastAsia="fr-CH"/>
              </w:rPr>
            </w:pPr>
            <w:r w:rsidRPr="00FD7BA9">
              <w:rPr>
                <w:sz w:val="21"/>
                <w:szCs w:val="21"/>
                <w:lang w:eastAsia="fr-CH"/>
              </w:rPr>
              <w:t xml:space="preserve">6.45 </w:t>
            </w:r>
            <w:r w:rsidRPr="00FD7BA9">
              <w:rPr>
                <w:sz w:val="21"/>
                <w:szCs w:val="21"/>
                <w:u w:val="single"/>
                <w:lang w:eastAsia="fr-CH"/>
              </w:rPr>
              <w:t>+</w:t>
            </w:r>
            <w:r w:rsidRPr="00FD7BA9">
              <w:rPr>
                <w:sz w:val="21"/>
                <w:szCs w:val="21"/>
                <w:lang w:eastAsia="fr-CH"/>
              </w:rPr>
              <w:t xml:space="preserve"> 0.07</w:t>
            </w:r>
          </w:p>
        </w:tc>
      </w:tr>
      <w:tr w:rsidR="000D174A" w:rsidRPr="00FD7BA9" w:rsidTr="00D839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noWrap/>
            <w:hideMark/>
          </w:tcPr>
          <w:p w:rsidR="000D174A" w:rsidRPr="00FD7BA9" w:rsidRDefault="000D174A" w:rsidP="00C278B1">
            <w:pPr>
              <w:rPr>
                <w:b w:val="0"/>
                <w:sz w:val="21"/>
                <w:szCs w:val="21"/>
                <w:lang w:eastAsia="fr-CH"/>
              </w:rPr>
            </w:pPr>
            <w:r w:rsidRPr="00FD7BA9">
              <w:rPr>
                <w:b w:val="0"/>
                <w:sz w:val="21"/>
                <w:szCs w:val="21"/>
                <w:lang w:eastAsia="fr-CH"/>
              </w:rPr>
              <w:t>SO + 125 ppm BHA + 75 ppm BHT</w:t>
            </w:r>
          </w:p>
        </w:tc>
        <w:tc>
          <w:tcPr>
            <w:tcW w:w="3215" w:type="dxa"/>
            <w:noWrap/>
            <w:hideMark/>
          </w:tcPr>
          <w:p w:rsidR="000D174A" w:rsidRPr="00FD7BA9" w:rsidRDefault="000D174A" w:rsidP="00C278B1">
            <w:pPr>
              <w:cnfStyle w:val="000000100000" w:firstRow="0" w:lastRow="0" w:firstColumn="0" w:lastColumn="0" w:oddVBand="0" w:evenVBand="0" w:oddHBand="1" w:evenHBand="0" w:firstRowFirstColumn="0" w:firstRowLastColumn="0" w:lastRowFirstColumn="0" w:lastRowLastColumn="0"/>
              <w:rPr>
                <w:sz w:val="21"/>
                <w:szCs w:val="21"/>
                <w:lang w:eastAsia="fr-CH"/>
              </w:rPr>
            </w:pPr>
            <w:r w:rsidRPr="00FD7BA9">
              <w:rPr>
                <w:sz w:val="21"/>
                <w:szCs w:val="21"/>
                <w:lang w:eastAsia="fr-CH"/>
              </w:rPr>
              <w:t xml:space="preserve">8.65 </w:t>
            </w:r>
            <w:r w:rsidRPr="00FD7BA9">
              <w:rPr>
                <w:sz w:val="21"/>
                <w:szCs w:val="21"/>
                <w:u w:val="single"/>
                <w:lang w:eastAsia="fr-CH"/>
              </w:rPr>
              <w:t>+</w:t>
            </w:r>
            <w:r w:rsidRPr="00FD7BA9">
              <w:rPr>
                <w:sz w:val="21"/>
                <w:szCs w:val="21"/>
                <w:lang w:eastAsia="fr-CH"/>
              </w:rPr>
              <w:t xml:space="preserve"> 0.14</w:t>
            </w:r>
          </w:p>
        </w:tc>
      </w:tr>
      <w:tr w:rsidR="000D174A" w:rsidRPr="00FD7BA9" w:rsidTr="00D83906">
        <w:trPr>
          <w:trHeight w:val="300"/>
        </w:trPr>
        <w:tc>
          <w:tcPr>
            <w:cnfStyle w:val="001000000000" w:firstRow="0" w:lastRow="0" w:firstColumn="1" w:lastColumn="0" w:oddVBand="0" w:evenVBand="0" w:oddHBand="0" w:evenHBand="0" w:firstRowFirstColumn="0" w:firstRowLastColumn="0" w:lastRowFirstColumn="0" w:lastRowLastColumn="0"/>
            <w:tcW w:w="6345" w:type="dxa"/>
            <w:noWrap/>
            <w:hideMark/>
          </w:tcPr>
          <w:p w:rsidR="000D174A" w:rsidRPr="00FD7BA9" w:rsidRDefault="000D174A" w:rsidP="00C278B1">
            <w:pPr>
              <w:rPr>
                <w:b w:val="0"/>
                <w:sz w:val="21"/>
                <w:szCs w:val="21"/>
                <w:lang w:eastAsia="fr-CH"/>
              </w:rPr>
            </w:pPr>
            <w:r w:rsidRPr="00FD7BA9">
              <w:rPr>
                <w:b w:val="0"/>
                <w:sz w:val="21"/>
                <w:szCs w:val="21"/>
                <w:lang w:eastAsia="fr-CH"/>
              </w:rPr>
              <w:t>SO + 100 ppm RO</w:t>
            </w:r>
          </w:p>
        </w:tc>
        <w:tc>
          <w:tcPr>
            <w:tcW w:w="3215" w:type="dxa"/>
            <w:noWrap/>
            <w:hideMark/>
          </w:tcPr>
          <w:p w:rsidR="000D174A" w:rsidRPr="00FD7BA9" w:rsidRDefault="000D174A" w:rsidP="00C278B1">
            <w:pPr>
              <w:cnfStyle w:val="000000000000" w:firstRow="0" w:lastRow="0" w:firstColumn="0" w:lastColumn="0" w:oddVBand="0" w:evenVBand="0" w:oddHBand="0" w:evenHBand="0" w:firstRowFirstColumn="0" w:firstRowLastColumn="0" w:lastRowFirstColumn="0" w:lastRowLastColumn="0"/>
              <w:rPr>
                <w:sz w:val="21"/>
                <w:szCs w:val="21"/>
                <w:lang w:eastAsia="fr-CH"/>
              </w:rPr>
            </w:pPr>
            <w:r w:rsidRPr="00FD7BA9">
              <w:rPr>
                <w:sz w:val="21"/>
                <w:szCs w:val="21"/>
                <w:lang w:eastAsia="fr-CH"/>
              </w:rPr>
              <w:t xml:space="preserve">6.23 </w:t>
            </w:r>
            <w:r w:rsidRPr="00FD7BA9">
              <w:rPr>
                <w:sz w:val="21"/>
                <w:szCs w:val="21"/>
                <w:u w:val="single"/>
                <w:lang w:eastAsia="fr-CH"/>
              </w:rPr>
              <w:t>+</w:t>
            </w:r>
            <w:r w:rsidRPr="00FD7BA9">
              <w:rPr>
                <w:sz w:val="21"/>
                <w:szCs w:val="21"/>
                <w:lang w:eastAsia="fr-CH"/>
              </w:rPr>
              <w:t xml:space="preserve"> 0.04</w:t>
            </w:r>
          </w:p>
        </w:tc>
      </w:tr>
      <w:tr w:rsidR="000D174A" w:rsidRPr="00FD7BA9" w:rsidTr="00D839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noWrap/>
            <w:hideMark/>
          </w:tcPr>
          <w:p w:rsidR="000D174A" w:rsidRPr="00FD7BA9" w:rsidRDefault="000D174A" w:rsidP="00C278B1">
            <w:pPr>
              <w:rPr>
                <w:b w:val="0"/>
                <w:sz w:val="21"/>
                <w:szCs w:val="21"/>
                <w:lang w:eastAsia="fr-CH"/>
              </w:rPr>
            </w:pPr>
            <w:r w:rsidRPr="00FD7BA9">
              <w:rPr>
                <w:b w:val="0"/>
                <w:sz w:val="21"/>
                <w:szCs w:val="21"/>
                <w:lang w:eastAsia="fr-CH"/>
              </w:rPr>
              <w:t>SO + 500 ppm RO</w:t>
            </w:r>
          </w:p>
        </w:tc>
        <w:tc>
          <w:tcPr>
            <w:tcW w:w="3215" w:type="dxa"/>
            <w:noWrap/>
            <w:hideMark/>
          </w:tcPr>
          <w:p w:rsidR="000D174A" w:rsidRPr="00FD7BA9" w:rsidRDefault="000D174A" w:rsidP="00C278B1">
            <w:pPr>
              <w:cnfStyle w:val="000000100000" w:firstRow="0" w:lastRow="0" w:firstColumn="0" w:lastColumn="0" w:oddVBand="0" w:evenVBand="0" w:oddHBand="1" w:evenHBand="0" w:firstRowFirstColumn="0" w:firstRowLastColumn="0" w:lastRowFirstColumn="0" w:lastRowLastColumn="0"/>
              <w:rPr>
                <w:sz w:val="21"/>
                <w:szCs w:val="21"/>
                <w:lang w:eastAsia="fr-CH"/>
              </w:rPr>
            </w:pPr>
            <w:r w:rsidRPr="00FD7BA9">
              <w:rPr>
                <w:sz w:val="21"/>
                <w:szCs w:val="21"/>
                <w:lang w:eastAsia="fr-CH"/>
              </w:rPr>
              <w:t xml:space="preserve">6.13 </w:t>
            </w:r>
            <w:r w:rsidRPr="00FD7BA9">
              <w:rPr>
                <w:sz w:val="21"/>
                <w:szCs w:val="21"/>
                <w:u w:val="single"/>
                <w:lang w:eastAsia="fr-CH"/>
              </w:rPr>
              <w:t>+</w:t>
            </w:r>
            <w:r w:rsidRPr="00FD7BA9">
              <w:rPr>
                <w:sz w:val="21"/>
                <w:szCs w:val="21"/>
                <w:lang w:eastAsia="fr-CH"/>
              </w:rPr>
              <w:t xml:space="preserve"> 0.04</w:t>
            </w:r>
          </w:p>
        </w:tc>
      </w:tr>
    </w:tbl>
    <w:p w:rsidR="00A00C9F" w:rsidRDefault="00A00C9F" w:rsidP="00A00C9F">
      <w:pPr>
        <w:rPr>
          <w:b/>
          <w:lang w:val="en-US"/>
        </w:rPr>
        <w:sectPr w:rsidR="00A00C9F" w:rsidSect="009733E4">
          <w:pgSz w:w="11906" w:h="16838" w:code="9"/>
          <w:pgMar w:top="1418" w:right="1418" w:bottom="1418" w:left="1418" w:header="709" w:footer="709" w:gutter="0"/>
          <w:lnNumType w:countBy="1" w:restart="continuous"/>
          <w:cols w:space="708"/>
          <w:docGrid w:linePitch="360"/>
        </w:sectPr>
      </w:pPr>
    </w:p>
    <w:p w:rsidR="00A00C9F" w:rsidRDefault="00A00C9F" w:rsidP="008F4E02">
      <w:pPr>
        <w:rPr>
          <w:shd w:val="clear" w:color="auto" w:fill="FFFFFF" w:themeFill="background1"/>
          <w:lang w:val="en-US"/>
        </w:rPr>
      </w:pPr>
    </w:p>
    <w:p w:rsidR="00060784" w:rsidRDefault="00C97877" w:rsidP="008F4E02">
      <w:pPr>
        <w:rPr>
          <w:b/>
          <w:lang w:val="en-US"/>
        </w:rPr>
      </w:pPr>
      <w:proofErr w:type="gramStart"/>
      <w:r w:rsidRPr="008F4E02">
        <w:rPr>
          <w:b/>
          <w:shd w:val="clear" w:color="auto" w:fill="FFFFFF" w:themeFill="background1"/>
          <w:lang w:val="en-US"/>
        </w:rPr>
        <w:t xml:space="preserve">Table </w:t>
      </w:r>
      <w:r w:rsidR="00A00C9F">
        <w:rPr>
          <w:b/>
          <w:shd w:val="clear" w:color="auto" w:fill="FFFFFF" w:themeFill="background1"/>
          <w:lang w:val="en-US"/>
        </w:rPr>
        <w:t>2</w:t>
      </w:r>
      <w:r w:rsidRPr="008F4E02">
        <w:rPr>
          <w:b/>
          <w:shd w:val="clear" w:color="auto" w:fill="FFFFFF" w:themeFill="background1"/>
          <w:lang w:val="en-US"/>
        </w:rPr>
        <w:t>.</w:t>
      </w:r>
      <w:proofErr w:type="gramEnd"/>
      <w:r w:rsidR="00060784">
        <w:rPr>
          <w:lang w:val="en-US"/>
        </w:rPr>
        <w:t xml:space="preserve"> Fatty </w:t>
      </w:r>
      <w:r w:rsidR="008F4E02">
        <w:rPr>
          <w:lang w:val="en-US"/>
        </w:rPr>
        <w:t>a</w:t>
      </w:r>
      <w:r w:rsidR="00060784">
        <w:rPr>
          <w:lang w:val="en-US"/>
        </w:rPr>
        <w:t xml:space="preserve">cid </w:t>
      </w:r>
      <w:r w:rsidR="00D53F72">
        <w:rPr>
          <w:lang w:val="en-US"/>
        </w:rPr>
        <w:t xml:space="preserve">(FA) </w:t>
      </w:r>
      <w:r w:rsidR="008F4E02">
        <w:rPr>
          <w:lang w:val="en-US"/>
        </w:rPr>
        <w:t xml:space="preserve">composition </w:t>
      </w:r>
      <w:r w:rsidR="00D53F72">
        <w:rPr>
          <w:lang w:val="en-US"/>
        </w:rPr>
        <w:t>results</w:t>
      </w:r>
      <w:r w:rsidR="00917F45">
        <w:rPr>
          <w:lang w:val="en-US"/>
        </w:rPr>
        <w:t xml:space="preserve"> </w:t>
      </w:r>
      <w:r w:rsidR="001D3041">
        <w:rPr>
          <w:lang w:val="en-US"/>
        </w:rPr>
        <w:t>(</w:t>
      </w:r>
      <w:r w:rsidR="00917F45">
        <w:rPr>
          <w:lang w:val="en-US"/>
        </w:rPr>
        <w:t>g</w:t>
      </w:r>
      <w:r w:rsidR="00D53F72">
        <w:rPr>
          <w:lang w:val="en-US"/>
        </w:rPr>
        <w:t xml:space="preserve"> </w:t>
      </w:r>
      <w:r w:rsidR="002C0BAD">
        <w:rPr>
          <w:lang w:val="en-US"/>
        </w:rPr>
        <w:t>FA</w:t>
      </w:r>
      <w:r w:rsidR="00D53F72">
        <w:rPr>
          <w:lang w:val="en-US"/>
        </w:rPr>
        <w:t>/</w:t>
      </w:r>
      <w:r w:rsidRPr="009D16B4">
        <w:rPr>
          <w:lang w:val="en-US"/>
        </w:rPr>
        <w:t>100</w:t>
      </w:r>
      <w:r w:rsidR="002C0BAD">
        <w:rPr>
          <w:lang w:val="en-US"/>
        </w:rPr>
        <w:t> </w:t>
      </w:r>
      <w:r w:rsidRPr="009D16B4">
        <w:rPr>
          <w:lang w:val="en-US"/>
        </w:rPr>
        <w:t>g</w:t>
      </w:r>
      <w:r w:rsidR="00917F45">
        <w:rPr>
          <w:lang w:val="en-US"/>
        </w:rPr>
        <w:t xml:space="preserve"> total FA</w:t>
      </w:r>
      <w:r w:rsidR="001D3041">
        <w:rPr>
          <w:lang w:val="en-US"/>
        </w:rPr>
        <w:t>)</w:t>
      </w:r>
      <w:r w:rsidR="00D53F72">
        <w:rPr>
          <w:lang w:val="en-US"/>
        </w:rPr>
        <w:t xml:space="preserve"> </w:t>
      </w:r>
      <w:r w:rsidR="00AB0447">
        <w:rPr>
          <w:lang w:val="en-US"/>
        </w:rPr>
        <w:t>for the commercial HOSFO and SO used in this study</w:t>
      </w:r>
      <w:r w:rsidR="00A00C9F">
        <w:rPr>
          <w:lang w:val="en-US"/>
        </w:rPr>
        <w:t>.</w:t>
      </w:r>
    </w:p>
    <w:tbl>
      <w:tblPr>
        <w:tblW w:w="8488" w:type="dxa"/>
        <w:tblInd w:w="65" w:type="dxa"/>
        <w:tblCellMar>
          <w:left w:w="70" w:type="dxa"/>
          <w:right w:w="70" w:type="dxa"/>
        </w:tblCellMar>
        <w:tblLook w:val="04A0" w:firstRow="1" w:lastRow="0" w:firstColumn="1" w:lastColumn="0" w:noHBand="0" w:noVBand="1"/>
      </w:tblPr>
      <w:tblGrid>
        <w:gridCol w:w="2273"/>
        <w:gridCol w:w="2977"/>
        <w:gridCol w:w="1559"/>
        <w:gridCol w:w="1679"/>
      </w:tblGrid>
      <w:tr w:rsidR="00060784" w:rsidRPr="00D52F56" w:rsidTr="00060784">
        <w:trPr>
          <w:trHeight w:val="315"/>
        </w:trPr>
        <w:tc>
          <w:tcPr>
            <w:tcW w:w="2273" w:type="dxa"/>
            <w:tcBorders>
              <w:top w:val="single" w:sz="4" w:space="0" w:color="auto"/>
              <w:left w:val="nil"/>
              <w:bottom w:val="nil"/>
              <w:right w:val="nil"/>
            </w:tcBorders>
            <w:shd w:val="clear" w:color="auto" w:fill="BFBFBF" w:themeFill="background1" w:themeFillShade="BF"/>
            <w:noWrap/>
            <w:vAlign w:val="bottom"/>
            <w:hideMark/>
          </w:tcPr>
          <w:p w:rsidR="00060784" w:rsidRPr="00060784" w:rsidRDefault="00060784" w:rsidP="00D52F56">
            <w:pPr>
              <w:rPr>
                <w:b/>
                <w:color w:val="000000"/>
                <w:lang w:val="fr-CH" w:eastAsia="fr-CH"/>
              </w:rPr>
            </w:pPr>
            <w:bookmarkStart w:id="4" w:name="_Ref341707856"/>
            <w:proofErr w:type="spellStart"/>
            <w:r w:rsidRPr="00060784">
              <w:rPr>
                <w:b/>
                <w:color w:val="000000"/>
                <w:lang w:val="fr-CH" w:eastAsia="fr-CH"/>
              </w:rPr>
              <w:t>Fatty</w:t>
            </w:r>
            <w:proofErr w:type="spellEnd"/>
            <w:r w:rsidRPr="00060784">
              <w:rPr>
                <w:b/>
                <w:color w:val="000000"/>
                <w:lang w:val="fr-CH" w:eastAsia="fr-CH"/>
              </w:rPr>
              <w:t xml:space="preserve"> </w:t>
            </w:r>
            <w:proofErr w:type="spellStart"/>
            <w:r w:rsidRPr="00060784">
              <w:rPr>
                <w:b/>
                <w:color w:val="000000"/>
                <w:lang w:val="fr-CH" w:eastAsia="fr-CH"/>
              </w:rPr>
              <w:t>Acids</w:t>
            </w:r>
            <w:proofErr w:type="spellEnd"/>
          </w:p>
        </w:tc>
        <w:tc>
          <w:tcPr>
            <w:tcW w:w="2977" w:type="dxa"/>
            <w:tcBorders>
              <w:top w:val="single" w:sz="4" w:space="0" w:color="auto"/>
              <w:left w:val="nil"/>
              <w:bottom w:val="nil"/>
              <w:right w:val="nil"/>
            </w:tcBorders>
            <w:shd w:val="clear" w:color="auto" w:fill="BFBFBF" w:themeFill="background1" w:themeFillShade="BF"/>
            <w:noWrap/>
            <w:vAlign w:val="bottom"/>
            <w:hideMark/>
          </w:tcPr>
          <w:p w:rsidR="00060784" w:rsidRPr="00060784" w:rsidRDefault="00060784" w:rsidP="00D52F56">
            <w:pPr>
              <w:rPr>
                <w:b/>
                <w:color w:val="000000"/>
                <w:lang w:val="fr-CH" w:eastAsia="fr-CH"/>
              </w:rPr>
            </w:pPr>
          </w:p>
        </w:tc>
        <w:tc>
          <w:tcPr>
            <w:tcW w:w="1559" w:type="dxa"/>
            <w:tcBorders>
              <w:top w:val="single" w:sz="4" w:space="0" w:color="auto"/>
              <w:left w:val="nil"/>
              <w:bottom w:val="nil"/>
              <w:right w:val="nil"/>
            </w:tcBorders>
            <w:shd w:val="clear" w:color="auto" w:fill="BFBFBF" w:themeFill="background1" w:themeFillShade="BF"/>
            <w:noWrap/>
            <w:vAlign w:val="bottom"/>
            <w:hideMark/>
          </w:tcPr>
          <w:p w:rsidR="00060784" w:rsidRPr="00060784" w:rsidRDefault="00060784" w:rsidP="00D52F56">
            <w:pPr>
              <w:jc w:val="right"/>
              <w:rPr>
                <w:b/>
                <w:color w:val="000000"/>
                <w:lang w:val="fr-CH" w:eastAsia="fr-CH"/>
              </w:rPr>
            </w:pPr>
            <w:r w:rsidRPr="00060784">
              <w:rPr>
                <w:b/>
                <w:color w:val="000000"/>
                <w:lang w:val="fr-CH" w:eastAsia="fr-CH"/>
              </w:rPr>
              <w:t>(HOSFO)</w:t>
            </w:r>
          </w:p>
        </w:tc>
        <w:tc>
          <w:tcPr>
            <w:tcW w:w="1679" w:type="dxa"/>
            <w:tcBorders>
              <w:top w:val="single" w:sz="4" w:space="0" w:color="auto"/>
              <w:left w:val="nil"/>
              <w:bottom w:val="nil"/>
              <w:right w:val="nil"/>
            </w:tcBorders>
            <w:shd w:val="clear" w:color="auto" w:fill="BFBFBF" w:themeFill="background1" w:themeFillShade="BF"/>
            <w:noWrap/>
            <w:vAlign w:val="bottom"/>
            <w:hideMark/>
          </w:tcPr>
          <w:p w:rsidR="00060784" w:rsidRPr="00060784" w:rsidRDefault="00060784" w:rsidP="00D52F56">
            <w:pPr>
              <w:jc w:val="right"/>
              <w:rPr>
                <w:b/>
                <w:color w:val="000000"/>
                <w:lang w:val="fr-CH" w:eastAsia="fr-CH"/>
              </w:rPr>
            </w:pPr>
            <w:r w:rsidRPr="00060784">
              <w:rPr>
                <w:b/>
                <w:color w:val="000000"/>
                <w:lang w:val="fr-CH" w:eastAsia="fr-CH"/>
              </w:rPr>
              <w:t>(SO)</w:t>
            </w:r>
          </w:p>
        </w:tc>
      </w:tr>
      <w:tr w:rsidR="00060784" w:rsidRPr="00D52F56" w:rsidTr="00060784">
        <w:trPr>
          <w:trHeight w:val="315"/>
        </w:trPr>
        <w:tc>
          <w:tcPr>
            <w:tcW w:w="2273" w:type="dxa"/>
            <w:tcBorders>
              <w:left w:val="nil"/>
              <w:bottom w:val="nil"/>
              <w:right w:val="nil"/>
            </w:tcBorders>
            <w:shd w:val="clear" w:color="auto" w:fill="BFBFBF" w:themeFill="background1" w:themeFillShade="BF"/>
            <w:noWrap/>
            <w:vAlign w:val="bottom"/>
            <w:hideMark/>
          </w:tcPr>
          <w:p w:rsidR="00060784" w:rsidRPr="00D52F56" w:rsidRDefault="00060784" w:rsidP="00D52F56">
            <w:pPr>
              <w:rPr>
                <w:color w:val="000000"/>
                <w:lang w:val="fr-CH" w:eastAsia="fr-CH"/>
              </w:rPr>
            </w:pPr>
          </w:p>
        </w:tc>
        <w:tc>
          <w:tcPr>
            <w:tcW w:w="2977" w:type="dxa"/>
            <w:tcBorders>
              <w:left w:val="nil"/>
              <w:bottom w:val="nil"/>
              <w:right w:val="nil"/>
            </w:tcBorders>
            <w:shd w:val="clear" w:color="auto" w:fill="BFBFBF" w:themeFill="background1" w:themeFillShade="BF"/>
            <w:noWrap/>
            <w:vAlign w:val="bottom"/>
            <w:hideMark/>
          </w:tcPr>
          <w:p w:rsidR="00060784" w:rsidRPr="00D52F56" w:rsidRDefault="00060784" w:rsidP="00D52F56">
            <w:pPr>
              <w:rPr>
                <w:color w:val="000000"/>
                <w:lang w:val="fr-CH" w:eastAsia="fr-CH"/>
              </w:rPr>
            </w:pPr>
          </w:p>
        </w:tc>
        <w:tc>
          <w:tcPr>
            <w:tcW w:w="1559" w:type="dxa"/>
            <w:tcBorders>
              <w:left w:val="nil"/>
              <w:bottom w:val="nil"/>
              <w:right w:val="nil"/>
            </w:tcBorders>
            <w:shd w:val="clear" w:color="auto" w:fill="BFBFBF" w:themeFill="background1" w:themeFillShade="BF"/>
            <w:noWrap/>
            <w:vAlign w:val="bottom"/>
            <w:hideMark/>
          </w:tcPr>
          <w:p w:rsidR="00060784" w:rsidRPr="00D52F56" w:rsidRDefault="00060784" w:rsidP="00D52F56">
            <w:pPr>
              <w:jc w:val="right"/>
              <w:rPr>
                <w:color w:val="000000"/>
                <w:lang w:val="fr-CH" w:eastAsia="fr-CH"/>
              </w:rPr>
            </w:pPr>
            <w:r>
              <w:rPr>
                <w:color w:val="000000"/>
                <w:lang w:val="fr-CH" w:eastAsia="fr-CH"/>
              </w:rPr>
              <w:t>High-</w:t>
            </w:r>
            <w:proofErr w:type="spellStart"/>
            <w:r>
              <w:rPr>
                <w:color w:val="000000"/>
                <w:lang w:val="fr-CH" w:eastAsia="fr-CH"/>
              </w:rPr>
              <w:t>oleic</w:t>
            </w:r>
            <w:proofErr w:type="spellEnd"/>
            <w:r>
              <w:rPr>
                <w:color w:val="000000"/>
                <w:lang w:val="fr-CH" w:eastAsia="fr-CH"/>
              </w:rPr>
              <w:t xml:space="preserve"> </w:t>
            </w:r>
            <w:proofErr w:type="spellStart"/>
            <w:r>
              <w:rPr>
                <w:color w:val="000000"/>
                <w:lang w:val="fr-CH" w:eastAsia="fr-CH"/>
              </w:rPr>
              <w:t>Sunflower</w:t>
            </w:r>
            <w:proofErr w:type="spellEnd"/>
            <w:r>
              <w:rPr>
                <w:color w:val="000000"/>
                <w:lang w:val="fr-CH" w:eastAsia="fr-CH"/>
              </w:rPr>
              <w:t xml:space="preserve"> </w:t>
            </w:r>
            <w:proofErr w:type="spellStart"/>
            <w:r>
              <w:rPr>
                <w:color w:val="000000"/>
                <w:lang w:val="fr-CH" w:eastAsia="fr-CH"/>
              </w:rPr>
              <w:t>Oil</w:t>
            </w:r>
            <w:proofErr w:type="spellEnd"/>
          </w:p>
        </w:tc>
        <w:tc>
          <w:tcPr>
            <w:tcW w:w="1679" w:type="dxa"/>
            <w:tcBorders>
              <w:left w:val="nil"/>
              <w:bottom w:val="nil"/>
              <w:right w:val="nil"/>
            </w:tcBorders>
            <w:shd w:val="clear" w:color="auto" w:fill="BFBFBF" w:themeFill="background1" w:themeFillShade="BF"/>
            <w:noWrap/>
            <w:vAlign w:val="bottom"/>
            <w:hideMark/>
          </w:tcPr>
          <w:p w:rsidR="00060784" w:rsidRPr="00D52F56" w:rsidRDefault="00060784" w:rsidP="001D3041">
            <w:pPr>
              <w:jc w:val="right"/>
              <w:rPr>
                <w:color w:val="000000"/>
                <w:lang w:val="fr-CH" w:eastAsia="fr-CH"/>
              </w:rPr>
            </w:pPr>
            <w:proofErr w:type="spellStart"/>
            <w:r>
              <w:rPr>
                <w:color w:val="000000"/>
                <w:lang w:val="fr-CH" w:eastAsia="fr-CH"/>
              </w:rPr>
              <w:t>Soybean</w:t>
            </w:r>
            <w:proofErr w:type="spellEnd"/>
            <w:r w:rsidR="001D3041">
              <w:rPr>
                <w:color w:val="000000"/>
                <w:lang w:val="fr-CH" w:eastAsia="fr-CH"/>
              </w:rPr>
              <w:t xml:space="preserve"> </w:t>
            </w:r>
            <w:proofErr w:type="spellStart"/>
            <w:r w:rsidR="001D3041">
              <w:rPr>
                <w:color w:val="000000"/>
                <w:lang w:val="fr-CH" w:eastAsia="fr-CH"/>
              </w:rPr>
              <w:t>O</w:t>
            </w:r>
            <w:r>
              <w:rPr>
                <w:color w:val="000000"/>
                <w:lang w:val="fr-CH" w:eastAsia="fr-CH"/>
              </w:rPr>
              <w:t>il</w:t>
            </w:r>
            <w:proofErr w:type="spellEnd"/>
          </w:p>
        </w:tc>
      </w:tr>
      <w:tr w:rsidR="00D52F56" w:rsidRPr="00D52F56" w:rsidTr="00D52F56">
        <w:trPr>
          <w:trHeight w:val="315"/>
        </w:trPr>
        <w:tc>
          <w:tcPr>
            <w:tcW w:w="2273" w:type="dxa"/>
            <w:tcBorders>
              <w:top w:val="single" w:sz="4" w:space="0" w:color="auto"/>
              <w:left w:val="nil"/>
              <w:bottom w:val="nil"/>
              <w:right w:val="nil"/>
            </w:tcBorders>
            <w:shd w:val="clear" w:color="auto" w:fill="auto"/>
            <w:noWrap/>
            <w:vAlign w:val="bottom"/>
            <w:hideMark/>
          </w:tcPr>
          <w:p w:rsidR="00D52F56" w:rsidRPr="00D52F56" w:rsidRDefault="00D52F56" w:rsidP="00D52F56">
            <w:pPr>
              <w:rPr>
                <w:color w:val="000000"/>
                <w:lang w:val="fr-CH" w:eastAsia="fr-CH"/>
              </w:rPr>
            </w:pPr>
            <w:r w:rsidRPr="00D52F56">
              <w:rPr>
                <w:color w:val="000000"/>
                <w:lang w:val="fr-CH" w:eastAsia="fr-CH"/>
              </w:rPr>
              <w:t>4:0</w:t>
            </w:r>
          </w:p>
        </w:tc>
        <w:tc>
          <w:tcPr>
            <w:tcW w:w="2977" w:type="dxa"/>
            <w:tcBorders>
              <w:top w:val="single" w:sz="4" w:space="0" w:color="auto"/>
              <w:left w:val="nil"/>
              <w:bottom w:val="nil"/>
              <w:right w:val="nil"/>
            </w:tcBorders>
            <w:shd w:val="clear" w:color="auto" w:fill="auto"/>
            <w:noWrap/>
            <w:vAlign w:val="bottom"/>
            <w:hideMark/>
          </w:tcPr>
          <w:p w:rsidR="00D52F56" w:rsidRPr="00D52F56" w:rsidRDefault="00D52F56" w:rsidP="00D52F56">
            <w:pPr>
              <w:rPr>
                <w:color w:val="000000"/>
                <w:lang w:val="fr-CH" w:eastAsia="fr-CH"/>
              </w:rPr>
            </w:pPr>
            <w:proofErr w:type="spellStart"/>
            <w:r w:rsidRPr="00D52F56">
              <w:rPr>
                <w:color w:val="000000"/>
                <w:lang w:val="fr-CH" w:eastAsia="fr-CH"/>
              </w:rPr>
              <w:t>Myristic</w:t>
            </w:r>
            <w:proofErr w:type="spellEnd"/>
          </w:p>
        </w:tc>
        <w:tc>
          <w:tcPr>
            <w:tcW w:w="1559" w:type="dxa"/>
            <w:tcBorders>
              <w:top w:val="single" w:sz="4" w:space="0" w:color="auto"/>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proofErr w:type="spellStart"/>
            <w:r w:rsidRPr="00D52F56">
              <w:rPr>
                <w:color w:val="000000"/>
                <w:lang w:val="fr-CH" w:eastAsia="fr-CH"/>
              </w:rPr>
              <w:t>nd</w:t>
            </w:r>
            <w:proofErr w:type="spellEnd"/>
            <w:r w:rsidR="00060784" w:rsidRPr="00060784">
              <w:rPr>
                <w:color w:val="000000"/>
                <w:vertAlign w:val="superscript"/>
                <w:lang w:val="fr-CH" w:eastAsia="fr-CH"/>
              </w:rPr>
              <w:t>†</w:t>
            </w:r>
          </w:p>
        </w:tc>
        <w:tc>
          <w:tcPr>
            <w:tcW w:w="1679" w:type="dxa"/>
            <w:tcBorders>
              <w:top w:val="single" w:sz="4" w:space="0" w:color="auto"/>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0.10</w:t>
            </w:r>
          </w:p>
        </w:tc>
      </w:tr>
      <w:tr w:rsidR="00D52F56" w:rsidRPr="00D52F56" w:rsidTr="00D52F56">
        <w:trPr>
          <w:trHeight w:val="315"/>
        </w:trPr>
        <w:tc>
          <w:tcPr>
            <w:tcW w:w="2273"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r w:rsidRPr="00D52F56">
              <w:rPr>
                <w:color w:val="000000"/>
                <w:lang w:val="fr-CH" w:eastAsia="fr-CH"/>
              </w:rPr>
              <w:t>16:0</w:t>
            </w:r>
          </w:p>
        </w:tc>
        <w:tc>
          <w:tcPr>
            <w:tcW w:w="2977"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proofErr w:type="spellStart"/>
            <w:r w:rsidRPr="00D52F56">
              <w:rPr>
                <w:color w:val="000000"/>
                <w:lang w:val="fr-CH" w:eastAsia="fr-CH"/>
              </w:rPr>
              <w:t>Palmitic</w:t>
            </w:r>
            <w:proofErr w:type="spellEnd"/>
          </w:p>
        </w:tc>
        <w:tc>
          <w:tcPr>
            <w:tcW w:w="155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3.83</w:t>
            </w:r>
          </w:p>
        </w:tc>
        <w:tc>
          <w:tcPr>
            <w:tcW w:w="167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11.18</w:t>
            </w:r>
          </w:p>
        </w:tc>
      </w:tr>
      <w:tr w:rsidR="00D52F56" w:rsidRPr="00D52F56" w:rsidTr="00D52F56">
        <w:trPr>
          <w:trHeight w:val="315"/>
        </w:trPr>
        <w:tc>
          <w:tcPr>
            <w:tcW w:w="2273"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r w:rsidRPr="00D52F56">
              <w:rPr>
                <w:color w:val="000000"/>
                <w:lang w:val="fr-CH" w:eastAsia="fr-CH"/>
              </w:rPr>
              <w:t>16:1 n-9 cis</w:t>
            </w:r>
          </w:p>
        </w:tc>
        <w:tc>
          <w:tcPr>
            <w:tcW w:w="2977"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proofErr w:type="spellStart"/>
            <w:r w:rsidRPr="00D52F56">
              <w:rPr>
                <w:color w:val="000000"/>
                <w:lang w:val="fr-CH" w:eastAsia="fr-CH"/>
              </w:rPr>
              <w:t>Palmitoleic</w:t>
            </w:r>
            <w:proofErr w:type="spellEnd"/>
          </w:p>
        </w:tc>
        <w:tc>
          <w:tcPr>
            <w:tcW w:w="155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0.10</w:t>
            </w:r>
          </w:p>
        </w:tc>
        <w:tc>
          <w:tcPr>
            <w:tcW w:w="167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0.09</w:t>
            </w:r>
          </w:p>
        </w:tc>
      </w:tr>
      <w:tr w:rsidR="00D52F56" w:rsidRPr="00D52F56" w:rsidTr="00D52F56">
        <w:trPr>
          <w:trHeight w:val="315"/>
        </w:trPr>
        <w:tc>
          <w:tcPr>
            <w:tcW w:w="2273"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r w:rsidRPr="00D52F56">
              <w:rPr>
                <w:color w:val="000000"/>
                <w:lang w:val="fr-CH" w:eastAsia="fr-CH"/>
              </w:rPr>
              <w:t>17:0</w:t>
            </w:r>
          </w:p>
        </w:tc>
        <w:tc>
          <w:tcPr>
            <w:tcW w:w="2977"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proofErr w:type="spellStart"/>
            <w:r w:rsidRPr="00D52F56">
              <w:rPr>
                <w:color w:val="000000"/>
                <w:lang w:val="fr-CH" w:eastAsia="fr-CH"/>
              </w:rPr>
              <w:t>Margaric</w:t>
            </w:r>
            <w:proofErr w:type="spellEnd"/>
          </w:p>
        </w:tc>
        <w:tc>
          <w:tcPr>
            <w:tcW w:w="155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proofErr w:type="spellStart"/>
            <w:r w:rsidRPr="00D52F56">
              <w:rPr>
                <w:color w:val="000000"/>
                <w:lang w:val="fr-CH" w:eastAsia="fr-CH"/>
              </w:rPr>
              <w:t>nd</w:t>
            </w:r>
            <w:proofErr w:type="spellEnd"/>
          </w:p>
        </w:tc>
        <w:tc>
          <w:tcPr>
            <w:tcW w:w="167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0.09</w:t>
            </w:r>
          </w:p>
        </w:tc>
      </w:tr>
      <w:tr w:rsidR="00D52F56" w:rsidRPr="00D52F56" w:rsidTr="00D52F56">
        <w:trPr>
          <w:trHeight w:val="315"/>
        </w:trPr>
        <w:tc>
          <w:tcPr>
            <w:tcW w:w="2273"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r w:rsidRPr="00D52F56">
              <w:rPr>
                <w:color w:val="000000"/>
                <w:lang w:val="fr-CH" w:eastAsia="fr-CH"/>
              </w:rPr>
              <w:t>18:0</w:t>
            </w:r>
          </w:p>
        </w:tc>
        <w:tc>
          <w:tcPr>
            <w:tcW w:w="2977"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proofErr w:type="spellStart"/>
            <w:r w:rsidRPr="00D52F56">
              <w:rPr>
                <w:color w:val="000000"/>
                <w:lang w:val="fr-CH" w:eastAsia="fr-CH"/>
              </w:rPr>
              <w:t>Stearic</w:t>
            </w:r>
            <w:proofErr w:type="spellEnd"/>
          </w:p>
        </w:tc>
        <w:tc>
          <w:tcPr>
            <w:tcW w:w="155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2.89</w:t>
            </w:r>
          </w:p>
        </w:tc>
        <w:tc>
          <w:tcPr>
            <w:tcW w:w="167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3.56</w:t>
            </w:r>
          </w:p>
        </w:tc>
      </w:tr>
      <w:tr w:rsidR="00D52F56" w:rsidRPr="00D52F56" w:rsidTr="00D52F56">
        <w:trPr>
          <w:trHeight w:val="315"/>
        </w:trPr>
        <w:tc>
          <w:tcPr>
            <w:tcW w:w="2273"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r w:rsidRPr="00D52F56">
              <w:rPr>
                <w:color w:val="000000"/>
                <w:lang w:val="fr-CH" w:eastAsia="fr-CH"/>
              </w:rPr>
              <w:t xml:space="preserve">18:1 </w:t>
            </w:r>
            <w:proofErr w:type="spellStart"/>
            <w:r w:rsidRPr="00D52F56">
              <w:rPr>
                <w:i/>
                <w:iCs/>
                <w:color w:val="000000"/>
                <w:lang w:val="fr-CH" w:eastAsia="fr-CH"/>
              </w:rPr>
              <w:t>trans</w:t>
            </w:r>
            <w:proofErr w:type="spellEnd"/>
          </w:p>
        </w:tc>
        <w:tc>
          <w:tcPr>
            <w:tcW w:w="2977"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r w:rsidRPr="00D52F56">
              <w:rPr>
                <w:color w:val="000000"/>
                <w:lang w:val="fr-CH" w:eastAsia="fr-CH"/>
              </w:rPr>
              <w:t xml:space="preserve">total 18:1 </w:t>
            </w:r>
            <w:proofErr w:type="spellStart"/>
            <w:r w:rsidRPr="00D52F56">
              <w:rPr>
                <w:i/>
                <w:iCs/>
                <w:color w:val="000000"/>
                <w:lang w:val="fr-CH" w:eastAsia="fr-CH"/>
              </w:rPr>
              <w:t>trans</w:t>
            </w:r>
            <w:proofErr w:type="spellEnd"/>
            <w:r w:rsidRPr="00D52F56">
              <w:rPr>
                <w:color w:val="000000"/>
                <w:lang w:val="fr-CH" w:eastAsia="fr-CH"/>
              </w:rPr>
              <w:t xml:space="preserve"> </w:t>
            </w:r>
            <w:proofErr w:type="spellStart"/>
            <w:r w:rsidRPr="00D52F56">
              <w:rPr>
                <w:color w:val="000000"/>
                <w:lang w:val="fr-CH" w:eastAsia="fr-CH"/>
              </w:rPr>
              <w:t>isomers</w:t>
            </w:r>
            <w:proofErr w:type="spellEnd"/>
          </w:p>
        </w:tc>
        <w:tc>
          <w:tcPr>
            <w:tcW w:w="155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proofErr w:type="spellStart"/>
            <w:r w:rsidRPr="00D52F56">
              <w:rPr>
                <w:color w:val="000000"/>
                <w:lang w:val="fr-CH" w:eastAsia="fr-CH"/>
              </w:rPr>
              <w:t>nd</w:t>
            </w:r>
            <w:proofErr w:type="spellEnd"/>
          </w:p>
        </w:tc>
        <w:tc>
          <w:tcPr>
            <w:tcW w:w="167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proofErr w:type="spellStart"/>
            <w:r w:rsidRPr="00D52F56">
              <w:rPr>
                <w:color w:val="000000"/>
                <w:lang w:val="fr-CH" w:eastAsia="fr-CH"/>
              </w:rPr>
              <w:t>nd</w:t>
            </w:r>
            <w:proofErr w:type="spellEnd"/>
          </w:p>
        </w:tc>
      </w:tr>
      <w:tr w:rsidR="00D52F56" w:rsidRPr="00D52F56" w:rsidTr="00D52F56">
        <w:trPr>
          <w:trHeight w:val="315"/>
        </w:trPr>
        <w:tc>
          <w:tcPr>
            <w:tcW w:w="2273"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r w:rsidRPr="00D52F56">
              <w:rPr>
                <w:color w:val="000000"/>
                <w:lang w:val="fr-CH" w:eastAsia="fr-CH"/>
              </w:rPr>
              <w:t>18:1 n-9/n-7</w:t>
            </w:r>
          </w:p>
        </w:tc>
        <w:tc>
          <w:tcPr>
            <w:tcW w:w="2977"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proofErr w:type="spellStart"/>
            <w:r w:rsidRPr="00D52F56">
              <w:rPr>
                <w:color w:val="000000"/>
                <w:lang w:val="fr-CH" w:eastAsia="fr-CH"/>
              </w:rPr>
              <w:t>Oleic</w:t>
            </w:r>
            <w:proofErr w:type="spellEnd"/>
            <w:r w:rsidRPr="00D52F56">
              <w:rPr>
                <w:color w:val="000000"/>
                <w:lang w:val="fr-CH" w:eastAsia="fr-CH"/>
              </w:rPr>
              <w:t xml:space="preserve"> &amp; </w:t>
            </w:r>
            <w:proofErr w:type="spellStart"/>
            <w:r w:rsidRPr="00D52F56">
              <w:rPr>
                <w:color w:val="000000"/>
                <w:lang w:val="fr-CH" w:eastAsia="fr-CH"/>
              </w:rPr>
              <w:t>other</w:t>
            </w:r>
            <w:proofErr w:type="spellEnd"/>
            <w:r w:rsidRPr="00D52F56">
              <w:rPr>
                <w:color w:val="000000"/>
                <w:lang w:val="fr-CH" w:eastAsia="fr-CH"/>
              </w:rPr>
              <w:t xml:space="preserve"> </w:t>
            </w:r>
            <w:r w:rsidRPr="00060784">
              <w:rPr>
                <w:i/>
                <w:color w:val="000000"/>
                <w:lang w:val="fr-CH" w:eastAsia="fr-CH"/>
              </w:rPr>
              <w:t>cis</w:t>
            </w:r>
          </w:p>
        </w:tc>
        <w:tc>
          <w:tcPr>
            <w:tcW w:w="155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80.28</w:t>
            </w:r>
          </w:p>
        </w:tc>
        <w:tc>
          <w:tcPr>
            <w:tcW w:w="167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23.74</w:t>
            </w:r>
          </w:p>
        </w:tc>
      </w:tr>
      <w:tr w:rsidR="00D52F56" w:rsidRPr="00D52F56" w:rsidTr="00D52F56">
        <w:trPr>
          <w:trHeight w:val="315"/>
        </w:trPr>
        <w:tc>
          <w:tcPr>
            <w:tcW w:w="2273"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r w:rsidRPr="00D52F56">
              <w:rPr>
                <w:color w:val="000000"/>
                <w:lang w:val="fr-CH" w:eastAsia="fr-CH"/>
              </w:rPr>
              <w:t xml:space="preserve">18:2  </w:t>
            </w:r>
            <w:proofErr w:type="spellStart"/>
            <w:r w:rsidRPr="00D52F56">
              <w:rPr>
                <w:i/>
                <w:iCs/>
                <w:color w:val="000000"/>
                <w:lang w:val="fr-CH" w:eastAsia="fr-CH"/>
              </w:rPr>
              <w:t>trans</w:t>
            </w:r>
            <w:proofErr w:type="spellEnd"/>
          </w:p>
        </w:tc>
        <w:tc>
          <w:tcPr>
            <w:tcW w:w="2977"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r w:rsidRPr="00D52F56">
              <w:rPr>
                <w:color w:val="000000"/>
                <w:lang w:val="fr-CH" w:eastAsia="fr-CH"/>
              </w:rPr>
              <w:t xml:space="preserve">total 18:2 </w:t>
            </w:r>
            <w:proofErr w:type="spellStart"/>
            <w:r w:rsidRPr="00D52F56">
              <w:rPr>
                <w:i/>
                <w:iCs/>
                <w:color w:val="000000"/>
                <w:lang w:val="fr-CH" w:eastAsia="fr-CH"/>
              </w:rPr>
              <w:t>trans</w:t>
            </w:r>
            <w:proofErr w:type="spellEnd"/>
            <w:r w:rsidRPr="00D52F56">
              <w:rPr>
                <w:color w:val="000000"/>
                <w:lang w:val="fr-CH" w:eastAsia="fr-CH"/>
              </w:rPr>
              <w:t xml:space="preserve"> </w:t>
            </w:r>
            <w:proofErr w:type="spellStart"/>
            <w:r w:rsidRPr="00D52F56">
              <w:rPr>
                <w:color w:val="000000"/>
                <w:lang w:val="fr-CH" w:eastAsia="fr-CH"/>
              </w:rPr>
              <w:t>isomers</w:t>
            </w:r>
            <w:proofErr w:type="spellEnd"/>
          </w:p>
        </w:tc>
        <w:tc>
          <w:tcPr>
            <w:tcW w:w="155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0.13</w:t>
            </w:r>
          </w:p>
        </w:tc>
        <w:tc>
          <w:tcPr>
            <w:tcW w:w="167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0.54</w:t>
            </w:r>
          </w:p>
        </w:tc>
      </w:tr>
      <w:tr w:rsidR="00D52F56" w:rsidRPr="00D52F56" w:rsidTr="00D52F56">
        <w:trPr>
          <w:trHeight w:val="315"/>
        </w:trPr>
        <w:tc>
          <w:tcPr>
            <w:tcW w:w="2273"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r w:rsidRPr="00D52F56">
              <w:rPr>
                <w:color w:val="000000"/>
                <w:lang w:val="fr-CH" w:eastAsia="fr-CH"/>
              </w:rPr>
              <w:t xml:space="preserve">18:2 n-6 </w:t>
            </w:r>
            <w:r w:rsidRPr="00060784">
              <w:rPr>
                <w:i/>
                <w:color w:val="000000"/>
                <w:lang w:val="fr-CH" w:eastAsia="fr-CH"/>
              </w:rPr>
              <w:t>cis</w:t>
            </w:r>
          </w:p>
        </w:tc>
        <w:tc>
          <w:tcPr>
            <w:tcW w:w="2977"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proofErr w:type="spellStart"/>
            <w:r w:rsidRPr="00D52F56">
              <w:rPr>
                <w:color w:val="000000"/>
                <w:lang w:val="fr-CH" w:eastAsia="fr-CH"/>
              </w:rPr>
              <w:t>Linoleic</w:t>
            </w:r>
            <w:proofErr w:type="spellEnd"/>
          </w:p>
        </w:tc>
        <w:tc>
          <w:tcPr>
            <w:tcW w:w="155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10.65</w:t>
            </w:r>
          </w:p>
        </w:tc>
        <w:tc>
          <w:tcPr>
            <w:tcW w:w="167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52.44</w:t>
            </w:r>
          </w:p>
        </w:tc>
      </w:tr>
      <w:tr w:rsidR="00D52F56" w:rsidRPr="00D52F56" w:rsidTr="00D52F56">
        <w:trPr>
          <w:trHeight w:val="315"/>
        </w:trPr>
        <w:tc>
          <w:tcPr>
            <w:tcW w:w="2273"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r w:rsidRPr="00D52F56">
              <w:rPr>
                <w:color w:val="000000"/>
                <w:lang w:val="fr-CH" w:eastAsia="fr-CH"/>
              </w:rPr>
              <w:t xml:space="preserve">18:3 </w:t>
            </w:r>
            <w:proofErr w:type="spellStart"/>
            <w:r w:rsidRPr="00D52F56">
              <w:rPr>
                <w:i/>
                <w:iCs/>
                <w:color w:val="000000"/>
                <w:lang w:val="fr-CH" w:eastAsia="fr-CH"/>
              </w:rPr>
              <w:t>trans</w:t>
            </w:r>
            <w:proofErr w:type="spellEnd"/>
          </w:p>
        </w:tc>
        <w:tc>
          <w:tcPr>
            <w:tcW w:w="2977"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r w:rsidRPr="00D52F56">
              <w:rPr>
                <w:color w:val="000000"/>
                <w:lang w:val="fr-CH" w:eastAsia="fr-CH"/>
              </w:rPr>
              <w:t xml:space="preserve">total 18:3 </w:t>
            </w:r>
            <w:proofErr w:type="spellStart"/>
            <w:r w:rsidRPr="00D52F56">
              <w:rPr>
                <w:i/>
                <w:iCs/>
                <w:color w:val="000000"/>
                <w:lang w:val="fr-CH" w:eastAsia="fr-CH"/>
              </w:rPr>
              <w:t>trans</w:t>
            </w:r>
            <w:proofErr w:type="spellEnd"/>
            <w:r w:rsidRPr="00D52F56">
              <w:rPr>
                <w:color w:val="000000"/>
                <w:lang w:val="fr-CH" w:eastAsia="fr-CH"/>
              </w:rPr>
              <w:t xml:space="preserve"> </w:t>
            </w:r>
            <w:proofErr w:type="spellStart"/>
            <w:r w:rsidRPr="00D52F56">
              <w:rPr>
                <w:color w:val="000000"/>
                <w:lang w:val="fr-CH" w:eastAsia="fr-CH"/>
              </w:rPr>
              <w:t>isomers</w:t>
            </w:r>
            <w:proofErr w:type="spellEnd"/>
          </w:p>
        </w:tc>
        <w:tc>
          <w:tcPr>
            <w:tcW w:w="155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proofErr w:type="spellStart"/>
            <w:r w:rsidRPr="00D52F56">
              <w:rPr>
                <w:color w:val="000000"/>
                <w:lang w:val="fr-CH" w:eastAsia="fr-CH"/>
              </w:rPr>
              <w:t>nd</w:t>
            </w:r>
            <w:proofErr w:type="spellEnd"/>
          </w:p>
        </w:tc>
        <w:tc>
          <w:tcPr>
            <w:tcW w:w="167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0.89</w:t>
            </w:r>
          </w:p>
        </w:tc>
      </w:tr>
      <w:tr w:rsidR="00D52F56" w:rsidRPr="00D52F56" w:rsidTr="00D52F56">
        <w:trPr>
          <w:trHeight w:val="315"/>
        </w:trPr>
        <w:tc>
          <w:tcPr>
            <w:tcW w:w="2273"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r w:rsidRPr="00D52F56">
              <w:rPr>
                <w:color w:val="000000"/>
                <w:lang w:val="fr-CH" w:eastAsia="fr-CH"/>
              </w:rPr>
              <w:t xml:space="preserve">18:3 n-3 </w:t>
            </w:r>
            <w:r w:rsidRPr="00060784">
              <w:rPr>
                <w:i/>
                <w:color w:val="000000"/>
                <w:lang w:val="fr-CH" w:eastAsia="fr-CH"/>
              </w:rPr>
              <w:t>cis</w:t>
            </w:r>
          </w:p>
        </w:tc>
        <w:tc>
          <w:tcPr>
            <w:tcW w:w="2977"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r w:rsidRPr="00D52F56">
              <w:rPr>
                <w:color w:val="000000"/>
                <w:lang w:val="fr-CH" w:eastAsia="fr-CH"/>
              </w:rPr>
              <w:t>alpha-</w:t>
            </w:r>
            <w:proofErr w:type="spellStart"/>
            <w:r w:rsidRPr="00D52F56">
              <w:rPr>
                <w:color w:val="000000"/>
                <w:lang w:val="fr-CH" w:eastAsia="fr-CH"/>
              </w:rPr>
              <w:t>Linolenic</w:t>
            </w:r>
            <w:proofErr w:type="spellEnd"/>
          </w:p>
        </w:tc>
        <w:tc>
          <w:tcPr>
            <w:tcW w:w="155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0.10</w:t>
            </w:r>
          </w:p>
        </w:tc>
        <w:tc>
          <w:tcPr>
            <w:tcW w:w="167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5.73</w:t>
            </w:r>
          </w:p>
        </w:tc>
      </w:tr>
      <w:tr w:rsidR="00D52F56" w:rsidRPr="00D52F56" w:rsidTr="00D52F56">
        <w:trPr>
          <w:trHeight w:val="315"/>
        </w:trPr>
        <w:tc>
          <w:tcPr>
            <w:tcW w:w="2273"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r w:rsidRPr="00D52F56">
              <w:rPr>
                <w:color w:val="000000"/>
                <w:lang w:val="fr-CH" w:eastAsia="fr-CH"/>
              </w:rPr>
              <w:t>20:0</w:t>
            </w:r>
          </w:p>
        </w:tc>
        <w:tc>
          <w:tcPr>
            <w:tcW w:w="2977"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proofErr w:type="spellStart"/>
            <w:r w:rsidRPr="00D52F56">
              <w:rPr>
                <w:color w:val="000000"/>
                <w:lang w:val="fr-CH" w:eastAsia="fr-CH"/>
              </w:rPr>
              <w:t>Arachidic</w:t>
            </w:r>
            <w:proofErr w:type="spellEnd"/>
          </w:p>
        </w:tc>
        <w:tc>
          <w:tcPr>
            <w:tcW w:w="155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0.26</w:t>
            </w:r>
          </w:p>
        </w:tc>
        <w:tc>
          <w:tcPr>
            <w:tcW w:w="167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0.34</w:t>
            </w:r>
          </w:p>
        </w:tc>
      </w:tr>
      <w:tr w:rsidR="00D52F56" w:rsidRPr="00D52F56" w:rsidTr="00D52F56">
        <w:trPr>
          <w:trHeight w:val="315"/>
        </w:trPr>
        <w:tc>
          <w:tcPr>
            <w:tcW w:w="2273"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r w:rsidRPr="00D52F56">
              <w:rPr>
                <w:color w:val="000000"/>
                <w:lang w:val="fr-CH" w:eastAsia="fr-CH"/>
              </w:rPr>
              <w:t xml:space="preserve">20:1 n-9 </w:t>
            </w:r>
            <w:r w:rsidRPr="00060784">
              <w:rPr>
                <w:i/>
                <w:color w:val="000000"/>
                <w:lang w:val="fr-CH" w:eastAsia="fr-CH"/>
              </w:rPr>
              <w:t>cis</w:t>
            </w:r>
          </w:p>
        </w:tc>
        <w:tc>
          <w:tcPr>
            <w:tcW w:w="2977"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proofErr w:type="spellStart"/>
            <w:r w:rsidRPr="00D52F56">
              <w:rPr>
                <w:color w:val="000000"/>
                <w:lang w:val="fr-CH" w:eastAsia="fr-CH"/>
              </w:rPr>
              <w:t>Eicosenoic</w:t>
            </w:r>
            <w:proofErr w:type="spellEnd"/>
          </w:p>
        </w:tc>
        <w:tc>
          <w:tcPr>
            <w:tcW w:w="155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0.27</w:t>
            </w:r>
          </w:p>
        </w:tc>
        <w:tc>
          <w:tcPr>
            <w:tcW w:w="167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0.24</w:t>
            </w:r>
          </w:p>
        </w:tc>
      </w:tr>
      <w:tr w:rsidR="00D52F56" w:rsidRPr="00D52F56" w:rsidTr="00D52F56">
        <w:trPr>
          <w:trHeight w:val="315"/>
        </w:trPr>
        <w:tc>
          <w:tcPr>
            <w:tcW w:w="2273"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r w:rsidRPr="00D52F56">
              <w:rPr>
                <w:color w:val="000000"/>
                <w:lang w:val="fr-CH" w:eastAsia="fr-CH"/>
              </w:rPr>
              <w:t>22:0</w:t>
            </w:r>
          </w:p>
        </w:tc>
        <w:tc>
          <w:tcPr>
            <w:tcW w:w="2977"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proofErr w:type="spellStart"/>
            <w:r w:rsidRPr="00D52F56">
              <w:rPr>
                <w:color w:val="000000"/>
                <w:lang w:val="fr-CH" w:eastAsia="fr-CH"/>
              </w:rPr>
              <w:t>Behenic</w:t>
            </w:r>
            <w:proofErr w:type="spellEnd"/>
          </w:p>
        </w:tc>
        <w:tc>
          <w:tcPr>
            <w:tcW w:w="155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0.83</w:t>
            </w:r>
          </w:p>
        </w:tc>
        <w:tc>
          <w:tcPr>
            <w:tcW w:w="167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0.44</w:t>
            </w:r>
          </w:p>
        </w:tc>
      </w:tr>
      <w:tr w:rsidR="00D52F56" w:rsidRPr="00D52F56" w:rsidTr="00D52F56">
        <w:trPr>
          <w:trHeight w:val="315"/>
        </w:trPr>
        <w:tc>
          <w:tcPr>
            <w:tcW w:w="2273"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r w:rsidRPr="00D52F56">
              <w:rPr>
                <w:color w:val="000000"/>
                <w:lang w:val="fr-CH" w:eastAsia="fr-CH"/>
              </w:rPr>
              <w:t>24:0</w:t>
            </w:r>
          </w:p>
        </w:tc>
        <w:tc>
          <w:tcPr>
            <w:tcW w:w="2977" w:type="dxa"/>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proofErr w:type="spellStart"/>
            <w:r w:rsidRPr="00D52F56">
              <w:rPr>
                <w:color w:val="000000"/>
                <w:lang w:val="fr-CH" w:eastAsia="fr-CH"/>
              </w:rPr>
              <w:t>Lignoceric</w:t>
            </w:r>
            <w:proofErr w:type="spellEnd"/>
          </w:p>
        </w:tc>
        <w:tc>
          <w:tcPr>
            <w:tcW w:w="155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0.30</w:t>
            </w:r>
          </w:p>
        </w:tc>
        <w:tc>
          <w:tcPr>
            <w:tcW w:w="167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0.15</w:t>
            </w:r>
          </w:p>
        </w:tc>
      </w:tr>
      <w:tr w:rsidR="00D52F56" w:rsidRPr="00D52F56" w:rsidTr="00D52F56">
        <w:trPr>
          <w:trHeight w:val="315"/>
        </w:trPr>
        <w:tc>
          <w:tcPr>
            <w:tcW w:w="2273" w:type="dxa"/>
            <w:tcBorders>
              <w:top w:val="nil"/>
              <w:left w:val="nil"/>
              <w:bottom w:val="single" w:sz="4" w:space="0" w:color="auto"/>
              <w:right w:val="nil"/>
            </w:tcBorders>
            <w:shd w:val="clear" w:color="auto" w:fill="auto"/>
            <w:noWrap/>
            <w:vAlign w:val="bottom"/>
            <w:hideMark/>
          </w:tcPr>
          <w:p w:rsidR="00D52F56" w:rsidRPr="00D52F56" w:rsidRDefault="00D52F56" w:rsidP="00D52F56">
            <w:pPr>
              <w:rPr>
                <w:color w:val="000000"/>
                <w:lang w:val="fr-CH" w:eastAsia="fr-CH"/>
              </w:rPr>
            </w:pPr>
            <w:r w:rsidRPr="00D52F56">
              <w:rPr>
                <w:color w:val="000000"/>
                <w:lang w:val="fr-CH" w:eastAsia="fr-CH"/>
              </w:rPr>
              <w:t>OFA</w:t>
            </w:r>
          </w:p>
        </w:tc>
        <w:tc>
          <w:tcPr>
            <w:tcW w:w="2977" w:type="dxa"/>
            <w:tcBorders>
              <w:top w:val="nil"/>
              <w:left w:val="nil"/>
              <w:bottom w:val="single" w:sz="4" w:space="0" w:color="auto"/>
              <w:right w:val="nil"/>
            </w:tcBorders>
            <w:shd w:val="clear" w:color="auto" w:fill="auto"/>
            <w:noWrap/>
            <w:vAlign w:val="bottom"/>
            <w:hideMark/>
          </w:tcPr>
          <w:p w:rsidR="00D52F56" w:rsidRPr="00D52F56" w:rsidRDefault="00D52F56" w:rsidP="009A6913">
            <w:pPr>
              <w:rPr>
                <w:color w:val="000000"/>
                <w:lang w:val="fr-CH" w:eastAsia="fr-CH"/>
              </w:rPr>
            </w:pPr>
            <w:proofErr w:type="spellStart"/>
            <w:r w:rsidRPr="00D52F56">
              <w:rPr>
                <w:color w:val="000000"/>
                <w:lang w:val="fr-CH" w:eastAsia="fr-CH"/>
              </w:rPr>
              <w:t>Other</w:t>
            </w:r>
            <w:proofErr w:type="spellEnd"/>
            <w:r w:rsidRPr="00D52F56">
              <w:rPr>
                <w:color w:val="000000"/>
                <w:lang w:val="fr-CH" w:eastAsia="fr-CH"/>
              </w:rPr>
              <w:t xml:space="preserve"> </w:t>
            </w:r>
            <w:proofErr w:type="spellStart"/>
            <w:r w:rsidRPr="00D52F56">
              <w:rPr>
                <w:color w:val="000000"/>
                <w:lang w:val="fr-CH" w:eastAsia="fr-CH"/>
              </w:rPr>
              <w:t>Fatty</w:t>
            </w:r>
            <w:proofErr w:type="spellEnd"/>
            <w:r w:rsidRPr="00D52F56">
              <w:rPr>
                <w:color w:val="000000"/>
                <w:lang w:val="fr-CH" w:eastAsia="fr-CH"/>
              </w:rPr>
              <w:t xml:space="preserve"> </w:t>
            </w:r>
            <w:proofErr w:type="spellStart"/>
            <w:r w:rsidRPr="00D52F56">
              <w:rPr>
                <w:color w:val="000000"/>
                <w:lang w:val="fr-CH" w:eastAsia="fr-CH"/>
              </w:rPr>
              <w:t>Acids</w:t>
            </w:r>
            <w:proofErr w:type="spellEnd"/>
            <w:r w:rsidRPr="00D52F56">
              <w:rPr>
                <w:color w:val="000000"/>
                <w:lang w:val="fr-CH" w:eastAsia="fr-CH"/>
              </w:rPr>
              <w:t xml:space="preserve"> (</w:t>
            </w:r>
            <w:proofErr w:type="spellStart"/>
            <w:r w:rsidR="009A6913">
              <w:rPr>
                <w:color w:val="000000"/>
                <w:lang w:val="fr-CH" w:eastAsia="fr-CH"/>
              </w:rPr>
              <w:t>sum</w:t>
            </w:r>
            <w:proofErr w:type="spellEnd"/>
            <w:r w:rsidRPr="00D52F56">
              <w:rPr>
                <w:color w:val="000000"/>
                <w:lang w:val="fr-CH" w:eastAsia="fr-CH"/>
              </w:rPr>
              <w:t>)</w:t>
            </w:r>
          </w:p>
        </w:tc>
        <w:tc>
          <w:tcPr>
            <w:tcW w:w="1559" w:type="dxa"/>
            <w:tcBorders>
              <w:top w:val="nil"/>
              <w:left w:val="nil"/>
              <w:bottom w:val="single" w:sz="4" w:space="0" w:color="auto"/>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0.38</w:t>
            </w:r>
          </w:p>
        </w:tc>
        <w:tc>
          <w:tcPr>
            <w:tcW w:w="1679" w:type="dxa"/>
            <w:tcBorders>
              <w:top w:val="nil"/>
              <w:left w:val="nil"/>
              <w:bottom w:val="single" w:sz="4" w:space="0" w:color="auto"/>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0.48</w:t>
            </w:r>
          </w:p>
        </w:tc>
      </w:tr>
      <w:tr w:rsidR="00D52F56" w:rsidRPr="00D52F56" w:rsidTr="00D52F56">
        <w:trPr>
          <w:trHeight w:val="315"/>
        </w:trPr>
        <w:tc>
          <w:tcPr>
            <w:tcW w:w="2273" w:type="dxa"/>
            <w:tcBorders>
              <w:top w:val="nil"/>
              <w:left w:val="nil"/>
              <w:bottom w:val="single" w:sz="4" w:space="0" w:color="auto"/>
              <w:right w:val="nil"/>
            </w:tcBorders>
            <w:shd w:val="clear" w:color="auto" w:fill="auto"/>
            <w:noWrap/>
            <w:vAlign w:val="bottom"/>
            <w:hideMark/>
          </w:tcPr>
          <w:p w:rsidR="00D52F56" w:rsidRPr="00D52F56" w:rsidRDefault="00060784" w:rsidP="00060784">
            <w:pPr>
              <w:rPr>
                <w:b/>
                <w:bCs/>
                <w:color w:val="000000"/>
                <w:lang w:val="fr-CH" w:eastAsia="fr-CH"/>
              </w:rPr>
            </w:pPr>
            <w:r>
              <w:rPr>
                <w:b/>
                <w:bCs/>
                <w:color w:val="000000"/>
                <w:lang w:val="fr-CH" w:eastAsia="fr-CH"/>
              </w:rPr>
              <w:t xml:space="preserve">Total </w:t>
            </w:r>
            <w:proofErr w:type="spellStart"/>
            <w:r>
              <w:rPr>
                <w:b/>
                <w:bCs/>
                <w:color w:val="000000"/>
                <w:lang w:val="fr-CH" w:eastAsia="fr-CH"/>
              </w:rPr>
              <w:t>F</w:t>
            </w:r>
            <w:r w:rsidR="00D52F56" w:rsidRPr="00D52F56">
              <w:rPr>
                <w:b/>
                <w:bCs/>
                <w:color w:val="000000"/>
                <w:lang w:val="fr-CH" w:eastAsia="fr-CH"/>
              </w:rPr>
              <w:t>atty</w:t>
            </w:r>
            <w:proofErr w:type="spellEnd"/>
            <w:r w:rsidR="00D52F56" w:rsidRPr="00D52F56">
              <w:rPr>
                <w:b/>
                <w:bCs/>
                <w:color w:val="000000"/>
                <w:lang w:val="fr-CH" w:eastAsia="fr-CH"/>
              </w:rPr>
              <w:t xml:space="preserve"> </w:t>
            </w:r>
            <w:proofErr w:type="spellStart"/>
            <w:r>
              <w:rPr>
                <w:b/>
                <w:bCs/>
                <w:color w:val="000000"/>
                <w:lang w:val="fr-CH" w:eastAsia="fr-CH"/>
              </w:rPr>
              <w:t>A</w:t>
            </w:r>
            <w:r w:rsidR="00D52F56" w:rsidRPr="00D52F56">
              <w:rPr>
                <w:b/>
                <w:bCs/>
                <w:color w:val="000000"/>
                <w:lang w:val="fr-CH" w:eastAsia="fr-CH"/>
              </w:rPr>
              <w:t>cids</w:t>
            </w:r>
            <w:proofErr w:type="spellEnd"/>
          </w:p>
        </w:tc>
        <w:tc>
          <w:tcPr>
            <w:tcW w:w="2977" w:type="dxa"/>
            <w:tcBorders>
              <w:top w:val="nil"/>
              <w:left w:val="nil"/>
              <w:bottom w:val="single" w:sz="4" w:space="0" w:color="auto"/>
              <w:right w:val="nil"/>
            </w:tcBorders>
            <w:shd w:val="clear" w:color="auto" w:fill="auto"/>
            <w:noWrap/>
            <w:vAlign w:val="bottom"/>
            <w:hideMark/>
          </w:tcPr>
          <w:p w:rsidR="00D52F56" w:rsidRPr="00D52F56" w:rsidRDefault="00D52F56" w:rsidP="00D52F56">
            <w:pPr>
              <w:rPr>
                <w:b/>
                <w:bCs/>
                <w:color w:val="000000"/>
                <w:lang w:val="fr-CH" w:eastAsia="fr-CH"/>
              </w:rPr>
            </w:pPr>
            <w:r w:rsidRPr="00D52F56">
              <w:rPr>
                <w:b/>
                <w:bCs/>
                <w:color w:val="000000"/>
                <w:lang w:val="fr-CH" w:eastAsia="fr-CH"/>
              </w:rPr>
              <w:t> </w:t>
            </w:r>
          </w:p>
        </w:tc>
        <w:tc>
          <w:tcPr>
            <w:tcW w:w="1559" w:type="dxa"/>
            <w:tcBorders>
              <w:top w:val="nil"/>
              <w:left w:val="nil"/>
              <w:bottom w:val="single" w:sz="4" w:space="0" w:color="auto"/>
              <w:right w:val="nil"/>
            </w:tcBorders>
            <w:shd w:val="clear" w:color="auto" w:fill="auto"/>
            <w:noWrap/>
            <w:vAlign w:val="bottom"/>
            <w:hideMark/>
          </w:tcPr>
          <w:p w:rsidR="00D52F56" w:rsidRPr="00D52F56" w:rsidRDefault="00D52F56" w:rsidP="00D52F56">
            <w:pPr>
              <w:jc w:val="right"/>
              <w:rPr>
                <w:b/>
                <w:bCs/>
                <w:color w:val="000000"/>
                <w:lang w:val="fr-CH" w:eastAsia="fr-CH"/>
              </w:rPr>
            </w:pPr>
            <w:r w:rsidRPr="00D52F56">
              <w:rPr>
                <w:b/>
                <w:bCs/>
                <w:color w:val="000000"/>
                <w:lang w:val="fr-CH" w:eastAsia="fr-CH"/>
              </w:rPr>
              <w:t>100.00</w:t>
            </w:r>
          </w:p>
        </w:tc>
        <w:tc>
          <w:tcPr>
            <w:tcW w:w="1679" w:type="dxa"/>
            <w:tcBorders>
              <w:top w:val="nil"/>
              <w:left w:val="nil"/>
              <w:bottom w:val="single" w:sz="4" w:space="0" w:color="auto"/>
              <w:right w:val="nil"/>
            </w:tcBorders>
            <w:shd w:val="clear" w:color="auto" w:fill="auto"/>
            <w:noWrap/>
            <w:vAlign w:val="bottom"/>
            <w:hideMark/>
          </w:tcPr>
          <w:p w:rsidR="00D52F56" w:rsidRPr="00D52F56" w:rsidRDefault="00D52F56" w:rsidP="00D52F56">
            <w:pPr>
              <w:jc w:val="right"/>
              <w:rPr>
                <w:b/>
                <w:bCs/>
                <w:color w:val="000000"/>
                <w:lang w:val="fr-CH" w:eastAsia="fr-CH"/>
              </w:rPr>
            </w:pPr>
            <w:r w:rsidRPr="00D52F56">
              <w:rPr>
                <w:b/>
                <w:bCs/>
                <w:color w:val="000000"/>
                <w:lang w:val="fr-CH" w:eastAsia="fr-CH"/>
              </w:rPr>
              <w:t>100.00</w:t>
            </w:r>
          </w:p>
        </w:tc>
      </w:tr>
      <w:tr w:rsidR="00D52F56" w:rsidRPr="00D52F56" w:rsidTr="00D52F56">
        <w:trPr>
          <w:trHeight w:val="315"/>
        </w:trPr>
        <w:tc>
          <w:tcPr>
            <w:tcW w:w="5250" w:type="dxa"/>
            <w:gridSpan w:val="2"/>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proofErr w:type="spellStart"/>
            <w:r w:rsidRPr="00D52F56">
              <w:rPr>
                <w:color w:val="000000"/>
                <w:lang w:val="fr-CH" w:eastAsia="fr-CH"/>
              </w:rPr>
              <w:t>Saturated</w:t>
            </w:r>
            <w:proofErr w:type="spellEnd"/>
            <w:r w:rsidRPr="00D52F56">
              <w:rPr>
                <w:color w:val="000000"/>
                <w:lang w:val="fr-CH" w:eastAsia="fr-CH"/>
              </w:rPr>
              <w:t xml:space="preserve"> </w:t>
            </w:r>
            <w:proofErr w:type="spellStart"/>
            <w:r w:rsidRPr="00D52F56">
              <w:rPr>
                <w:color w:val="000000"/>
                <w:lang w:val="fr-CH" w:eastAsia="fr-CH"/>
              </w:rPr>
              <w:t>fatty</w:t>
            </w:r>
            <w:proofErr w:type="spellEnd"/>
            <w:r w:rsidRPr="00D52F56">
              <w:rPr>
                <w:color w:val="000000"/>
                <w:lang w:val="fr-CH" w:eastAsia="fr-CH"/>
              </w:rPr>
              <w:t xml:space="preserve"> </w:t>
            </w:r>
            <w:proofErr w:type="spellStart"/>
            <w:r w:rsidRPr="00D52F56">
              <w:rPr>
                <w:color w:val="000000"/>
                <w:lang w:val="fr-CH" w:eastAsia="fr-CH"/>
              </w:rPr>
              <w:t>acids</w:t>
            </w:r>
            <w:proofErr w:type="spellEnd"/>
          </w:p>
        </w:tc>
        <w:tc>
          <w:tcPr>
            <w:tcW w:w="155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8.10</w:t>
            </w:r>
          </w:p>
        </w:tc>
        <w:tc>
          <w:tcPr>
            <w:tcW w:w="167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15.86</w:t>
            </w:r>
          </w:p>
        </w:tc>
      </w:tr>
      <w:tr w:rsidR="00D52F56" w:rsidRPr="00D52F56" w:rsidTr="00D52F56">
        <w:trPr>
          <w:trHeight w:val="315"/>
        </w:trPr>
        <w:tc>
          <w:tcPr>
            <w:tcW w:w="5250" w:type="dxa"/>
            <w:gridSpan w:val="2"/>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proofErr w:type="spellStart"/>
            <w:r w:rsidRPr="00D52F56">
              <w:rPr>
                <w:color w:val="000000"/>
                <w:lang w:val="fr-CH" w:eastAsia="fr-CH"/>
              </w:rPr>
              <w:t>Monounsaturated</w:t>
            </w:r>
            <w:proofErr w:type="spellEnd"/>
            <w:r w:rsidRPr="00D52F56">
              <w:rPr>
                <w:color w:val="000000"/>
                <w:lang w:val="fr-CH" w:eastAsia="fr-CH"/>
              </w:rPr>
              <w:t xml:space="preserve"> </w:t>
            </w:r>
            <w:proofErr w:type="spellStart"/>
            <w:r w:rsidRPr="00D52F56">
              <w:rPr>
                <w:color w:val="000000"/>
                <w:lang w:val="fr-CH" w:eastAsia="fr-CH"/>
              </w:rPr>
              <w:t>fatty</w:t>
            </w:r>
            <w:proofErr w:type="spellEnd"/>
            <w:r w:rsidRPr="00D52F56">
              <w:rPr>
                <w:color w:val="000000"/>
                <w:lang w:val="fr-CH" w:eastAsia="fr-CH"/>
              </w:rPr>
              <w:t xml:space="preserve"> </w:t>
            </w:r>
            <w:proofErr w:type="spellStart"/>
            <w:r w:rsidRPr="00D52F56">
              <w:rPr>
                <w:color w:val="000000"/>
                <w:lang w:val="fr-CH" w:eastAsia="fr-CH"/>
              </w:rPr>
              <w:t>acid</w:t>
            </w:r>
            <w:proofErr w:type="spellEnd"/>
          </w:p>
        </w:tc>
        <w:tc>
          <w:tcPr>
            <w:tcW w:w="155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80.65</w:t>
            </w:r>
          </w:p>
        </w:tc>
        <w:tc>
          <w:tcPr>
            <w:tcW w:w="167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24.07</w:t>
            </w:r>
          </w:p>
        </w:tc>
      </w:tr>
      <w:tr w:rsidR="00D52F56" w:rsidRPr="00D52F56" w:rsidTr="00D52F56">
        <w:trPr>
          <w:trHeight w:val="315"/>
        </w:trPr>
        <w:tc>
          <w:tcPr>
            <w:tcW w:w="5250" w:type="dxa"/>
            <w:gridSpan w:val="2"/>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proofErr w:type="spellStart"/>
            <w:r w:rsidRPr="00D52F56">
              <w:rPr>
                <w:color w:val="000000"/>
                <w:lang w:val="fr-CH" w:eastAsia="fr-CH"/>
              </w:rPr>
              <w:t>Polyunsaturated</w:t>
            </w:r>
            <w:proofErr w:type="spellEnd"/>
            <w:r w:rsidRPr="00D52F56">
              <w:rPr>
                <w:color w:val="000000"/>
                <w:lang w:val="fr-CH" w:eastAsia="fr-CH"/>
              </w:rPr>
              <w:t xml:space="preserve"> </w:t>
            </w:r>
            <w:proofErr w:type="spellStart"/>
            <w:r w:rsidRPr="00D52F56">
              <w:rPr>
                <w:color w:val="000000"/>
                <w:lang w:val="fr-CH" w:eastAsia="fr-CH"/>
              </w:rPr>
              <w:t>fatty</w:t>
            </w:r>
            <w:proofErr w:type="spellEnd"/>
            <w:r w:rsidRPr="00D52F56">
              <w:rPr>
                <w:color w:val="000000"/>
                <w:lang w:val="fr-CH" w:eastAsia="fr-CH"/>
              </w:rPr>
              <w:t xml:space="preserve"> </w:t>
            </w:r>
            <w:proofErr w:type="spellStart"/>
            <w:r w:rsidRPr="00D52F56">
              <w:rPr>
                <w:color w:val="000000"/>
                <w:lang w:val="fr-CH" w:eastAsia="fr-CH"/>
              </w:rPr>
              <w:t>acid</w:t>
            </w:r>
            <w:proofErr w:type="spellEnd"/>
          </w:p>
        </w:tc>
        <w:tc>
          <w:tcPr>
            <w:tcW w:w="155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10.75</w:t>
            </w:r>
          </w:p>
        </w:tc>
        <w:tc>
          <w:tcPr>
            <w:tcW w:w="167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58.17</w:t>
            </w:r>
          </w:p>
        </w:tc>
      </w:tr>
      <w:tr w:rsidR="00D52F56" w:rsidRPr="00D52F56" w:rsidTr="00D52F56">
        <w:trPr>
          <w:trHeight w:val="315"/>
        </w:trPr>
        <w:tc>
          <w:tcPr>
            <w:tcW w:w="5250" w:type="dxa"/>
            <w:gridSpan w:val="2"/>
            <w:tcBorders>
              <w:top w:val="nil"/>
              <w:left w:val="nil"/>
              <w:bottom w:val="nil"/>
              <w:right w:val="nil"/>
            </w:tcBorders>
            <w:shd w:val="clear" w:color="auto" w:fill="auto"/>
            <w:noWrap/>
            <w:vAlign w:val="bottom"/>
            <w:hideMark/>
          </w:tcPr>
          <w:p w:rsidR="00D52F56" w:rsidRPr="00D52F56" w:rsidRDefault="00D52F56" w:rsidP="00D52F56">
            <w:pPr>
              <w:rPr>
                <w:color w:val="000000"/>
                <w:lang w:val="fr-CH" w:eastAsia="fr-CH"/>
              </w:rPr>
            </w:pPr>
            <w:proofErr w:type="spellStart"/>
            <w:r w:rsidRPr="00D52F56">
              <w:rPr>
                <w:color w:val="000000"/>
                <w:lang w:val="fr-CH" w:eastAsia="fr-CH"/>
              </w:rPr>
              <w:t>Other</w:t>
            </w:r>
            <w:proofErr w:type="spellEnd"/>
            <w:r w:rsidRPr="00D52F56">
              <w:rPr>
                <w:color w:val="000000"/>
                <w:lang w:val="fr-CH" w:eastAsia="fr-CH"/>
              </w:rPr>
              <w:t xml:space="preserve"> </w:t>
            </w:r>
            <w:proofErr w:type="spellStart"/>
            <w:r w:rsidRPr="00D52F56">
              <w:rPr>
                <w:color w:val="000000"/>
                <w:lang w:val="fr-CH" w:eastAsia="fr-CH"/>
              </w:rPr>
              <w:t>fatty</w:t>
            </w:r>
            <w:proofErr w:type="spellEnd"/>
            <w:r w:rsidRPr="00D52F56">
              <w:rPr>
                <w:color w:val="000000"/>
                <w:lang w:val="fr-CH" w:eastAsia="fr-CH"/>
              </w:rPr>
              <w:t xml:space="preserve"> </w:t>
            </w:r>
            <w:proofErr w:type="spellStart"/>
            <w:r w:rsidRPr="00D52F56">
              <w:rPr>
                <w:color w:val="000000"/>
                <w:lang w:val="fr-CH" w:eastAsia="fr-CH"/>
              </w:rPr>
              <w:t>acids</w:t>
            </w:r>
            <w:proofErr w:type="spellEnd"/>
            <w:r w:rsidRPr="00D52F56">
              <w:rPr>
                <w:color w:val="000000"/>
                <w:lang w:val="fr-CH" w:eastAsia="fr-CH"/>
              </w:rPr>
              <w:t xml:space="preserve"> (OFA)</w:t>
            </w:r>
          </w:p>
        </w:tc>
        <w:tc>
          <w:tcPr>
            <w:tcW w:w="155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0.38</w:t>
            </w:r>
          </w:p>
        </w:tc>
        <w:tc>
          <w:tcPr>
            <w:tcW w:w="1679" w:type="dxa"/>
            <w:tcBorders>
              <w:top w:val="nil"/>
              <w:left w:val="nil"/>
              <w:bottom w:val="nil"/>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0.48</w:t>
            </w:r>
          </w:p>
        </w:tc>
      </w:tr>
      <w:tr w:rsidR="00D52F56" w:rsidRPr="00D52F56" w:rsidTr="00D52F56">
        <w:trPr>
          <w:trHeight w:val="315"/>
        </w:trPr>
        <w:tc>
          <w:tcPr>
            <w:tcW w:w="5250" w:type="dxa"/>
            <w:gridSpan w:val="2"/>
            <w:tcBorders>
              <w:top w:val="nil"/>
              <w:left w:val="nil"/>
              <w:bottom w:val="single" w:sz="4" w:space="0" w:color="auto"/>
              <w:right w:val="nil"/>
            </w:tcBorders>
            <w:shd w:val="clear" w:color="auto" w:fill="auto"/>
            <w:noWrap/>
            <w:vAlign w:val="bottom"/>
            <w:hideMark/>
          </w:tcPr>
          <w:p w:rsidR="00D52F56" w:rsidRPr="00D52F56" w:rsidRDefault="00D52F56" w:rsidP="00D52F56">
            <w:pPr>
              <w:rPr>
                <w:color w:val="000000"/>
                <w:lang w:val="fr-CH" w:eastAsia="fr-CH"/>
              </w:rPr>
            </w:pPr>
            <w:r w:rsidRPr="00D52F56">
              <w:rPr>
                <w:color w:val="000000"/>
                <w:lang w:val="fr-CH" w:eastAsia="fr-CH"/>
              </w:rPr>
              <w:t>Total</w:t>
            </w:r>
            <w:r w:rsidRPr="00D52F56">
              <w:rPr>
                <w:i/>
                <w:iCs/>
                <w:color w:val="000000"/>
                <w:lang w:val="fr-CH" w:eastAsia="fr-CH"/>
              </w:rPr>
              <w:t xml:space="preserve"> </w:t>
            </w:r>
            <w:proofErr w:type="spellStart"/>
            <w:r w:rsidRPr="00D52F56">
              <w:rPr>
                <w:i/>
                <w:iCs/>
                <w:color w:val="000000"/>
                <w:lang w:val="fr-CH" w:eastAsia="fr-CH"/>
              </w:rPr>
              <w:t>trans</w:t>
            </w:r>
            <w:proofErr w:type="spellEnd"/>
            <w:r w:rsidRPr="00D52F56">
              <w:rPr>
                <w:color w:val="000000"/>
                <w:lang w:val="fr-CH" w:eastAsia="fr-CH"/>
              </w:rPr>
              <w:t xml:space="preserve"> </w:t>
            </w:r>
            <w:proofErr w:type="spellStart"/>
            <w:r w:rsidRPr="00D52F56">
              <w:rPr>
                <w:color w:val="000000"/>
                <w:lang w:val="fr-CH" w:eastAsia="fr-CH"/>
              </w:rPr>
              <w:t>fatty</w:t>
            </w:r>
            <w:proofErr w:type="spellEnd"/>
            <w:r w:rsidRPr="00D52F56">
              <w:rPr>
                <w:color w:val="000000"/>
                <w:lang w:val="fr-CH" w:eastAsia="fr-CH"/>
              </w:rPr>
              <w:t xml:space="preserve"> </w:t>
            </w:r>
            <w:proofErr w:type="spellStart"/>
            <w:r w:rsidRPr="00D52F56">
              <w:rPr>
                <w:color w:val="000000"/>
                <w:lang w:val="fr-CH" w:eastAsia="fr-CH"/>
              </w:rPr>
              <w:t>acids</w:t>
            </w:r>
            <w:proofErr w:type="spellEnd"/>
          </w:p>
        </w:tc>
        <w:tc>
          <w:tcPr>
            <w:tcW w:w="1559" w:type="dxa"/>
            <w:tcBorders>
              <w:top w:val="nil"/>
              <w:left w:val="nil"/>
              <w:bottom w:val="single" w:sz="4" w:space="0" w:color="auto"/>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0.13</w:t>
            </w:r>
          </w:p>
        </w:tc>
        <w:tc>
          <w:tcPr>
            <w:tcW w:w="1679" w:type="dxa"/>
            <w:tcBorders>
              <w:top w:val="nil"/>
              <w:left w:val="nil"/>
              <w:bottom w:val="single" w:sz="4" w:space="0" w:color="auto"/>
              <w:right w:val="nil"/>
            </w:tcBorders>
            <w:shd w:val="clear" w:color="auto" w:fill="auto"/>
            <w:noWrap/>
            <w:vAlign w:val="bottom"/>
            <w:hideMark/>
          </w:tcPr>
          <w:p w:rsidR="00D52F56" w:rsidRPr="00D52F56" w:rsidRDefault="00D52F56" w:rsidP="00D52F56">
            <w:pPr>
              <w:jc w:val="right"/>
              <w:rPr>
                <w:color w:val="000000"/>
                <w:lang w:val="fr-CH" w:eastAsia="fr-CH"/>
              </w:rPr>
            </w:pPr>
            <w:r w:rsidRPr="00D52F56">
              <w:rPr>
                <w:color w:val="000000"/>
                <w:lang w:val="fr-CH" w:eastAsia="fr-CH"/>
              </w:rPr>
              <w:t>1.42</w:t>
            </w:r>
          </w:p>
        </w:tc>
      </w:tr>
      <w:tr w:rsidR="00D52F56" w:rsidRPr="00D52F56" w:rsidTr="00D52F56">
        <w:trPr>
          <w:trHeight w:val="315"/>
        </w:trPr>
        <w:tc>
          <w:tcPr>
            <w:tcW w:w="2273" w:type="dxa"/>
            <w:tcBorders>
              <w:top w:val="nil"/>
              <w:left w:val="nil"/>
              <w:bottom w:val="single" w:sz="4" w:space="0" w:color="auto"/>
              <w:right w:val="nil"/>
            </w:tcBorders>
            <w:shd w:val="clear" w:color="auto" w:fill="auto"/>
            <w:noWrap/>
            <w:vAlign w:val="bottom"/>
            <w:hideMark/>
          </w:tcPr>
          <w:p w:rsidR="00D52F56" w:rsidRPr="00D52F56" w:rsidRDefault="00060784" w:rsidP="00060784">
            <w:pPr>
              <w:rPr>
                <w:b/>
                <w:bCs/>
                <w:color w:val="000000"/>
                <w:lang w:val="fr-CH" w:eastAsia="fr-CH"/>
              </w:rPr>
            </w:pPr>
            <w:r>
              <w:rPr>
                <w:b/>
                <w:bCs/>
                <w:color w:val="000000"/>
                <w:lang w:val="fr-CH" w:eastAsia="fr-CH"/>
              </w:rPr>
              <w:t xml:space="preserve">Total </w:t>
            </w:r>
            <w:proofErr w:type="spellStart"/>
            <w:r>
              <w:rPr>
                <w:b/>
                <w:bCs/>
                <w:color w:val="000000"/>
                <w:lang w:val="fr-CH" w:eastAsia="fr-CH"/>
              </w:rPr>
              <w:t>F</w:t>
            </w:r>
            <w:r w:rsidR="00D52F56" w:rsidRPr="00D52F56">
              <w:rPr>
                <w:b/>
                <w:bCs/>
                <w:color w:val="000000"/>
                <w:lang w:val="fr-CH" w:eastAsia="fr-CH"/>
              </w:rPr>
              <w:t>atty</w:t>
            </w:r>
            <w:proofErr w:type="spellEnd"/>
            <w:r w:rsidR="00D52F56" w:rsidRPr="00D52F56">
              <w:rPr>
                <w:b/>
                <w:bCs/>
                <w:color w:val="000000"/>
                <w:lang w:val="fr-CH" w:eastAsia="fr-CH"/>
              </w:rPr>
              <w:t xml:space="preserve"> </w:t>
            </w:r>
            <w:proofErr w:type="spellStart"/>
            <w:r>
              <w:rPr>
                <w:b/>
                <w:bCs/>
                <w:color w:val="000000"/>
                <w:lang w:val="fr-CH" w:eastAsia="fr-CH"/>
              </w:rPr>
              <w:t>A</w:t>
            </w:r>
            <w:r w:rsidR="00D52F56" w:rsidRPr="00D52F56">
              <w:rPr>
                <w:b/>
                <w:bCs/>
                <w:color w:val="000000"/>
                <w:lang w:val="fr-CH" w:eastAsia="fr-CH"/>
              </w:rPr>
              <w:t>cids</w:t>
            </w:r>
            <w:proofErr w:type="spellEnd"/>
          </w:p>
        </w:tc>
        <w:tc>
          <w:tcPr>
            <w:tcW w:w="2977" w:type="dxa"/>
            <w:tcBorders>
              <w:top w:val="nil"/>
              <w:left w:val="nil"/>
              <w:bottom w:val="single" w:sz="4" w:space="0" w:color="auto"/>
              <w:right w:val="nil"/>
            </w:tcBorders>
            <w:shd w:val="clear" w:color="auto" w:fill="auto"/>
            <w:noWrap/>
            <w:vAlign w:val="bottom"/>
            <w:hideMark/>
          </w:tcPr>
          <w:p w:rsidR="00D52F56" w:rsidRPr="00D52F56" w:rsidRDefault="00D52F56" w:rsidP="00D52F56">
            <w:pPr>
              <w:rPr>
                <w:b/>
                <w:bCs/>
                <w:color w:val="000000"/>
                <w:lang w:val="fr-CH" w:eastAsia="fr-CH"/>
              </w:rPr>
            </w:pPr>
            <w:r w:rsidRPr="00D52F56">
              <w:rPr>
                <w:b/>
                <w:bCs/>
                <w:color w:val="000000"/>
                <w:lang w:val="fr-CH" w:eastAsia="fr-CH"/>
              </w:rPr>
              <w:t> </w:t>
            </w:r>
          </w:p>
        </w:tc>
        <w:tc>
          <w:tcPr>
            <w:tcW w:w="1559" w:type="dxa"/>
            <w:tcBorders>
              <w:top w:val="nil"/>
              <w:left w:val="nil"/>
              <w:bottom w:val="single" w:sz="4" w:space="0" w:color="auto"/>
              <w:right w:val="nil"/>
            </w:tcBorders>
            <w:shd w:val="clear" w:color="auto" w:fill="auto"/>
            <w:noWrap/>
            <w:vAlign w:val="bottom"/>
            <w:hideMark/>
          </w:tcPr>
          <w:p w:rsidR="00D52F56" w:rsidRPr="00D52F56" w:rsidRDefault="00D52F56" w:rsidP="00D52F56">
            <w:pPr>
              <w:jc w:val="right"/>
              <w:rPr>
                <w:b/>
                <w:bCs/>
                <w:color w:val="000000"/>
                <w:lang w:val="fr-CH" w:eastAsia="fr-CH"/>
              </w:rPr>
            </w:pPr>
            <w:r w:rsidRPr="00D52F56">
              <w:rPr>
                <w:b/>
                <w:bCs/>
                <w:color w:val="000000"/>
                <w:lang w:val="fr-CH" w:eastAsia="fr-CH"/>
              </w:rPr>
              <w:t>100.00</w:t>
            </w:r>
          </w:p>
        </w:tc>
        <w:tc>
          <w:tcPr>
            <w:tcW w:w="1679" w:type="dxa"/>
            <w:tcBorders>
              <w:top w:val="nil"/>
              <w:left w:val="nil"/>
              <w:bottom w:val="single" w:sz="4" w:space="0" w:color="auto"/>
              <w:right w:val="nil"/>
            </w:tcBorders>
            <w:shd w:val="clear" w:color="auto" w:fill="auto"/>
            <w:noWrap/>
            <w:vAlign w:val="bottom"/>
            <w:hideMark/>
          </w:tcPr>
          <w:p w:rsidR="00D52F56" w:rsidRPr="00D52F56" w:rsidRDefault="00D52F56" w:rsidP="00D52F56">
            <w:pPr>
              <w:jc w:val="right"/>
              <w:rPr>
                <w:b/>
                <w:bCs/>
                <w:color w:val="000000"/>
                <w:lang w:val="fr-CH" w:eastAsia="fr-CH"/>
              </w:rPr>
            </w:pPr>
            <w:r w:rsidRPr="00D52F56">
              <w:rPr>
                <w:b/>
                <w:bCs/>
                <w:color w:val="000000"/>
                <w:lang w:val="fr-CH" w:eastAsia="fr-CH"/>
              </w:rPr>
              <w:t>100.00</w:t>
            </w:r>
          </w:p>
        </w:tc>
      </w:tr>
    </w:tbl>
    <w:p w:rsidR="00060784" w:rsidRDefault="00060784" w:rsidP="00060784">
      <w:pPr>
        <w:rPr>
          <w:lang w:val="en-US"/>
        </w:rPr>
      </w:pPr>
      <w:r w:rsidRPr="00060784">
        <w:rPr>
          <w:vertAlign w:val="superscript"/>
          <w:lang w:val="en-US"/>
        </w:rPr>
        <w:t>†</w:t>
      </w:r>
      <w:proofErr w:type="spellStart"/>
      <w:r>
        <w:rPr>
          <w:lang w:val="en-US"/>
        </w:rPr>
        <w:t>nd</w:t>
      </w:r>
      <w:proofErr w:type="spellEnd"/>
      <w:r>
        <w:rPr>
          <w:lang w:val="en-US"/>
        </w:rPr>
        <w:t xml:space="preserve"> = not detectable (≤ 0.05)</w:t>
      </w:r>
    </w:p>
    <w:p w:rsidR="008F4E02" w:rsidRDefault="008F4E02" w:rsidP="00060784">
      <w:pPr>
        <w:rPr>
          <w:lang w:val="en-US"/>
        </w:rPr>
      </w:pPr>
    </w:p>
    <w:p w:rsidR="008F4E02" w:rsidRDefault="008F4E02" w:rsidP="00060784">
      <w:pPr>
        <w:rPr>
          <w:b/>
          <w:lang w:val="en-US"/>
        </w:rPr>
        <w:sectPr w:rsidR="008F4E02" w:rsidSect="009733E4">
          <w:pgSz w:w="11906" w:h="16838" w:code="9"/>
          <w:pgMar w:top="1418" w:right="1418" w:bottom="1418" w:left="1418" w:header="709" w:footer="709" w:gutter="0"/>
          <w:lnNumType w:countBy="1" w:restart="continuous"/>
          <w:cols w:space="708"/>
          <w:docGrid w:linePitch="360"/>
        </w:sectPr>
      </w:pPr>
    </w:p>
    <w:p w:rsidR="00702916" w:rsidRDefault="00702916" w:rsidP="00702916">
      <w:pPr>
        <w:spacing w:after="200" w:line="276" w:lineRule="auto"/>
        <w:rPr>
          <w:b/>
          <w:lang w:val="en-US"/>
        </w:rPr>
      </w:pPr>
      <w:bookmarkStart w:id="5" w:name="_Ref341714732"/>
      <w:bookmarkStart w:id="6" w:name="_GoBack"/>
      <w:bookmarkEnd w:id="4"/>
      <w:bookmarkEnd w:id="6"/>
    </w:p>
    <w:p w:rsidR="00702916" w:rsidRDefault="00F826EC" w:rsidP="00702916">
      <w:pPr>
        <w:spacing w:after="200" w:line="276" w:lineRule="auto"/>
        <w:rPr>
          <w:b/>
          <w:lang w:val="en-US"/>
        </w:rPr>
      </w:pPr>
      <w:r w:rsidRPr="00F826EC">
        <w:rPr>
          <w:noProof/>
          <w:lang w:val="fr-CH" w:eastAsia="fr-CH"/>
        </w:rPr>
        <w:drawing>
          <wp:inline distT="0" distB="0" distL="0" distR="0" wp14:anchorId="2674F23C" wp14:editId="6F7DAF6D">
            <wp:extent cx="5788800" cy="3286800"/>
            <wp:effectExtent l="0" t="0" r="254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88800" cy="3286800"/>
                    </a:xfrm>
                    <a:prstGeom prst="rect">
                      <a:avLst/>
                    </a:prstGeom>
                    <a:noFill/>
                    <a:ln>
                      <a:noFill/>
                    </a:ln>
                  </pic:spPr>
                </pic:pic>
              </a:graphicData>
            </a:graphic>
          </wp:inline>
        </w:drawing>
      </w:r>
    </w:p>
    <w:p w:rsidR="00702916" w:rsidRDefault="00702916" w:rsidP="00087BCE">
      <w:pPr>
        <w:pStyle w:val="Caption"/>
        <w:spacing w:after="0"/>
        <w:jc w:val="both"/>
        <w:rPr>
          <w:b w:val="0"/>
          <w:color w:val="000000" w:themeColor="text1"/>
          <w:sz w:val="24"/>
          <w:szCs w:val="24"/>
          <w:lang w:val="en-US"/>
        </w:rPr>
      </w:pPr>
    </w:p>
    <w:p w:rsidR="008F4E02" w:rsidRPr="00256BE0" w:rsidRDefault="00087BCE" w:rsidP="00A00C9F">
      <w:pPr>
        <w:pStyle w:val="Caption"/>
        <w:spacing w:after="0"/>
        <w:jc w:val="both"/>
        <w:rPr>
          <w:b w:val="0"/>
          <w:color w:val="000000" w:themeColor="text1"/>
          <w:sz w:val="24"/>
          <w:szCs w:val="24"/>
          <w:lang w:val="en-US"/>
        </w:rPr>
      </w:pPr>
      <w:proofErr w:type="gramStart"/>
      <w:r w:rsidRPr="00256BE0">
        <w:rPr>
          <w:color w:val="000000" w:themeColor="text1"/>
          <w:sz w:val="24"/>
          <w:szCs w:val="24"/>
          <w:lang w:val="en-US"/>
        </w:rPr>
        <w:t>Figure</w:t>
      </w:r>
      <w:bookmarkEnd w:id="5"/>
      <w:r w:rsidR="00AD141E" w:rsidRPr="00256BE0">
        <w:rPr>
          <w:color w:val="000000" w:themeColor="text1"/>
          <w:sz w:val="24"/>
          <w:szCs w:val="24"/>
          <w:lang w:val="en-US"/>
        </w:rPr>
        <w:t xml:space="preserve"> </w:t>
      </w:r>
      <w:r w:rsidR="002208F7">
        <w:rPr>
          <w:color w:val="000000" w:themeColor="text1"/>
          <w:sz w:val="24"/>
          <w:szCs w:val="24"/>
          <w:lang w:val="en-US"/>
        </w:rPr>
        <w:t>1</w:t>
      </w:r>
      <w:r w:rsidR="006565E6" w:rsidRPr="00256BE0">
        <w:rPr>
          <w:color w:val="000000" w:themeColor="text1"/>
          <w:sz w:val="24"/>
          <w:szCs w:val="24"/>
          <w:lang w:val="en-US"/>
        </w:rPr>
        <w:t>.</w:t>
      </w:r>
      <w:proofErr w:type="gramEnd"/>
      <w:r w:rsidR="006565E6" w:rsidRPr="00256BE0">
        <w:rPr>
          <w:b w:val="0"/>
          <w:color w:val="000000" w:themeColor="text1"/>
          <w:sz w:val="24"/>
          <w:szCs w:val="24"/>
          <w:lang w:val="en-US"/>
        </w:rPr>
        <w:t xml:space="preserve"> </w:t>
      </w:r>
      <w:r w:rsidR="00152B8C" w:rsidRPr="00256BE0">
        <w:rPr>
          <w:b w:val="0"/>
          <w:color w:val="000000" w:themeColor="text1"/>
          <w:sz w:val="24"/>
          <w:szCs w:val="24"/>
          <w:lang w:val="en-US"/>
        </w:rPr>
        <w:t>Mean (</w:t>
      </w:r>
      <w:r w:rsidR="00152B8C" w:rsidRPr="00256BE0">
        <w:rPr>
          <w:b w:val="0"/>
          <w:i/>
          <w:color w:val="000000" w:themeColor="text1"/>
          <w:sz w:val="24"/>
          <w:szCs w:val="24"/>
          <w:lang w:val="en-US"/>
        </w:rPr>
        <w:t>n</w:t>
      </w:r>
      <w:r w:rsidR="00152B8C" w:rsidRPr="00256BE0">
        <w:rPr>
          <w:b w:val="0"/>
          <w:color w:val="000000" w:themeColor="text1"/>
          <w:sz w:val="24"/>
          <w:szCs w:val="24"/>
          <w:lang w:val="en-US"/>
        </w:rPr>
        <w:t>=</w:t>
      </w:r>
      <w:r w:rsidR="007E446A">
        <w:rPr>
          <w:b w:val="0"/>
          <w:color w:val="000000" w:themeColor="text1"/>
          <w:sz w:val="24"/>
          <w:szCs w:val="24"/>
          <w:lang w:val="en-US"/>
        </w:rPr>
        <w:t>6</w:t>
      </w:r>
      <w:r w:rsidR="00152B8C" w:rsidRPr="00256BE0">
        <w:rPr>
          <w:b w:val="0"/>
          <w:color w:val="000000" w:themeColor="text1"/>
          <w:sz w:val="24"/>
          <w:szCs w:val="24"/>
          <w:lang w:val="en-US"/>
        </w:rPr>
        <w:t>) f</w:t>
      </w:r>
      <w:r w:rsidR="00052A41" w:rsidRPr="00256BE0">
        <w:rPr>
          <w:b w:val="0"/>
          <w:color w:val="000000" w:themeColor="text1"/>
          <w:sz w:val="24"/>
          <w:szCs w:val="24"/>
          <w:lang w:val="en-US"/>
        </w:rPr>
        <w:t xml:space="preserve">ormation </w:t>
      </w:r>
      <w:r w:rsidRPr="00256BE0">
        <w:rPr>
          <w:b w:val="0"/>
          <w:color w:val="000000" w:themeColor="text1"/>
          <w:sz w:val="24"/>
          <w:szCs w:val="24"/>
          <w:lang w:val="en-US"/>
        </w:rPr>
        <w:t xml:space="preserve">of </w:t>
      </w:r>
      <w:proofErr w:type="spellStart"/>
      <w:r w:rsidRPr="00256BE0">
        <w:rPr>
          <w:b w:val="0"/>
          <w:color w:val="000000" w:themeColor="text1"/>
          <w:sz w:val="24"/>
          <w:szCs w:val="24"/>
          <w:lang w:val="en-US"/>
        </w:rPr>
        <w:t>hydroperoxides</w:t>
      </w:r>
      <w:proofErr w:type="spellEnd"/>
      <w:r w:rsidRPr="00256BE0">
        <w:rPr>
          <w:b w:val="0"/>
          <w:color w:val="000000" w:themeColor="text1"/>
          <w:sz w:val="24"/>
          <w:szCs w:val="24"/>
          <w:lang w:val="en-US"/>
        </w:rPr>
        <w:t xml:space="preserve"> </w:t>
      </w:r>
      <w:r w:rsidR="007B392F" w:rsidRPr="00256BE0">
        <w:rPr>
          <w:b w:val="0"/>
          <w:color w:val="000000" w:themeColor="text1"/>
          <w:sz w:val="24"/>
          <w:szCs w:val="24"/>
          <w:lang w:val="en-US"/>
        </w:rPr>
        <w:t xml:space="preserve">during the storage of oils </w:t>
      </w:r>
      <w:r w:rsidR="00052A41" w:rsidRPr="00256BE0">
        <w:rPr>
          <w:b w:val="0"/>
          <w:color w:val="000000" w:themeColor="text1"/>
          <w:sz w:val="24"/>
          <w:szCs w:val="24"/>
          <w:lang w:val="en-US"/>
        </w:rPr>
        <w:t>(</w:t>
      </w:r>
      <w:r w:rsidR="00052A41" w:rsidRPr="00256BE0">
        <w:rPr>
          <w:b w:val="0"/>
          <w:i/>
          <w:color w:val="000000" w:themeColor="text1"/>
          <w:sz w:val="24"/>
          <w:szCs w:val="24"/>
          <w:lang w:val="en-US"/>
        </w:rPr>
        <w:t xml:space="preserve">i.e. </w:t>
      </w:r>
      <w:r w:rsidR="00052A41" w:rsidRPr="00256BE0">
        <w:rPr>
          <w:b w:val="0"/>
          <w:color w:val="000000" w:themeColor="text1"/>
          <w:sz w:val="24"/>
          <w:szCs w:val="24"/>
          <w:lang w:val="en-US"/>
        </w:rPr>
        <w:t xml:space="preserve">HOSFO, SO, and SOs with added antioxidants) </w:t>
      </w:r>
      <w:r w:rsidR="007B392F" w:rsidRPr="00256BE0">
        <w:rPr>
          <w:b w:val="0"/>
          <w:color w:val="000000" w:themeColor="text1"/>
          <w:sz w:val="24"/>
          <w:szCs w:val="24"/>
          <w:lang w:val="en-US"/>
        </w:rPr>
        <w:t xml:space="preserve">incubated at 35 °C </w:t>
      </w:r>
      <w:r w:rsidR="00827EE8" w:rsidRPr="00256BE0">
        <w:rPr>
          <w:b w:val="0"/>
          <w:color w:val="000000" w:themeColor="text1"/>
          <w:sz w:val="24"/>
          <w:szCs w:val="24"/>
          <w:lang w:val="en-US"/>
        </w:rPr>
        <w:t xml:space="preserve">for </w:t>
      </w:r>
      <w:r w:rsidR="00E91CE8">
        <w:rPr>
          <w:b w:val="0"/>
          <w:color w:val="000000" w:themeColor="text1"/>
          <w:sz w:val="24"/>
          <w:szCs w:val="24"/>
          <w:lang w:val="en-US"/>
        </w:rPr>
        <w:t>28 </w:t>
      </w:r>
      <w:r w:rsidR="00827EE8" w:rsidRPr="00256BE0">
        <w:rPr>
          <w:b w:val="0"/>
          <w:color w:val="000000" w:themeColor="text1"/>
          <w:sz w:val="24"/>
          <w:szCs w:val="24"/>
          <w:lang w:val="en-US"/>
        </w:rPr>
        <w:t>weeks</w:t>
      </w:r>
      <w:r w:rsidR="007B392F" w:rsidRPr="00256BE0">
        <w:rPr>
          <w:b w:val="0"/>
          <w:color w:val="000000" w:themeColor="text1"/>
          <w:sz w:val="24"/>
          <w:szCs w:val="24"/>
          <w:lang w:val="en-US"/>
        </w:rPr>
        <w:t xml:space="preserve">. </w:t>
      </w:r>
      <w:r w:rsidR="00082F00" w:rsidRPr="00082F00">
        <w:rPr>
          <w:b w:val="0"/>
          <w:color w:val="000000" w:themeColor="text1"/>
          <w:sz w:val="24"/>
          <w:szCs w:val="24"/>
          <w:lang w:val="en-US"/>
        </w:rPr>
        <w:t>Error bars represent standard deviations.</w:t>
      </w:r>
      <w:r w:rsidR="00082F00">
        <w:rPr>
          <w:b w:val="0"/>
          <w:color w:val="000000" w:themeColor="text1"/>
          <w:sz w:val="24"/>
          <w:szCs w:val="24"/>
          <w:lang w:val="en-US"/>
        </w:rPr>
        <w:t xml:space="preserve"> </w:t>
      </w:r>
      <w:r w:rsidR="00B21A1B" w:rsidRPr="00256BE0">
        <w:rPr>
          <w:b w:val="0"/>
          <w:color w:val="000000" w:themeColor="text1"/>
          <w:sz w:val="24"/>
          <w:szCs w:val="24"/>
          <w:lang w:val="en-US"/>
        </w:rPr>
        <w:t xml:space="preserve">Refer to </w:t>
      </w:r>
      <w:r w:rsidR="00A00C9F" w:rsidRPr="00256BE0">
        <w:rPr>
          <w:color w:val="000000" w:themeColor="text1"/>
          <w:sz w:val="24"/>
          <w:szCs w:val="24"/>
          <w:lang w:val="en-US"/>
        </w:rPr>
        <w:t>Table 1</w:t>
      </w:r>
      <w:r w:rsidR="00A00C9F" w:rsidRPr="00256BE0">
        <w:rPr>
          <w:b w:val="0"/>
          <w:color w:val="000000" w:themeColor="text1"/>
          <w:sz w:val="24"/>
          <w:szCs w:val="24"/>
          <w:lang w:val="en-US"/>
        </w:rPr>
        <w:t xml:space="preserve"> for the abbreviations used</w:t>
      </w:r>
      <w:r w:rsidR="00B21A1B" w:rsidRPr="00256BE0">
        <w:rPr>
          <w:b w:val="0"/>
          <w:color w:val="000000" w:themeColor="text1"/>
          <w:sz w:val="24"/>
          <w:szCs w:val="24"/>
          <w:lang w:val="en-US"/>
        </w:rPr>
        <w:t xml:space="preserve"> </w:t>
      </w:r>
      <w:r w:rsidR="00AB0447" w:rsidRPr="00256BE0">
        <w:rPr>
          <w:b w:val="0"/>
          <w:color w:val="000000" w:themeColor="text1"/>
          <w:sz w:val="24"/>
          <w:szCs w:val="24"/>
          <w:lang w:val="en-US"/>
        </w:rPr>
        <w:t>in this study</w:t>
      </w:r>
      <w:r w:rsidR="00A00C9F" w:rsidRPr="00256BE0">
        <w:rPr>
          <w:b w:val="0"/>
          <w:color w:val="000000" w:themeColor="text1"/>
          <w:sz w:val="24"/>
          <w:szCs w:val="24"/>
          <w:lang w:val="en-US"/>
        </w:rPr>
        <w:t>.</w:t>
      </w:r>
    </w:p>
    <w:p w:rsidR="00A00C9F" w:rsidRDefault="00A00C9F" w:rsidP="00A00C9F">
      <w:pPr>
        <w:rPr>
          <w:lang w:val="en-US"/>
        </w:rPr>
      </w:pPr>
    </w:p>
    <w:p w:rsidR="00A00C9F" w:rsidRPr="00A00C9F" w:rsidRDefault="00A00C9F" w:rsidP="00A00C9F">
      <w:pPr>
        <w:rPr>
          <w:lang w:val="en-US"/>
        </w:rPr>
        <w:sectPr w:rsidR="00A00C9F" w:rsidRPr="00A00C9F" w:rsidSect="009733E4">
          <w:pgSz w:w="11906" w:h="16838" w:code="9"/>
          <w:pgMar w:top="1418" w:right="1418" w:bottom="1418" w:left="1418" w:header="709" w:footer="709" w:gutter="0"/>
          <w:lnNumType w:countBy="1" w:restart="continuous"/>
          <w:cols w:space="708"/>
          <w:docGrid w:linePitch="360"/>
        </w:sectPr>
      </w:pPr>
    </w:p>
    <w:p w:rsidR="00702916" w:rsidRDefault="00702916" w:rsidP="00702916">
      <w:pPr>
        <w:pStyle w:val="Caption"/>
        <w:spacing w:after="0"/>
        <w:rPr>
          <w:b w:val="0"/>
          <w:color w:val="000000" w:themeColor="text1"/>
          <w:sz w:val="24"/>
          <w:szCs w:val="24"/>
          <w:lang w:val="en-US"/>
        </w:rPr>
      </w:pPr>
      <w:bookmarkStart w:id="7" w:name="_Ref341715796"/>
    </w:p>
    <w:p w:rsidR="00702916" w:rsidRDefault="00082F00" w:rsidP="00702916">
      <w:pPr>
        <w:ind w:left="284" w:hanging="284"/>
        <w:rPr>
          <w:lang w:val="en-US"/>
        </w:rPr>
      </w:pPr>
      <w:r w:rsidRPr="00082F00">
        <w:rPr>
          <w:noProof/>
          <w:lang w:val="fr-CH" w:eastAsia="fr-CH"/>
        </w:rPr>
        <w:drawing>
          <wp:inline distT="0" distB="0" distL="0" distR="0" wp14:anchorId="69892D87" wp14:editId="4EA475AD">
            <wp:extent cx="5788800" cy="3286800"/>
            <wp:effectExtent l="0" t="0" r="254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88800" cy="3286800"/>
                    </a:xfrm>
                    <a:prstGeom prst="rect">
                      <a:avLst/>
                    </a:prstGeom>
                    <a:noFill/>
                    <a:ln>
                      <a:noFill/>
                    </a:ln>
                  </pic:spPr>
                </pic:pic>
              </a:graphicData>
            </a:graphic>
          </wp:inline>
        </w:drawing>
      </w:r>
    </w:p>
    <w:p w:rsidR="00702916" w:rsidRDefault="00702916" w:rsidP="00702916">
      <w:pPr>
        <w:ind w:left="284" w:hanging="284"/>
        <w:rPr>
          <w:lang w:val="en-US"/>
        </w:rPr>
      </w:pPr>
    </w:p>
    <w:p w:rsidR="00087BCE" w:rsidRPr="00256BE0" w:rsidRDefault="00087BCE" w:rsidP="00A00C9F">
      <w:pPr>
        <w:pStyle w:val="Caption"/>
        <w:spacing w:after="0"/>
        <w:jc w:val="both"/>
        <w:rPr>
          <w:b w:val="0"/>
          <w:color w:val="000000" w:themeColor="text1"/>
          <w:sz w:val="24"/>
          <w:szCs w:val="24"/>
          <w:lang w:val="en-US"/>
        </w:rPr>
      </w:pPr>
      <w:proofErr w:type="gramStart"/>
      <w:r w:rsidRPr="00256BE0">
        <w:rPr>
          <w:color w:val="000000" w:themeColor="text1"/>
          <w:sz w:val="24"/>
          <w:szCs w:val="24"/>
          <w:lang w:val="en-US"/>
        </w:rPr>
        <w:t>Figure</w:t>
      </w:r>
      <w:bookmarkEnd w:id="7"/>
      <w:r w:rsidR="006565E6" w:rsidRPr="00256BE0">
        <w:rPr>
          <w:color w:val="000000" w:themeColor="text1"/>
          <w:sz w:val="24"/>
          <w:szCs w:val="24"/>
          <w:lang w:val="en-US"/>
        </w:rPr>
        <w:t xml:space="preserve"> </w:t>
      </w:r>
      <w:r w:rsidR="002208F7">
        <w:rPr>
          <w:color w:val="000000" w:themeColor="text1"/>
          <w:sz w:val="24"/>
          <w:szCs w:val="24"/>
          <w:lang w:val="en-US"/>
        </w:rPr>
        <w:t>2</w:t>
      </w:r>
      <w:r w:rsidR="006565E6" w:rsidRPr="00256BE0">
        <w:rPr>
          <w:color w:val="000000" w:themeColor="text1"/>
          <w:sz w:val="24"/>
          <w:szCs w:val="24"/>
          <w:lang w:val="en-US"/>
        </w:rPr>
        <w:t>.</w:t>
      </w:r>
      <w:proofErr w:type="gramEnd"/>
      <w:r w:rsidR="006565E6" w:rsidRPr="00256BE0">
        <w:rPr>
          <w:b w:val="0"/>
          <w:color w:val="000000" w:themeColor="text1"/>
          <w:sz w:val="24"/>
          <w:szCs w:val="24"/>
          <w:lang w:val="en-US"/>
        </w:rPr>
        <w:t xml:space="preserve"> </w:t>
      </w:r>
      <w:r w:rsidR="00152B8C" w:rsidRPr="00256BE0">
        <w:rPr>
          <w:b w:val="0"/>
          <w:color w:val="000000" w:themeColor="text1"/>
          <w:sz w:val="24"/>
          <w:szCs w:val="24"/>
          <w:lang w:val="en-US"/>
        </w:rPr>
        <w:t>Mean (</w:t>
      </w:r>
      <w:r w:rsidR="00152B8C" w:rsidRPr="00256BE0">
        <w:rPr>
          <w:b w:val="0"/>
          <w:i/>
          <w:color w:val="000000" w:themeColor="text1"/>
          <w:sz w:val="24"/>
          <w:szCs w:val="24"/>
          <w:lang w:val="en-US"/>
        </w:rPr>
        <w:t>n</w:t>
      </w:r>
      <w:r w:rsidR="00152B8C" w:rsidRPr="00256BE0">
        <w:rPr>
          <w:b w:val="0"/>
          <w:color w:val="000000" w:themeColor="text1"/>
          <w:sz w:val="24"/>
          <w:szCs w:val="24"/>
          <w:lang w:val="en-US"/>
        </w:rPr>
        <w:t>=</w:t>
      </w:r>
      <w:r w:rsidR="007E446A">
        <w:rPr>
          <w:b w:val="0"/>
          <w:color w:val="000000" w:themeColor="text1"/>
          <w:sz w:val="24"/>
          <w:szCs w:val="24"/>
          <w:lang w:val="en-US"/>
        </w:rPr>
        <w:t>6</w:t>
      </w:r>
      <w:r w:rsidR="00152B8C" w:rsidRPr="00256BE0">
        <w:rPr>
          <w:b w:val="0"/>
          <w:color w:val="000000" w:themeColor="text1"/>
          <w:sz w:val="24"/>
          <w:szCs w:val="24"/>
          <w:lang w:val="en-US"/>
        </w:rPr>
        <w:t>) a</w:t>
      </w:r>
      <w:r w:rsidR="00052A41" w:rsidRPr="00256BE0">
        <w:rPr>
          <w:b w:val="0"/>
          <w:color w:val="000000" w:themeColor="text1"/>
          <w:sz w:val="24"/>
          <w:szCs w:val="24"/>
          <w:lang w:val="en-US"/>
        </w:rPr>
        <w:t xml:space="preserve">ccumulation of </w:t>
      </w:r>
      <w:proofErr w:type="spellStart"/>
      <w:r w:rsidR="00052A41" w:rsidRPr="00256BE0">
        <w:rPr>
          <w:b w:val="0"/>
          <w:color w:val="000000" w:themeColor="text1"/>
          <w:sz w:val="24"/>
          <w:szCs w:val="24"/>
          <w:lang w:val="en-US"/>
        </w:rPr>
        <w:t>hexanal</w:t>
      </w:r>
      <w:proofErr w:type="spellEnd"/>
      <w:r w:rsidR="00052A41" w:rsidRPr="00256BE0">
        <w:rPr>
          <w:b w:val="0"/>
          <w:color w:val="000000" w:themeColor="text1"/>
          <w:sz w:val="24"/>
          <w:szCs w:val="24"/>
          <w:lang w:val="en-US"/>
        </w:rPr>
        <w:t xml:space="preserve"> in the headspace during the storage of oils (</w:t>
      </w:r>
      <w:r w:rsidR="00052A41" w:rsidRPr="00256BE0">
        <w:rPr>
          <w:b w:val="0"/>
          <w:i/>
          <w:color w:val="000000" w:themeColor="text1"/>
          <w:sz w:val="24"/>
          <w:szCs w:val="24"/>
          <w:lang w:val="en-US"/>
        </w:rPr>
        <w:t xml:space="preserve">i.e. </w:t>
      </w:r>
      <w:r w:rsidR="00052A41" w:rsidRPr="00256BE0">
        <w:rPr>
          <w:b w:val="0"/>
          <w:color w:val="000000" w:themeColor="text1"/>
          <w:sz w:val="24"/>
          <w:szCs w:val="24"/>
          <w:lang w:val="en-US"/>
        </w:rPr>
        <w:t xml:space="preserve">HOSFO, SO, and SOs with added antioxidants) incubated at 35 °C </w:t>
      </w:r>
      <w:r w:rsidR="00827EE8" w:rsidRPr="00256BE0">
        <w:rPr>
          <w:b w:val="0"/>
          <w:color w:val="000000" w:themeColor="text1"/>
          <w:sz w:val="24"/>
          <w:szCs w:val="24"/>
          <w:lang w:val="en-US"/>
        </w:rPr>
        <w:t xml:space="preserve">for </w:t>
      </w:r>
      <w:r w:rsidR="00E91CE8">
        <w:rPr>
          <w:b w:val="0"/>
          <w:color w:val="000000" w:themeColor="text1"/>
          <w:sz w:val="24"/>
          <w:szCs w:val="24"/>
          <w:lang w:val="en-US"/>
        </w:rPr>
        <w:t>20 weeks</w:t>
      </w:r>
      <w:r w:rsidR="00052A41" w:rsidRPr="00256BE0">
        <w:rPr>
          <w:b w:val="0"/>
          <w:color w:val="000000" w:themeColor="text1"/>
          <w:sz w:val="24"/>
          <w:szCs w:val="24"/>
          <w:lang w:val="en-US"/>
        </w:rPr>
        <w:t xml:space="preserve">. </w:t>
      </w:r>
      <w:r w:rsidR="00082F00">
        <w:rPr>
          <w:b w:val="0"/>
          <w:color w:val="000000" w:themeColor="text1"/>
          <w:sz w:val="24"/>
          <w:szCs w:val="24"/>
          <w:lang w:val="en-US"/>
        </w:rPr>
        <w:t xml:space="preserve">Error bars represent standard deviations. </w:t>
      </w:r>
      <w:r w:rsidR="00052A41" w:rsidRPr="00256BE0">
        <w:rPr>
          <w:b w:val="0"/>
          <w:color w:val="000000" w:themeColor="text1"/>
          <w:sz w:val="24"/>
          <w:szCs w:val="24"/>
          <w:lang w:val="en-US"/>
        </w:rPr>
        <w:t xml:space="preserve">Refer to </w:t>
      </w:r>
      <w:r w:rsidR="00052A41" w:rsidRPr="00256BE0">
        <w:rPr>
          <w:color w:val="000000" w:themeColor="text1"/>
          <w:sz w:val="24"/>
          <w:szCs w:val="24"/>
          <w:lang w:val="en-US"/>
        </w:rPr>
        <w:t>Table 1</w:t>
      </w:r>
      <w:r w:rsidR="00052A41" w:rsidRPr="00256BE0">
        <w:rPr>
          <w:b w:val="0"/>
          <w:color w:val="000000" w:themeColor="text1"/>
          <w:sz w:val="24"/>
          <w:szCs w:val="24"/>
          <w:lang w:val="en-US"/>
        </w:rPr>
        <w:t xml:space="preserve"> for the abbreviations used in this study</w:t>
      </w:r>
      <w:r w:rsidR="00A00C9F" w:rsidRPr="00256BE0">
        <w:rPr>
          <w:b w:val="0"/>
          <w:color w:val="000000" w:themeColor="text1"/>
          <w:sz w:val="24"/>
          <w:szCs w:val="24"/>
          <w:lang w:val="en-US"/>
        </w:rPr>
        <w:t>.</w:t>
      </w:r>
    </w:p>
    <w:sectPr w:rsidR="00087BCE" w:rsidRPr="00256BE0" w:rsidSect="009733E4">
      <w:pgSz w:w="11906" w:h="16838" w:code="9"/>
      <w:pgMar w:top="1418" w:right="1418" w:bottom="1418" w:left="1418"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dvTimes">
    <w:altName w:val="Arial Unicode MS"/>
    <w:panose1 w:val="00000000000000000000"/>
    <w:charset w:val="81"/>
    <w:family w:val="auto"/>
    <w:notTrueType/>
    <w:pitch w:val="default"/>
    <w:sig w:usb0="00000000"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5388A"/>
    <w:multiLevelType w:val="hybridMultilevel"/>
    <w:tmpl w:val="266A1370"/>
    <w:lvl w:ilvl="0" w:tplc="1C449C7C">
      <w:start w:val="1"/>
      <w:numFmt w:val="bullet"/>
      <w:lvlText w:val=""/>
      <w:lvlJc w:val="left"/>
      <w:pPr>
        <w:tabs>
          <w:tab w:val="num" w:pos="720"/>
        </w:tabs>
        <w:ind w:left="720" w:hanging="360"/>
      </w:pPr>
      <w:rPr>
        <w:rFonts w:ascii="Wingdings" w:hAnsi="Wingdings" w:hint="default"/>
      </w:rPr>
    </w:lvl>
    <w:lvl w:ilvl="1" w:tplc="CFBAB128" w:tentative="1">
      <w:start w:val="1"/>
      <w:numFmt w:val="bullet"/>
      <w:lvlText w:val=""/>
      <w:lvlJc w:val="left"/>
      <w:pPr>
        <w:tabs>
          <w:tab w:val="num" w:pos="1440"/>
        </w:tabs>
        <w:ind w:left="1440" w:hanging="360"/>
      </w:pPr>
      <w:rPr>
        <w:rFonts w:ascii="Wingdings" w:hAnsi="Wingdings" w:hint="default"/>
      </w:rPr>
    </w:lvl>
    <w:lvl w:ilvl="2" w:tplc="BF325212" w:tentative="1">
      <w:start w:val="1"/>
      <w:numFmt w:val="bullet"/>
      <w:lvlText w:val=""/>
      <w:lvlJc w:val="left"/>
      <w:pPr>
        <w:tabs>
          <w:tab w:val="num" w:pos="2160"/>
        </w:tabs>
        <w:ind w:left="2160" w:hanging="360"/>
      </w:pPr>
      <w:rPr>
        <w:rFonts w:ascii="Wingdings" w:hAnsi="Wingdings" w:hint="default"/>
      </w:rPr>
    </w:lvl>
    <w:lvl w:ilvl="3" w:tplc="04DE375A" w:tentative="1">
      <w:start w:val="1"/>
      <w:numFmt w:val="bullet"/>
      <w:lvlText w:val=""/>
      <w:lvlJc w:val="left"/>
      <w:pPr>
        <w:tabs>
          <w:tab w:val="num" w:pos="2880"/>
        </w:tabs>
        <w:ind w:left="2880" w:hanging="360"/>
      </w:pPr>
      <w:rPr>
        <w:rFonts w:ascii="Wingdings" w:hAnsi="Wingdings" w:hint="default"/>
      </w:rPr>
    </w:lvl>
    <w:lvl w:ilvl="4" w:tplc="C1461D44" w:tentative="1">
      <w:start w:val="1"/>
      <w:numFmt w:val="bullet"/>
      <w:lvlText w:val=""/>
      <w:lvlJc w:val="left"/>
      <w:pPr>
        <w:tabs>
          <w:tab w:val="num" w:pos="3600"/>
        </w:tabs>
        <w:ind w:left="3600" w:hanging="360"/>
      </w:pPr>
      <w:rPr>
        <w:rFonts w:ascii="Wingdings" w:hAnsi="Wingdings" w:hint="default"/>
      </w:rPr>
    </w:lvl>
    <w:lvl w:ilvl="5" w:tplc="FEC6955A" w:tentative="1">
      <w:start w:val="1"/>
      <w:numFmt w:val="bullet"/>
      <w:lvlText w:val=""/>
      <w:lvlJc w:val="left"/>
      <w:pPr>
        <w:tabs>
          <w:tab w:val="num" w:pos="4320"/>
        </w:tabs>
        <w:ind w:left="4320" w:hanging="360"/>
      </w:pPr>
      <w:rPr>
        <w:rFonts w:ascii="Wingdings" w:hAnsi="Wingdings" w:hint="default"/>
      </w:rPr>
    </w:lvl>
    <w:lvl w:ilvl="6" w:tplc="2BC206D2" w:tentative="1">
      <w:start w:val="1"/>
      <w:numFmt w:val="bullet"/>
      <w:lvlText w:val=""/>
      <w:lvlJc w:val="left"/>
      <w:pPr>
        <w:tabs>
          <w:tab w:val="num" w:pos="5040"/>
        </w:tabs>
        <w:ind w:left="5040" w:hanging="360"/>
      </w:pPr>
      <w:rPr>
        <w:rFonts w:ascii="Wingdings" w:hAnsi="Wingdings" w:hint="default"/>
      </w:rPr>
    </w:lvl>
    <w:lvl w:ilvl="7" w:tplc="FD46223C" w:tentative="1">
      <w:start w:val="1"/>
      <w:numFmt w:val="bullet"/>
      <w:lvlText w:val=""/>
      <w:lvlJc w:val="left"/>
      <w:pPr>
        <w:tabs>
          <w:tab w:val="num" w:pos="5760"/>
        </w:tabs>
        <w:ind w:left="5760" w:hanging="360"/>
      </w:pPr>
      <w:rPr>
        <w:rFonts w:ascii="Wingdings" w:hAnsi="Wingdings" w:hint="default"/>
      </w:rPr>
    </w:lvl>
    <w:lvl w:ilvl="8" w:tplc="98B29286" w:tentative="1">
      <w:start w:val="1"/>
      <w:numFmt w:val="bullet"/>
      <w:lvlText w:val=""/>
      <w:lvlJc w:val="left"/>
      <w:pPr>
        <w:tabs>
          <w:tab w:val="num" w:pos="6480"/>
        </w:tabs>
        <w:ind w:left="6480" w:hanging="360"/>
      </w:pPr>
      <w:rPr>
        <w:rFonts w:ascii="Wingdings" w:hAnsi="Wingdings" w:hint="default"/>
      </w:rPr>
    </w:lvl>
  </w:abstractNum>
  <w:abstractNum w:abstractNumId="1">
    <w:nsid w:val="13B12623"/>
    <w:multiLevelType w:val="hybridMultilevel"/>
    <w:tmpl w:val="7C649F6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1EF026B3"/>
    <w:multiLevelType w:val="hybridMultilevel"/>
    <w:tmpl w:val="9D7AC3A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1F430851"/>
    <w:multiLevelType w:val="hybridMultilevel"/>
    <w:tmpl w:val="8F2C0914"/>
    <w:lvl w:ilvl="0" w:tplc="C3C85580">
      <w:start w:val="1"/>
      <w:numFmt w:val="bullet"/>
      <w:lvlText w:val=""/>
      <w:lvlJc w:val="left"/>
      <w:pPr>
        <w:tabs>
          <w:tab w:val="num" w:pos="720"/>
        </w:tabs>
        <w:ind w:left="720" w:hanging="360"/>
      </w:pPr>
      <w:rPr>
        <w:rFonts w:ascii="Wingdings" w:hAnsi="Wingdings" w:hint="default"/>
      </w:rPr>
    </w:lvl>
    <w:lvl w:ilvl="1" w:tplc="89F4C2AA">
      <w:start w:val="1"/>
      <w:numFmt w:val="bullet"/>
      <w:lvlText w:val=""/>
      <w:lvlJc w:val="left"/>
      <w:pPr>
        <w:tabs>
          <w:tab w:val="num" w:pos="1440"/>
        </w:tabs>
        <w:ind w:left="1440" w:hanging="360"/>
      </w:pPr>
      <w:rPr>
        <w:rFonts w:ascii="Wingdings" w:hAnsi="Wingdings" w:hint="default"/>
      </w:rPr>
    </w:lvl>
    <w:lvl w:ilvl="2" w:tplc="A7FE7034" w:tentative="1">
      <w:start w:val="1"/>
      <w:numFmt w:val="bullet"/>
      <w:lvlText w:val=""/>
      <w:lvlJc w:val="left"/>
      <w:pPr>
        <w:tabs>
          <w:tab w:val="num" w:pos="2160"/>
        </w:tabs>
        <w:ind w:left="2160" w:hanging="360"/>
      </w:pPr>
      <w:rPr>
        <w:rFonts w:ascii="Wingdings" w:hAnsi="Wingdings" w:hint="default"/>
      </w:rPr>
    </w:lvl>
    <w:lvl w:ilvl="3" w:tplc="15E69476" w:tentative="1">
      <w:start w:val="1"/>
      <w:numFmt w:val="bullet"/>
      <w:lvlText w:val=""/>
      <w:lvlJc w:val="left"/>
      <w:pPr>
        <w:tabs>
          <w:tab w:val="num" w:pos="2880"/>
        </w:tabs>
        <w:ind w:left="2880" w:hanging="360"/>
      </w:pPr>
      <w:rPr>
        <w:rFonts w:ascii="Wingdings" w:hAnsi="Wingdings" w:hint="default"/>
      </w:rPr>
    </w:lvl>
    <w:lvl w:ilvl="4" w:tplc="D6003D7E" w:tentative="1">
      <w:start w:val="1"/>
      <w:numFmt w:val="bullet"/>
      <w:lvlText w:val=""/>
      <w:lvlJc w:val="left"/>
      <w:pPr>
        <w:tabs>
          <w:tab w:val="num" w:pos="3600"/>
        </w:tabs>
        <w:ind w:left="3600" w:hanging="360"/>
      </w:pPr>
      <w:rPr>
        <w:rFonts w:ascii="Wingdings" w:hAnsi="Wingdings" w:hint="default"/>
      </w:rPr>
    </w:lvl>
    <w:lvl w:ilvl="5" w:tplc="6CFA0EF4" w:tentative="1">
      <w:start w:val="1"/>
      <w:numFmt w:val="bullet"/>
      <w:lvlText w:val=""/>
      <w:lvlJc w:val="left"/>
      <w:pPr>
        <w:tabs>
          <w:tab w:val="num" w:pos="4320"/>
        </w:tabs>
        <w:ind w:left="4320" w:hanging="360"/>
      </w:pPr>
      <w:rPr>
        <w:rFonts w:ascii="Wingdings" w:hAnsi="Wingdings" w:hint="default"/>
      </w:rPr>
    </w:lvl>
    <w:lvl w:ilvl="6" w:tplc="0428B86E" w:tentative="1">
      <w:start w:val="1"/>
      <w:numFmt w:val="bullet"/>
      <w:lvlText w:val=""/>
      <w:lvlJc w:val="left"/>
      <w:pPr>
        <w:tabs>
          <w:tab w:val="num" w:pos="5040"/>
        </w:tabs>
        <w:ind w:left="5040" w:hanging="360"/>
      </w:pPr>
      <w:rPr>
        <w:rFonts w:ascii="Wingdings" w:hAnsi="Wingdings" w:hint="default"/>
      </w:rPr>
    </w:lvl>
    <w:lvl w:ilvl="7" w:tplc="F2789C50" w:tentative="1">
      <w:start w:val="1"/>
      <w:numFmt w:val="bullet"/>
      <w:lvlText w:val=""/>
      <w:lvlJc w:val="left"/>
      <w:pPr>
        <w:tabs>
          <w:tab w:val="num" w:pos="5760"/>
        </w:tabs>
        <w:ind w:left="5760" w:hanging="360"/>
      </w:pPr>
      <w:rPr>
        <w:rFonts w:ascii="Wingdings" w:hAnsi="Wingdings" w:hint="default"/>
      </w:rPr>
    </w:lvl>
    <w:lvl w:ilvl="8" w:tplc="342A8348" w:tentative="1">
      <w:start w:val="1"/>
      <w:numFmt w:val="bullet"/>
      <w:lvlText w:val=""/>
      <w:lvlJc w:val="left"/>
      <w:pPr>
        <w:tabs>
          <w:tab w:val="num" w:pos="6480"/>
        </w:tabs>
        <w:ind w:left="6480" w:hanging="360"/>
      </w:pPr>
      <w:rPr>
        <w:rFonts w:ascii="Wingdings" w:hAnsi="Wingdings" w:hint="default"/>
      </w:rPr>
    </w:lvl>
  </w:abstractNum>
  <w:abstractNum w:abstractNumId="4">
    <w:nsid w:val="31A830D7"/>
    <w:multiLevelType w:val="hybridMultilevel"/>
    <w:tmpl w:val="BCB4FF2C"/>
    <w:lvl w:ilvl="0" w:tplc="C9042006">
      <w:start w:val="1"/>
      <w:numFmt w:val="bullet"/>
      <w:lvlText w:val=""/>
      <w:lvlJc w:val="left"/>
      <w:pPr>
        <w:tabs>
          <w:tab w:val="num" w:pos="720"/>
        </w:tabs>
        <w:ind w:left="720" w:hanging="360"/>
      </w:pPr>
      <w:rPr>
        <w:rFonts w:ascii="Wingdings" w:hAnsi="Wingdings" w:hint="default"/>
      </w:rPr>
    </w:lvl>
    <w:lvl w:ilvl="1" w:tplc="DFD45A0E">
      <w:start w:val="1"/>
      <w:numFmt w:val="bullet"/>
      <w:lvlText w:val=""/>
      <w:lvlJc w:val="left"/>
      <w:pPr>
        <w:tabs>
          <w:tab w:val="num" w:pos="1440"/>
        </w:tabs>
        <w:ind w:left="1440" w:hanging="360"/>
      </w:pPr>
      <w:rPr>
        <w:rFonts w:ascii="Wingdings" w:hAnsi="Wingdings" w:hint="default"/>
      </w:rPr>
    </w:lvl>
    <w:lvl w:ilvl="2" w:tplc="1F2E91A2" w:tentative="1">
      <w:start w:val="1"/>
      <w:numFmt w:val="bullet"/>
      <w:lvlText w:val=""/>
      <w:lvlJc w:val="left"/>
      <w:pPr>
        <w:tabs>
          <w:tab w:val="num" w:pos="2160"/>
        </w:tabs>
        <w:ind w:left="2160" w:hanging="360"/>
      </w:pPr>
      <w:rPr>
        <w:rFonts w:ascii="Wingdings" w:hAnsi="Wingdings" w:hint="default"/>
      </w:rPr>
    </w:lvl>
    <w:lvl w:ilvl="3" w:tplc="7E6C565A" w:tentative="1">
      <w:start w:val="1"/>
      <w:numFmt w:val="bullet"/>
      <w:lvlText w:val=""/>
      <w:lvlJc w:val="left"/>
      <w:pPr>
        <w:tabs>
          <w:tab w:val="num" w:pos="2880"/>
        </w:tabs>
        <w:ind w:left="2880" w:hanging="360"/>
      </w:pPr>
      <w:rPr>
        <w:rFonts w:ascii="Wingdings" w:hAnsi="Wingdings" w:hint="default"/>
      </w:rPr>
    </w:lvl>
    <w:lvl w:ilvl="4" w:tplc="25429C86" w:tentative="1">
      <w:start w:val="1"/>
      <w:numFmt w:val="bullet"/>
      <w:lvlText w:val=""/>
      <w:lvlJc w:val="left"/>
      <w:pPr>
        <w:tabs>
          <w:tab w:val="num" w:pos="3600"/>
        </w:tabs>
        <w:ind w:left="3600" w:hanging="360"/>
      </w:pPr>
      <w:rPr>
        <w:rFonts w:ascii="Wingdings" w:hAnsi="Wingdings" w:hint="default"/>
      </w:rPr>
    </w:lvl>
    <w:lvl w:ilvl="5" w:tplc="6316BE6E" w:tentative="1">
      <w:start w:val="1"/>
      <w:numFmt w:val="bullet"/>
      <w:lvlText w:val=""/>
      <w:lvlJc w:val="left"/>
      <w:pPr>
        <w:tabs>
          <w:tab w:val="num" w:pos="4320"/>
        </w:tabs>
        <w:ind w:left="4320" w:hanging="360"/>
      </w:pPr>
      <w:rPr>
        <w:rFonts w:ascii="Wingdings" w:hAnsi="Wingdings" w:hint="default"/>
      </w:rPr>
    </w:lvl>
    <w:lvl w:ilvl="6" w:tplc="314697C0" w:tentative="1">
      <w:start w:val="1"/>
      <w:numFmt w:val="bullet"/>
      <w:lvlText w:val=""/>
      <w:lvlJc w:val="left"/>
      <w:pPr>
        <w:tabs>
          <w:tab w:val="num" w:pos="5040"/>
        </w:tabs>
        <w:ind w:left="5040" w:hanging="360"/>
      </w:pPr>
      <w:rPr>
        <w:rFonts w:ascii="Wingdings" w:hAnsi="Wingdings" w:hint="default"/>
      </w:rPr>
    </w:lvl>
    <w:lvl w:ilvl="7" w:tplc="25580258" w:tentative="1">
      <w:start w:val="1"/>
      <w:numFmt w:val="bullet"/>
      <w:lvlText w:val=""/>
      <w:lvlJc w:val="left"/>
      <w:pPr>
        <w:tabs>
          <w:tab w:val="num" w:pos="5760"/>
        </w:tabs>
        <w:ind w:left="5760" w:hanging="360"/>
      </w:pPr>
      <w:rPr>
        <w:rFonts w:ascii="Wingdings" w:hAnsi="Wingdings" w:hint="default"/>
      </w:rPr>
    </w:lvl>
    <w:lvl w:ilvl="8" w:tplc="25045A86" w:tentative="1">
      <w:start w:val="1"/>
      <w:numFmt w:val="bullet"/>
      <w:lvlText w:val=""/>
      <w:lvlJc w:val="left"/>
      <w:pPr>
        <w:tabs>
          <w:tab w:val="num" w:pos="6480"/>
        </w:tabs>
        <w:ind w:left="6480" w:hanging="360"/>
      </w:pPr>
      <w:rPr>
        <w:rFonts w:ascii="Wingdings" w:hAnsi="Wingdings" w:hint="default"/>
      </w:rPr>
    </w:lvl>
  </w:abstractNum>
  <w:abstractNum w:abstractNumId="5">
    <w:nsid w:val="32CF5B2E"/>
    <w:multiLevelType w:val="hybridMultilevel"/>
    <w:tmpl w:val="54420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6978B4"/>
    <w:multiLevelType w:val="hybridMultilevel"/>
    <w:tmpl w:val="D55CD9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49D544F1"/>
    <w:multiLevelType w:val="hybridMultilevel"/>
    <w:tmpl w:val="494C592E"/>
    <w:lvl w:ilvl="0" w:tplc="B0622720">
      <w:start w:val="1"/>
      <w:numFmt w:val="bullet"/>
      <w:lvlText w:val=""/>
      <w:lvlJc w:val="left"/>
      <w:pPr>
        <w:tabs>
          <w:tab w:val="num" w:pos="720"/>
        </w:tabs>
        <w:ind w:left="720" w:hanging="360"/>
      </w:pPr>
      <w:rPr>
        <w:rFonts w:ascii="Wingdings" w:hAnsi="Wingdings" w:hint="default"/>
      </w:rPr>
    </w:lvl>
    <w:lvl w:ilvl="1" w:tplc="441EA390" w:tentative="1">
      <w:start w:val="1"/>
      <w:numFmt w:val="bullet"/>
      <w:lvlText w:val=""/>
      <w:lvlJc w:val="left"/>
      <w:pPr>
        <w:tabs>
          <w:tab w:val="num" w:pos="1440"/>
        </w:tabs>
        <w:ind w:left="1440" w:hanging="360"/>
      </w:pPr>
      <w:rPr>
        <w:rFonts w:ascii="Wingdings" w:hAnsi="Wingdings" w:hint="default"/>
      </w:rPr>
    </w:lvl>
    <w:lvl w:ilvl="2" w:tplc="6468725A" w:tentative="1">
      <w:start w:val="1"/>
      <w:numFmt w:val="bullet"/>
      <w:lvlText w:val=""/>
      <w:lvlJc w:val="left"/>
      <w:pPr>
        <w:tabs>
          <w:tab w:val="num" w:pos="2160"/>
        </w:tabs>
        <w:ind w:left="2160" w:hanging="360"/>
      </w:pPr>
      <w:rPr>
        <w:rFonts w:ascii="Wingdings" w:hAnsi="Wingdings" w:hint="default"/>
      </w:rPr>
    </w:lvl>
    <w:lvl w:ilvl="3" w:tplc="6D0A8486" w:tentative="1">
      <w:start w:val="1"/>
      <w:numFmt w:val="bullet"/>
      <w:lvlText w:val=""/>
      <w:lvlJc w:val="left"/>
      <w:pPr>
        <w:tabs>
          <w:tab w:val="num" w:pos="2880"/>
        </w:tabs>
        <w:ind w:left="2880" w:hanging="360"/>
      </w:pPr>
      <w:rPr>
        <w:rFonts w:ascii="Wingdings" w:hAnsi="Wingdings" w:hint="default"/>
      </w:rPr>
    </w:lvl>
    <w:lvl w:ilvl="4" w:tplc="7E725A9E" w:tentative="1">
      <w:start w:val="1"/>
      <w:numFmt w:val="bullet"/>
      <w:lvlText w:val=""/>
      <w:lvlJc w:val="left"/>
      <w:pPr>
        <w:tabs>
          <w:tab w:val="num" w:pos="3600"/>
        </w:tabs>
        <w:ind w:left="3600" w:hanging="360"/>
      </w:pPr>
      <w:rPr>
        <w:rFonts w:ascii="Wingdings" w:hAnsi="Wingdings" w:hint="default"/>
      </w:rPr>
    </w:lvl>
    <w:lvl w:ilvl="5" w:tplc="CBC60136" w:tentative="1">
      <w:start w:val="1"/>
      <w:numFmt w:val="bullet"/>
      <w:lvlText w:val=""/>
      <w:lvlJc w:val="left"/>
      <w:pPr>
        <w:tabs>
          <w:tab w:val="num" w:pos="4320"/>
        </w:tabs>
        <w:ind w:left="4320" w:hanging="360"/>
      </w:pPr>
      <w:rPr>
        <w:rFonts w:ascii="Wingdings" w:hAnsi="Wingdings" w:hint="default"/>
      </w:rPr>
    </w:lvl>
    <w:lvl w:ilvl="6" w:tplc="D792AED6" w:tentative="1">
      <w:start w:val="1"/>
      <w:numFmt w:val="bullet"/>
      <w:lvlText w:val=""/>
      <w:lvlJc w:val="left"/>
      <w:pPr>
        <w:tabs>
          <w:tab w:val="num" w:pos="5040"/>
        </w:tabs>
        <w:ind w:left="5040" w:hanging="360"/>
      </w:pPr>
      <w:rPr>
        <w:rFonts w:ascii="Wingdings" w:hAnsi="Wingdings" w:hint="default"/>
      </w:rPr>
    </w:lvl>
    <w:lvl w:ilvl="7" w:tplc="DD3E3518" w:tentative="1">
      <w:start w:val="1"/>
      <w:numFmt w:val="bullet"/>
      <w:lvlText w:val=""/>
      <w:lvlJc w:val="left"/>
      <w:pPr>
        <w:tabs>
          <w:tab w:val="num" w:pos="5760"/>
        </w:tabs>
        <w:ind w:left="5760" w:hanging="360"/>
      </w:pPr>
      <w:rPr>
        <w:rFonts w:ascii="Wingdings" w:hAnsi="Wingdings" w:hint="default"/>
      </w:rPr>
    </w:lvl>
    <w:lvl w:ilvl="8" w:tplc="4E742AA4" w:tentative="1">
      <w:start w:val="1"/>
      <w:numFmt w:val="bullet"/>
      <w:lvlText w:val=""/>
      <w:lvlJc w:val="left"/>
      <w:pPr>
        <w:tabs>
          <w:tab w:val="num" w:pos="6480"/>
        </w:tabs>
        <w:ind w:left="6480" w:hanging="360"/>
      </w:pPr>
      <w:rPr>
        <w:rFonts w:ascii="Wingdings" w:hAnsi="Wingdings" w:hint="default"/>
      </w:rPr>
    </w:lvl>
  </w:abstractNum>
  <w:abstractNum w:abstractNumId="8">
    <w:nsid w:val="4EC81234"/>
    <w:multiLevelType w:val="hybridMultilevel"/>
    <w:tmpl w:val="13B8ED50"/>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9">
    <w:nsid w:val="510C045B"/>
    <w:multiLevelType w:val="hybridMultilevel"/>
    <w:tmpl w:val="967EE1D8"/>
    <w:lvl w:ilvl="0" w:tplc="CE262600">
      <w:start w:val="1"/>
      <w:numFmt w:val="bullet"/>
      <w:lvlText w:val=""/>
      <w:lvlJc w:val="left"/>
      <w:pPr>
        <w:tabs>
          <w:tab w:val="num" w:pos="720"/>
        </w:tabs>
        <w:ind w:left="720" w:hanging="360"/>
      </w:pPr>
      <w:rPr>
        <w:rFonts w:ascii="Wingdings" w:hAnsi="Wingdings" w:hint="default"/>
      </w:rPr>
    </w:lvl>
    <w:lvl w:ilvl="1" w:tplc="417CA714" w:tentative="1">
      <w:start w:val="1"/>
      <w:numFmt w:val="bullet"/>
      <w:lvlText w:val=""/>
      <w:lvlJc w:val="left"/>
      <w:pPr>
        <w:tabs>
          <w:tab w:val="num" w:pos="1440"/>
        </w:tabs>
        <w:ind w:left="1440" w:hanging="360"/>
      </w:pPr>
      <w:rPr>
        <w:rFonts w:ascii="Wingdings" w:hAnsi="Wingdings" w:hint="default"/>
      </w:rPr>
    </w:lvl>
    <w:lvl w:ilvl="2" w:tplc="4DD67AFE" w:tentative="1">
      <w:start w:val="1"/>
      <w:numFmt w:val="bullet"/>
      <w:lvlText w:val=""/>
      <w:lvlJc w:val="left"/>
      <w:pPr>
        <w:tabs>
          <w:tab w:val="num" w:pos="2160"/>
        </w:tabs>
        <w:ind w:left="2160" w:hanging="360"/>
      </w:pPr>
      <w:rPr>
        <w:rFonts w:ascii="Wingdings" w:hAnsi="Wingdings" w:hint="default"/>
      </w:rPr>
    </w:lvl>
    <w:lvl w:ilvl="3" w:tplc="D4787CE0" w:tentative="1">
      <w:start w:val="1"/>
      <w:numFmt w:val="bullet"/>
      <w:lvlText w:val=""/>
      <w:lvlJc w:val="left"/>
      <w:pPr>
        <w:tabs>
          <w:tab w:val="num" w:pos="2880"/>
        </w:tabs>
        <w:ind w:left="2880" w:hanging="360"/>
      </w:pPr>
      <w:rPr>
        <w:rFonts w:ascii="Wingdings" w:hAnsi="Wingdings" w:hint="default"/>
      </w:rPr>
    </w:lvl>
    <w:lvl w:ilvl="4" w:tplc="FC2EFF52" w:tentative="1">
      <w:start w:val="1"/>
      <w:numFmt w:val="bullet"/>
      <w:lvlText w:val=""/>
      <w:lvlJc w:val="left"/>
      <w:pPr>
        <w:tabs>
          <w:tab w:val="num" w:pos="3600"/>
        </w:tabs>
        <w:ind w:left="3600" w:hanging="360"/>
      </w:pPr>
      <w:rPr>
        <w:rFonts w:ascii="Wingdings" w:hAnsi="Wingdings" w:hint="default"/>
      </w:rPr>
    </w:lvl>
    <w:lvl w:ilvl="5" w:tplc="ADD44256" w:tentative="1">
      <w:start w:val="1"/>
      <w:numFmt w:val="bullet"/>
      <w:lvlText w:val=""/>
      <w:lvlJc w:val="left"/>
      <w:pPr>
        <w:tabs>
          <w:tab w:val="num" w:pos="4320"/>
        </w:tabs>
        <w:ind w:left="4320" w:hanging="360"/>
      </w:pPr>
      <w:rPr>
        <w:rFonts w:ascii="Wingdings" w:hAnsi="Wingdings" w:hint="default"/>
      </w:rPr>
    </w:lvl>
    <w:lvl w:ilvl="6" w:tplc="290E5D0A" w:tentative="1">
      <w:start w:val="1"/>
      <w:numFmt w:val="bullet"/>
      <w:lvlText w:val=""/>
      <w:lvlJc w:val="left"/>
      <w:pPr>
        <w:tabs>
          <w:tab w:val="num" w:pos="5040"/>
        </w:tabs>
        <w:ind w:left="5040" w:hanging="360"/>
      </w:pPr>
      <w:rPr>
        <w:rFonts w:ascii="Wingdings" w:hAnsi="Wingdings" w:hint="default"/>
      </w:rPr>
    </w:lvl>
    <w:lvl w:ilvl="7" w:tplc="A73ADCC4" w:tentative="1">
      <w:start w:val="1"/>
      <w:numFmt w:val="bullet"/>
      <w:lvlText w:val=""/>
      <w:lvlJc w:val="left"/>
      <w:pPr>
        <w:tabs>
          <w:tab w:val="num" w:pos="5760"/>
        </w:tabs>
        <w:ind w:left="5760" w:hanging="360"/>
      </w:pPr>
      <w:rPr>
        <w:rFonts w:ascii="Wingdings" w:hAnsi="Wingdings" w:hint="default"/>
      </w:rPr>
    </w:lvl>
    <w:lvl w:ilvl="8" w:tplc="DF5C4AEC" w:tentative="1">
      <w:start w:val="1"/>
      <w:numFmt w:val="bullet"/>
      <w:lvlText w:val=""/>
      <w:lvlJc w:val="left"/>
      <w:pPr>
        <w:tabs>
          <w:tab w:val="num" w:pos="6480"/>
        </w:tabs>
        <w:ind w:left="6480" w:hanging="360"/>
      </w:pPr>
      <w:rPr>
        <w:rFonts w:ascii="Wingdings" w:hAnsi="Wingdings" w:hint="default"/>
      </w:rPr>
    </w:lvl>
  </w:abstractNum>
  <w:abstractNum w:abstractNumId="10">
    <w:nsid w:val="54F75A89"/>
    <w:multiLevelType w:val="hybridMultilevel"/>
    <w:tmpl w:val="2776385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nsid w:val="57FF1CEA"/>
    <w:multiLevelType w:val="hybridMultilevel"/>
    <w:tmpl w:val="EEF6DADA"/>
    <w:lvl w:ilvl="0" w:tplc="866C6632">
      <w:start w:val="1"/>
      <w:numFmt w:val="bullet"/>
      <w:lvlText w:val=""/>
      <w:lvlJc w:val="left"/>
      <w:pPr>
        <w:tabs>
          <w:tab w:val="num" w:pos="720"/>
        </w:tabs>
        <w:ind w:left="720" w:hanging="360"/>
      </w:pPr>
      <w:rPr>
        <w:rFonts w:ascii="Wingdings" w:hAnsi="Wingdings" w:hint="default"/>
      </w:rPr>
    </w:lvl>
    <w:lvl w:ilvl="1" w:tplc="FA6EDF94" w:tentative="1">
      <w:start w:val="1"/>
      <w:numFmt w:val="bullet"/>
      <w:lvlText w:val=""/>
      <w:lvlJc w:val="left"/>
      <w:pPr>
        <w:tabs>
          <w:tab w:val="num" w:pos="1440"/>
        </w:tabs>
        <w:ind w:left="1440" w:hanging="360"/>
      </w:pPr>
      <w:rPr>
        <w:rFonts w:ascii="Wingdings" w:hAnsi="Wingdings" w:hint="default"/>
      </w:rPr>
    </w:lvl>
    <w:lvl w:ilvl="2" w:tplc="ED047196" w:tentative="1">
      <w:start w:val="1"/>
      <w:numFmt w:val="bullet"/>
      <w:lvlText w:val=""/>
      <w:lvlJc w:val="left"/>
      <w:pPr>
        <w:tabs>
          <w:tab w:val="num" w:pos="2160"/>
        </w:tabs>
        <w:ind w:left="2160" w:hanging="360"/>
      </w:pPr>
      <w:rPr>
        <w:rFonts w:ascii="Wingdings" w:hAnsi="Wingdings" w:hint="default"/>
      </w:rPr>
    </w:lvl>
    <w:lvl w:ilvl="3" w:tplc="E1423EDE" w:tentative="1">
      <w:start w:val="1"/>
      <w:numFmt w:val="bullet"/>
      <w:lvlText w:val=""/>
      <w:lvlJc w:val="left"/>
      <w:pPr>
        <w:tabs>
          <w:tab w:val="num" w:pos="2880"/>
        </w:tabs>
        <w:ind w:left="2880" w:hanging="360"/>
      </w:pPr>
      <w:rPr>
        <w:rFonts w:ascii="Wingdings" w:hAnsi="Wingdings" w:hint="default"/>
      </w:rPr>
    </w:lvl>
    <w:lvl w:ilvl="4" w:tplc="55DC338C" w:tentative="1">
      <w:start w:val="1"/>
      <w:numFmt w:val="bullet"/>
      <w:lvlText w:val=""/>
      <w:lvlJc w:val="left"/>
      <w:pPr>
        <w:tabs>
          <w:tab w:val="num" w:pos="3600"/>
        </w:tabs>
        <w:ind w:left="3600" w:hanging="360"/>
      </w:pPr>
      <w:rPr>
        <w:rFonts w:ascii="Wingdings" w:hAnsi="Wingdings" w:hint="default"/>
      </w:rPr>
    </w:lvl>
    <w:lvl w:ilvl="5" w:tplc="CED67986" w:tentative="1">
      <w:start w:val="1"/>
      <w:numFmt w:val="bullet"/>
      <w:lvlText w:val=""/>
      <w:lvlJc w:val="left"/>
      <w:pPr>
        <w:tabs>
          <w:tab w:val="num" w:pos="4320"/>
        </w:tabs>
        <w:ind w:left="4320" w:hanging="360"/>
      </w:pPr>
      <w:rPr>
        <w:rFonts w:ascii="Wingdings" w:hAnsi="Wingdings" w:hint="default"/>
      </w:rPr>
    </w:lvl>
    <w:lvl w:ilvl="6" w:tplc="931AD3BE" w:tentative="1">
      <w:start w:val="1"/>
      <w:numFmt w:val="bullet"/>
      <w:lvlText w:val=""/>
      <w:lvlJc w:val="left"/>
      <w:pPr>
        <w:tabs>
          <w:tab w:val="num" w:pos="5040"/>
        </w:tabs>
        <w:ind w:left="5040" w:hanging="360"/>
      </w:pPr>
      <w:rPr>
        <w:rFonts w:ascii="Wingdings" w:hAnsi="Wingdings" w:hint="default"/>
      </w:rPr>
    </w:lvl>
    <w:lvl w:ilvl="7" w:tplc="A6628CEC" w:tentative="1">
      <w:start w:val="1"/>
      <w:numFmt w:val="bullet"/>
      <w:lvlText w:val=""/>
      <w:lvlJc w:val="left"/>
      <w:pPr>
        <w:tabs>
          <w:tab w:val="num" w:pos="5760"/>
        </w:tabs>
        <w:ind w:left="5760" w:hanging="360"/>
      </w:pPr>
      <w:rPr>
        <w:rFonts w:ascii="Wingdings" w:hAnsi="Wingdings" w:hint="default"/>
      </w:rPr>
    </w:lvl>
    <w:lvl w:ilvl="8" w:tplc="CC58D1DE" w:tentative="1">
      <w:start w:val="1"/>
      <w:numFmt w:val="bullet"/>
      <w:lvlText w:val=""/>
      <w:lvlJc w:val="left"/>
      <w:pPr>
        <w:tabs>
          <w:tab w:val="num" w:pos="6480"/>
        </w:tabs>
        <w:ind w:left="6480" w:hanging="360"/>
      </w:pPr>
      <w:rPr>
        <w:rFonts w:ascii="Wingdings" w:hAnsi="Wingdings" w:hint="default"/>
      </w:rPr>
    </w:lvl>
  </w:abstractNum>
  <w:abstractNum w:abstractNumId="12">
    <w:nsid w:val="6BA84BC3"/>
    <w:multiLevelType w:val="hybridMultilevel"/>
    <w:tmpl w:val="8DA6839C"/>
    <w:lvl w:ilvl="0" w:tplc="93DCD582">
      <w:start w:val="1"/>
      <w:numFmt w:val="bullet"/>
      <w:lvlText w:val=""/>
      <w:lvlJc w:val="left"/>
      <w:pPr>
        <w:tabs>
          <w:tab w:val="num" w:pos="720"/>
        </w:tabs>
        <w:ind w:left="720" w:hanging="360"/>
      </w:pPr>
      <w:rPr>
        <w:rFonts w:ascii="Wingdings" w:hAnsi="Wingdings" w:hint="default"/>
      </w:rPr>
    </w:lvl>
    <w:lvl w:ilvl="1" w:tplc="7876E29C" w:tentative="1">
      <w:start w:val="1"/>
      <w:numFmt w:val="bullet"/>
      <w:lvlText w:val=""/>
      <w:lvlJc w:val="left"/>
      <w:pPr>
        <w:tabs>
          <w:tab w:val="num" w:pos="1440"/>
        </w:tabs>
        <w:ind w:left="1440" w:hanging="360"/>
      </w:pPr>
      <w:rPr>
        <w:rFonts w:ascii="Wingdings" w:hAnsi="Wingdings" w:hint="default"/>
      </w:rPr>
    </w:lvl>
    <w:lvl w:ilvl="2" w:tplc="F5041D8C" w:tentative="1">
      <w:start w:val="1"/>
      <w:numFmt w:val="bullet"/>
      <w:lvlText w:val=""/>
      <w:lvlJc w:val="left"/>
      <w:pPr>
        <w:tabs>
          <w:tab w:val="num" w:pos="2160"/>
        </w:tabs>
        <w:ind w:left="2160" w:hanging="360"/>
      </w:pPr>
      <w:rPr>
        <w:rFonts w:ascii="Wingdings" w:hAnsi="Wingdings" w:hint="default"/>
      </w:rPr>
    </w:lvl>
    <w:lvl w:ilvl="3" w:tplc="E5129CC8" w:tentative="1">
      <w:start w:val="1"/>
      <w:numFmt w:val="bullet"/>
      <w:lvlText w:val=""/>
      <w:lvlJc w:val="left"/>
      <w:pPr>
        <w:tabs>
          <w:tab w:val="num" w:pos="2880"/>
        </w:tabs>
        <w:ind w:left="2880" w:hanging="360"/>
      </w:pPr>
      <w:rPr>
        <w:rFonts w:ascii="Wingdings" w:hAnsi="Wingdings" w:hint="default"/>
      </w:rPr>
    </w:lvl>
    <w:lvl w:ilvl="4" w:tplc="1D8CDACA" w:tentative="1">
      <w:start w:val="1"/>
      <w:numFmt w:val="bullet"/>
      <w:lvlText w:val=""/>
      <w:lvlJc w:val="left"/>
      <w:pPr>
        <w:tabs>
          <w:tab w:val="num" w:pos="3600"/>
        </w:tabs>
        <w:ind w:left="3600" w:hanging="360"/>
      </w:pPr>
      <w:rPr>
        <w:rFonts w:ascii="Wingdings" w:hAnsi="Wingdings" w:hint="default"/>
      </w:rPr>
    </w:lvl>
    <w:lvl w:ilvl="5" w:tplc="14508D96" w:tentative="1">
      <w:start w:val="1"/>
      <w:numFmt w:val="bullet"/>
      <w:lvlText w:val=""/>
      <w:lvlJc w:val="left"/>
      <w:pPr>
        <w:tabs>
          <w:tab w:val="num" w:pos="4320"/>
        </w:tabs>
        <w:ind w:left="4320" w:hanging="360"/>
      </w:pPr>
      <w:rPr>
        <w:rFonts w:ascii="Wingdings" w:hAnsi="Wingdings" w:hint="default"/>
      </w:rPr>
    </w:lvl>
    <w:lvl w:ilvl="6" w:tplc="4DF65910" w:tentative="1">
      <w:start w:val="1"/>
      <w:numFmt w:val="bullet"/>
      <w:lvlText w:val=""/>
      <w:lvlJc w:val="left"/>
      <w:pPr>
        <w:tabs>
          <w:tab w:val="num" w:pos="5040"/>
        </w:tabs>
        <w:ind w:left="5040" w:hanging="360"/>
      </w:pPr>
      <w:rPr>
        <w:rFonts w:ascii="Wingdings" w:hAnsi="Wingdings" w:hint="default"/>
      </w:rPr>
    </w:lvl>
    <w:lvl w:ilvl="7" w:tplc="363023F4" w:tentative="1">
      <w:start w:val="1"/>
      <w:numFmt w:val="bullet"/>
      <w:lvlText w:val=""/>
      <w:lvlJc w:val="left"/>
      <w:pPr>
        <w:tabs>
          <w:tab w:val="num" w:pos="5760"/>
        </w:tabs>
        <w:ind w:left="5760" w:hanging="360"/>
      </w:pPr>
      <w:rPr>
        <w:rFonts w:ascii="Wingdings" w:hAnsi="Wingdings" w:hint="default"/>
      </w:rPr>
    </w:lvl>
    <w:lvl w:ilvl="8" w:tplc="897E1A2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9"/>
  </w:num>
  <w:num w:numId="4">
    <w:abstractNumId w:val="7"/>
  </w:num>
  <w:num w:numId="5">
    <w:abstractNumId w:val="12"/>
  </w:num>
  <w:num w:numId="6">
    <w:abstractNumId w:val="4"/>
  </w:num>
  <w:num w:numId="7">
    <w:abstractNumId w:val="3"/>
  </w:num>
  <w:num w:numId="8">
    <w:abstractNumId w:val="10"/>
  </w:num>
  <w:num w:numId="9">
    <w:abstractNumId w:val="11"/>
  </w:num>
  <w:num w:numId="10">
    <w:abstractNumId w:val="6"/>
  </w:num>
  <w:num w:numId="11">
    <w:abstractNumId w:val="8"/>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markup="0"/>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Intl J Food Sci Tech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rd99v9a805050erstnxtvefav20zdx2rrvx&quot;&gt;Antioxidants in oils&lt;record-ids&gt;&lt;item&gt;3&lt;/item&gt;&lt;item&gt;4&lt;/item&gt;&lt;item&gt;5&lt;/item&gt;&lt;item&gt;6&lt;/item&gt;&lt;item&gt;7&lt;/item&gt;&lt;item&gt;8&lt;/item&gt;&lt;item&gt;9&lt;/item&gt;&lt;item&gt;11&lt;/item&gt;&lt;item&gt;12&lt;/item&gt;&lt;item&gt;13&lt;/item&gt;&lt;item&gt;14&lt;/item&gt;&lt;item&gt;15&lt;/item&gt;&lt;item&gt;16&lt;/item&gt;&lt;item&gt;17&lt;/item&gt;&lt;item&gt;18&lt;/item&gt;&lt;item&gt;20&lt;/item&gt;&lt;item&gt;21&lt;/item&gt;&lt;item&gt;22&lt;/item&gt;&lt;item&gt;24&lt;/item&gt;&lt;item&gt;26&lt;/item&gt;&lt;item&gt;27&lt;/item&gt;&lt;item&gt;28&lt;/item&gt;&lt;/record-ids&gt;&lt;/item&gt;&lt;item db-id=&quot;wtxfvzadmz5vtle9tf3vztdfsdafzvxazrap&quot;&gt;Lipid&lt;record-ids&gt;&lt;item&gt;40&lt;/item&gt;&lt;item&gt;48&lt;/item&gt;&lt;/record-ids&gt;&lt;/item&gt;&lt;/Libraries&gt;"/>
  </w:docVars>
  <w:rsids>
    <w:rsidRoot w:val="00125A3B"/>
    <w:rsid w:val="00000AC4"/>
    <w:rsid w:val="000034EE"/>
    <w:rsid w:val="00003704"/>
    <w:rsid w:val="00014249"/>
    <w:rsid w:val="000179F1"/>
    <w:rsid w:val="00017A73"/>
    <w:rsid w:val="00017B26"/>
    <w:rsid w:val="00032994"/>
    <w:rsid w:val="000333B6"/>
    <w:rsid w:val="000358E7"/>
    <w:rsid w:val="00036405"/>
    <w:rsid w:val="00041FDD"/>
    <w:rsid w:val="000444D9"/>
    <w:rsid w:val="0004799B"/>
    <w:rsid w:val="00052A41"/>
    <w:rsid w:val="000541EF"/>
    <w:rsid w:val="00057271"/>
    <w:rsid w:val="00060784"/>
    <w:rsid w:val="00060E5B"/>
    <w:rsid w:val="0006480B"/>
    <w:rsid w:val="0006576F"/>
    <w:rsid w:val="00070BC3"/>
    <w:rsid w:val="00071838"/>
    <w:rsid w:val="0007231C"/>
    <w:rsid w:val="000766CF"/>
    <w:rsid w:val="00080385"/>
    <w:rsid w:val="00080EA5"/>
    <w:rsid w:val="00082F00"/>
    <w:rsid w:val="00084FB2"/>
    <w:rsid w:val="00087BCE"/>
    <w:rsid w:val="00090396"/>
    <w:rsid w:val="000903BB"/>
    <w:rsid w:val="0009098E"/>
    <w:rsid w:val="000921A1"/>
    <w:rsid w:val="00092315"/>
    <w:rsid w:val="000946B1"/>
    <w:rsid w:val="000A4A2A"/>
    <w:rsid w:val="000B00F3"/>
    <w:rsid w:val="000B2D93"/>
    <w:rsid w:val="000B5871"/>
    <w:rsid w:val="000C13C7"/>
    <w:rsid w:val="000C5689"/>
    <w:rsid w:val="000D174A"/>
    <w:rsid w:val="000D60E4"/>
    <w:rsid w:val="000D69DB"/>
    <w:rsid w:val="000E778B"/>
    <w:rsid w:val="000F09BF"/>
    <w:rsid w:val="000F3E1A"/>
    <w:rsid w:val="000F6052"/>
    <w:rsid w:val="00104850"/>
    <w:rsid w:val="00105694"/>
    <w:rsid w:val="00107BE5"/>
    <w:rsid w:val="00107FD5"/>
    <w:rsid w:val="00114445"/>
    <w:rsid w:val="00115773"/>
    <w:rsid w:val="00115A2B"/>
    <w:rsid w:val="00120851"/>
    <w:rsid w:val="00121182"/>
    <w:rsid w:val="00122C06"/>
    <w:rsid w:val="00125A3B"/>
    <w:rsid w:val="00131234"/>
    <w:rsid w:val="00142DE7"/>
    <w:rsid w:val="00144276"/>
    <w:rsid w:val="001514E9"/>
    <w:rsid w:val="00152B8C"/>
    <w:rsid w:val="00155443"/>
    <w:rsid w:val="0016023A"/>
    <w:rsid w:val="00162BBC"/>
    <w:rsid w:val="00163128"/>
    <w:rsid w:val="00172ECF"/>
    <w:rsid w:val="00173DBD"/>
    <w:rsid w:val="00174FEC"/>
    <w:rsid w:val="00183123"/>
    <w:rsid w:val="00183D42"/>
    <w:rsid w:val="001841DD"/>
    <w:rsid w:val="00184918"/>
    <w:rsid w:val="001910CA"/>
    <w:rsid w:val="00192C8A"/>
    <w:rsid w:val="00193D44"/>
    <w:rsid w:val="001A2952"/>
    <w:rsid w:val="001A695F"/>
    <w:rsid w:val="001A78A1"/>
    <w:rsid w:val="001B47A7"/>
    <w:rsid w:val="001B5A7A"/>
    <w:rsid w:val="001C1224"/>
    <w:rsid w:val="001C1C3E"/>
    <w:rsid w:val="001C3764"/>
    <w:rsid w:val="001C4355"/>
    <w:rsid w:val="001C6CC8"/>
    <w:rsid w:val="001D0425"/>
    <w:rsid w:val="001D238D"/>
    <w:rsid w:val="001D241F"/>
    <w:rsid w:val="001D3041"/>
    <w:rsid w:val="001D7503"/>
    <w:rsid w:val="001E1A4D"/>
    <w:rsid w:val="001E5A9B"/>
    <w:rsid w:val="001F3167"/>
    <w:rsid w:val="001F3B18"/>
    <w:rsid w:val="001F4942"/>
    <w:rsid w:val="001F4FD3"/>
    <w:rsid w:val="001F52A0"/>
    <w:rsid w:val="001F7813"/>
    <w:rsid w:val="0020768F"/>
    <w:rsid w:val="00212316"/>
    <w:rsid w:val="002208F7"/>
    <w:rsid w:val="0022168F"/>
    <w:rsid w:val="00225325"/>
    <w:rsid w:val="00225C50"/>
    <w:rsid w:val="00230DBB"/>
    <w:rsid w:val="00231436"/>
    <w:rsid w:val="002328E9"/>
    <w:rsid w:val="00235680"/>
    <w:rsid w:val="00236A70"/>
    <w:rsid w:val="00241E34"/>
    <w:rsid w:val="00244CDE"/>
    <w:rsid w:val="00247F4F"/>
    <w:rsid w:val="0025096E"/>
    <w:rsid w:val="00254C8E"/>
    <w:rsid w:val="00256BE0"/>
    <w:rsid w:val="00266B4F"/>
    <w:rsid w:val="002676F6"/>
    <w:rsid w:val="00270FC2"/>
    <w:rsid w:val="00276C75"/>
    <w:rsid w:val="00277F09"/>
    <w:rsid w:val="00280352"/>
    <w:rsid w:val="0028103C"/>
    <w:rsid w:val="00282731"/>
    <w:rsid w:val="00296F54"/>
    <w:rsid w:val="00297E1D"/>
    <w:rsid w:val="002A1735"/>
    <w:rsid w:val="002A442D"/>
    <w:rsid w:val="002A5AD8"/>
    <w:rsid w:val="002A651D"/>
    <w:rsid w:val="002B0046"/>
    <w:rsid w:val="002B172B"/>
    <w:rsid w:val="002B667D"/>
    <w:rsid w:val="002C0BAD"/>
    <w:rsid w:val="002C4DC2"/>
    <w:rsid w:val="002D0628"/>
    <w:rsid w:val="002D2760"/>
    <w:rsid w:val="002D3D16"/>
    <w:rsid w:val="002D643B"/>
    <w:rsid w:val="002D6CF5"/>
    <w:rsid w:val="002D7456"/>
    <w:rsid w:val="002D7B75"/>
    <w:rsid w:val="002E0CCD"/>
    <w:rsid w:val="002E31C4"/>
    <w:rsid w:val="002F1946"/>
    <w:rsid w:val="002F28F0"/>
    <w:rsid w:val="002F4156"/>
    <w:rsid w:val="002F54BE"/>
    <w:rsid w:val="002F5C75"/>
    <w:rsid w:val="00303012"/>
    <w:rsid w:val="00307A84"/>
    <w:rsid w:val="00314634"/>
    <w:rsid w:val="0031499E"/>
    <w:rsid w:val="0031501D"/>
    <w:rsid w:val="00330D24"/>
    <w:rsid w:val="00333264"/>
    <w:rsid w:val="00333A9E"/>
    <w:rsid w:val="00334E7A"/>
    <w:rsid w:val="003366DC"/>
    <w:rsid w:val="00340FE6"/>
    <w:rsid w:val="0034353B"/>
    <w:rsid w:val="00343AD9"/>
    <w:rsid w:val="00344330"/>
    <w:rsid w:val="00344C84"/>
    <w:rsid w:val="00353DCD"/>
    <w:rsid w:val="00355882"/>
    <w:rsid w:val="003601A3"/>
    <w:rsid w:val="00361861"/>
    <w:rsid w:val="00363ACC"/>
    <w:rsid w:val="00365D99"/>
    <w:rsid w:val="00367292"/>
    <w:rsid w:val="003731F5"/>
    <w:rsid w:val="00385DC3"/>
    <w:rsid w:val="00386B83"/>
    <w:rsid w:val="00387F12"/>
    <w:rsid w:val="003970CC"/>
    <w:rsid w:val="003A3156"/>
    <w:rsid w:val="003A3463"/>
    <w:rsid w:val="003A52F7"/>
    <w:rsid w:val="003A6687"/>
    <w:rsid w:val="003B2513"/>
    <w:rsid w:val="003B32A0"/>
    <w:rsid w:val="003B45BC"/>
    <w:rsid w:val="003B665E"/>
    <w:rsid w:val="003B67B0"/>
    <w:rsid w:val="003B7C5B"/>
    <w:rsid w:val="003C1047"/>
    <w:rsid w:val="003C2B64"/>
    <w:rsid w:val="003C3BB7"/>
    <w:rsid w:val="003D28E0"/>
    <w:rsid w:val="003D4346"/>
    <w:rsid w:val="003D56E6"/>
    <w:rsid w:val="003D5E69"/>
    <w:rsid w:val="003D6323"/>
    <w:rsid w:val="003D6595"/>
    <w:rsid w:val="003D6A99"/>
    <w:rsid w:val="003E1FF9"/>
    <w:rsid w:val="003E378C"/>
    <w:rsid w:val="003E6700"/>
    <w:rsid w:val="003E7E21"/>
    <w:rsid w:val="003F5FD8"/>
    <w:rsid w:val="00401B73"/>
    <w:rsid w:val="00402FDE"/>
    <w:rsid w:val="0041710A"/>
    <w:rsid w:val="004215AF"/>
    <w:rsid w:val="00422750"/>
    <w:rsid w:val="00425F47"/>
    <w:rsid w:val="00430169"/>
    <w:rsid w:val="00431C82"/>
    <w:rsid w:val="00432348"/>
    <w:rsid w:val="004328E4"/>
    <w:rsid w:val="00433AD2"/>
    <w:rsid w:val="0043678E"/>
    <w:rsid w:val="00436E71"/>
    <w:rsid w:val="00437CE3"/>
    <w:rsid w:val="00450977"/>
    <w:rsid w:val="00450A49"/>
    <w:rsid w:val="004549D1"/>
    <w:rsid w:val="00456489"/>
    <w:rsid w:val="00456C9E"/>
    <w:rsid w:val="004578A9"/>
    <w:rsid w:val="00457B29"/>
    <w:rsid w:val="0046173E"/>
    <w:rsid w:val="004677D8"/>
    <w:rsid w:val="00471106"/>
    <w:rsid w:val="00474D73"/>
    <w:rsid w:val="00482A28"/>
    <w:rsid w:val="00482CF3"/>
    <w:rsid w:val="004840F0"/>
    <w:rsid w:val="00494E6A"/>
    <w:rsid w:val="004968E5"/>
    <w:rsid w:val="00496F51"/>
    <w:rsid w:val="0049763D"/>
    <w:rsid w:val="004A51D8"/>
    <w:rsid w:val="004A5BF6"/>
    <w:rsid w:val="004B31A3"/>
    <w:rsid w:val="004B3BE4"/>
    <w:rsid w:val="004C39D5"/>
    <w:rsid w:val="004C447A"/>
    <w:rsid w:val="004D03C5"/>
    <w:rsid w:val="004D0667"/>
    <w:rsid w:val="004D2DCC"/>
    <w:rsid w:val="004D464B"/>
    <w:rsid w:val="004E2B01"/>
    <w:rsid w:val="004E387C"/>
    <w:rsid w:val="004E4B87"/>
    <w:rsid w:val="004E542D"/>
    <w:rsid w:val="004E62F0"/>
    <w:rsid w:val="004E74FE"/>
    <w:rsid w:val="004F3A19"/>
    <w:rsid w:val="0050034D"/>
    <w:rsid w:val="00512383"/>
    <w:rsid w:val="0051394B"/>
    <w:rsid w:val="00526920"/>
    <w:rsid w:val="00530363"/>
    <w:rsid w:val="00531049"/>
    <w:rsid w:val="0053277D"/>
    <w:rsid w:val="00532CA5"/>
    <w:rsid w:val="00532F06"/>
    <w:rsid w:val="00537CA9"/>
    <w:rsid w:val="00544986"/>
    <w:rsid w:val="005479EA"/>
    <w:rsid w:val="00554C58"/>
    <w:rsid w:val="00566F79"/>
    <w:rsid w:val="00567FFB"/>
    <w:rsid w:val="00571E8F"/>
    <w:rsid w:val="00571EE1"/>
    <w:rsid w:val="00572A33"/>
    <w:rsid w:val="00574F3F"/>
    <w:rsid w:val="005759F7"/>
    <w:rsid w:val="005771D2"/>
    <w:rsid w:val="00577CA9"/>
    <w:rsid w:val="00583420"/>
    <w:rsid w:val="0059160A"/>
    <w:rsid w:val="0059500D"/>
    <w:rsid w:val="005A3306"/>
    <w:rsid w:val="005B276A"/>
    <w:rsid w:val="005B39E9"/>
    <w:rsid w:val="005B6E9F"/>
    <w:rsid w:val="005C0E5C"/>
    <w:rsid w:val="005C4A26"/>
    <w:rsid w:val="005D03B0"/>
    <w:rsid w:val="005D2529"/>
    <w:rsid w:val="005E0B9C"/>
    <w:rsid w:val="005E2389"/>
    <w:rsid w:val="005E2863"/>
    <w:rsid w:val="005E2C7E"/>
    <w:rsid w:val="005E4085"/>
    <w:rsid w:val="005F0DBA"/>
    <w:rsid w:val="005F1C73"/>
    <w:rsid w:val="005F5C0B"/>
    <w:rsid w:val="00600B36"/>
    <w:rsid w:val="00603B23"/>
    <w:rsid w:val="00621EEB"/>
    <w:rsid w:val="00631FDE"/>
    <w:rsid w:val="0063442D"/>
    <w:rsid w:val="006410F8"/>
    <w:rsid w:val="006427CF"/>
    <w:rsid w:val="00645715"/>
    <w:rsid w:val="00646090"/>
    <w:rsid w:val="006565E6"/>
    <w:rsid w:val="00662523"/>
    <w:rsid w:val="006655D0"/>
    <w:rsid w:val="006656A9"/>
    <w:rsid w:val="006708D5"/>
    <w:rsid w:val="00671263"/>
    <w:rsid w:val="00673533"/>
    <w:rsid w:val="006813B7"/>
    <w:rsid w:val="00684208"/>
    <w:rsid w:val="006846BA"/>
    <w:rsid w:val="00686642"/>
    <w:rsid w:val="00687EBA"/>
    <w:rsid w:val="00687FAF"/>
    <w:rsid w:val="00691CA0"/>
    <w:rsid w:val="00696209"/>
    <w:rsid w:val="00696DC5"/>
    <w:rsid w:val="00697192"/>
    <w:rsid w:val="006A4D0D"/>
    <w:rsid w:val="006A5AAA"/>
    <w:rsid w:val="006A6E34"/>
    <w:rsid w:val="006B0514"/>
    <w:rsid w:val="006B1326"/>
    <w:rsid w:val="006C1F10"/>
    <w:rsid w:val="006C26DE"/>
    <w:rsid w:val="006C67DB"/>
    <w:rsid w:val="006D3CCD"/>
    <w:rsid w:val="006E0FA2"/>
    <w:rsid w:val="006E42CA"/>
    <w:rsid w:val="006E67D2"/>
    <w:rsid w:val="006F0347"/>
    <w:rsid w:val="006F0475"/>
    <w:rsid w:val="006F4D96"/>
    <w:rsid w:val="00702916"/>
    <w:rsid w:val="00706B01"/>
    <w:rsid w:val="007115A4"/>
    <w:rsid w:val="0071170E"/>
    <w:rsid w:val="0071308E"/>
    <w:rsid w:val="0071341F"/>
    <w:rsid w:val="0071411D"/>
    <w:rsid w:val="00714C5C"/>
    <w:rsid w:val="0071550C"/>
    <w:rsid w:val="00716D4D"/>
    <w:rsid w:val="00722C5B"/>
    <w:rsid w:val="00723EE4"/>
    <w:rsid w:val="00726388"/>
    <w:rsid w:val="0073140C"/>
    <w:rsid w:val="00732D11"/>
    <w:rsid w:val="00736953"/>
    <w:rsid w:val="00736B92"/>
    <w:rsid w:val="00741A32"/>
    <w:rsid w:val="0074200E"/>
    <w:rsid w:val="00742CB3"/>
    <w:rsid w:val="00746081"/>
    <w:rsid w:val="00746709"/>
    <w:rsid w:val="00751F89"/>
    <w:rsid w:val="00760870"/>
    <w:rsid w:val="007628C7"/>
    <w:rsid w:val="007666BA"/>
    <w:rsid w:val="0076776B"/>
    <w:rsid w:val="00767857"/>
    <w:rsid w:val="007812D0"/>
    <w:rsid w:val="00783436"/>
    <w:rsid w:val="00784C99"/>
    <w:rsid w:val="0079000D"/>
    <w:rsid w:val="00795EAC"/>
    <w:rsid w:val="00797ACC"/>
    <w:rsid w:val="007A2123"/>
    <w:rsid w:val="007A6851"/>
    <w:rsid w:val="007B22A1"/>
    <w:rsid w:val="007B32FF"/>
    <w:rsid w:val="007B392F"/>
    <w:rsid w:val="007C060E"/>
    <w:rsid w:val="007C1193"/>
    <w:rsid w:val="007C695F"/>
    <w:rsid w:val="007E446A"/>
    <w:rsid w:val="007E4507"/>
    <w:rsid w:val="007E46B6"/>
    <w:rsid w:val="007E5111"/>
    <w:rsid w:val="007E64F8"/>
    <w:rsid w:val="007F0FC7"/>
    <w:rsid w:val="007F2DA4"/>
    <w:rsid w:val="007F4944"/>
    <w:rsid w:val="007F69EA"/>
    <w:rsid w:val="008004F9"/>
    <w:rsid w:val="0080065C"/>
    <w:rsid w:val="00802D49"/>
    <w:rsid w:val="008104CF"/>
    <w:rsid w:val="00810692"/>
    <w:rsid w:val="00815872"/>
    <w:rsid w:val="008203D9"/>
    <w:rsid w:val="00823C48"/>
    <w:rsid w:val="00825F8E"/>
    <w:rsid w:val="00827D3D"/>
    <w:rsid w:val="00827EE8"/>
    <w:rsid w:val="00830308"/>
    <w:rsid w:val="00834392"/>
    <w:rsid w:val="008369BF"/>
    <w:rsid w:val="00844EB9"/>
    <w:rsid w:val="00845318"/>
    <w:rsid w:val="00845623"/>
    <w:rsid w:val="008605F1"/>
    <w:rsid w:val="00863C08"/>
    <w:rsid w:val="0087525C"/>
    <w:rsid w:val="00880687"/>
    <w:rsid w:val="0088116A"/>
    <w:rsid w:val="008830AD"/>
    <w:rsid w:val="00883AEC"/>
    <w:rsid w:val="00885270"/>
    <w:rsid w:val="008854CE"/>
    <w:rsid w:val="00885E24"/>
    <w:rsid w:val="00891804"/>
    <w:rsid w:val="00894E6B"/>
    <w:rsid w:val="008A14E0"/>
    <w:rsid w:val="008B3758"/>
    <w:rsid w:val="008B7DB4"/>
    <w:rsid w:val="008B7F71"/>
    <w:rsid w:val="008C1D33"/>
    <w:rsid w:val="008D09A7"/>
    <w:rsid w:val="008D12AD"/>
    <w:rsid w:val="008D1A89"/>
    <w:rsid w:val="008D4024"/>
    <w:rsid w:val="008D78A2"/>
    <w:rsid w:val="008E065E"/>
    <w:rsid w:val="008E222C"/>
    <w:rsid w:val="008E2A71"/>
    <w:rsid w:val="008E2FE4"/>
    <w:rsid w:val="008E5292"/>
    <w:rsid w:val="008E5FEF"/>
    <w:rsid w:val="008F1C26"/>
    <w:rsid w:val="008F4E02"/>
    <w:rsid w:val="008F639B"/>
    <w:rsid w:val="008F63E7"/>
    <w:rsid w:val="008F66C1"/>
    <w:rsid w:val="009000AC"/>
    <w:rsid w:val="00903BAC"/>
    <w:rsid w:val="00905973"/>
    <w:rsid w:val="009062AD"/>
    <w:rsid w:val="0090645F"/>
    <w:rsid w:val="0091435E"/>
    <w:rsid w:val="00916C85"/>
    <w:rsid w:val="00917F45"/>
    <w:rsid w:val="00921B75"/>
    <w:rsid w:val="00921BE6"/>
    <w:rsid w:val="00922EA2"/>
    <w:rsid w:val="0092314A"/>
    <w:rsid w:val="00923ECC"/>
    <w:rsid w:val="0092545A"/>
    <w:rsid w:val="00934863"/>
    <w:rsid w:val="0094114E"/>
    <w:rsid w:val="009448CC"/>
    <w:rsid w:val="0095322D"/>
    <w:rsid w:val="009537E1"/>
    <w:rsid w:val="00955D24"/>
    <w:rsid w:val="00957995"/>
    <w:rsid w:val="00960082"/>
    <w:rsid w:val="009612A7"/>
    <w:rsid w:val="00965694"/>
    <w:rsid w:val="009733E4"/>
    <w:rsid w:val="0097445E"/>
    <w:rsid w:val="00974CDA"/>
    <w:rsid w:val="0097709E"/>
    <w:rsid w:val="009776F8"/>
    <w:rsid w:val="00982E57"/>
    <w:rsid w:val="00983E96"/>
    <w:rsid w:val="00985414"/>
    <w:rsid w:val="009860CA"/>
    <w:rsid w:val="00991273"/>
    <w:rsid w:val="00996669"/>
    <w:rsid w:val="009A037F"/>
    <w:rsid w:val="009A0402"/>
    <w:rsid w:val="009A6913"/>
    <w:rsid w:val="009B652C"/>
    <w:rsid w:val="009C04EA"/>
    <w:rsid w:val="009C320B"/>
    <w:rsid w:val="009C32EE"/>
    <w:rsid w:val="009C4580"/>
    <w:rsid w:val="009C7F28"/>
    <w:rsid w:val="009D16B4"/>
    <w:rsid w:val="009D1942"/>
    <w:rsid w:val="009D249E"/>
    <w:rsid w:val="009D70F4"/>
    <w:rsid w:val="009E0B8B"/>
    <w:rsid w:val="009E38E1"/>
    <w:rsid w:val="009E4C41"/>
    <w:rsid w:val="009E5429"/>
    <w:rsid w:val="009F04EA"/>
    <w:rsid w:val="009F16EF"/>
    <w:rsid w:val="009F59AC"/>
    <w:rsid w:val="009F7196"/>
    <w:rsid w:val="009F7AEC"/>
    <w:rsid w:val="00A00C9F"/>
    <w:rsid w:val="00A01721"/>
    <w:rsid w:val="00A04601"/>
    <w:rsid w:val="00A05E07"/>
    <w:rsid w:val="00A05E2A"/>
    <w:rsid w:val="00A10A41"/>
    <w:rsid w:val="00A1181F"/>
    <w:rsid w:val="00A1272C"/>
    <w:rsid w:val="00A13DF0"/>
    <w:rsid w:val="00A1451A"/>
    <w:rsid w:val="00A22624"/>
    <w:rsid w:val="00A25585"/>
    <w:rsid w:val="00A302A2"/>
    <w:rsid w:val="00A332BF"/>
    <w:rsid w:val="00A36F51"/>
    <w:rsid w:val="00A40297"/>
    <w:rsid w:val="00A411CB"/>
    <w:rsid w:val="00A433F9"/>
    <w:rsid w:val="00A541BA"/>
    <w:rsid w:val="00A545AF"/>
    <w:rsid w:val="00A56003"/>
    <w:rsid w:val="00A57FDC"/>
    <w:rsid w:val="00A62F91"/>
    <w:rsid w:val="00A726F9"/>
    <w:rsid w:val="00A7475C"/>
    <w:rsid w:val="00A75ABE"/>
    <w:rsid w:val="00A80FC0"/>
    <w:rsid w:val="00A81AB5"/>
    <w:rsid w:val="00A82C69"/>
    <w:rsid w:val="00A83B88"/>
    <w:rsid w:val="00A84F50"/>
    <w:rsid w:val="00A90DF5"/>
    <w:rsid w:val="00A910A3"/>
    <w:rsid w:val="00A91ED1"/>
    <w:rsid w:val="00A92C68"/>
    <w:rsid w:val="00A9661E"/>
    <w:rsid w:val="00A97F36"/>
    <w:rsid w:val="00AA60D1"/>
    <w:rsid w:val="00AA795A"/>
    <w:rsid w:val="00AA7D3B"/>
    <w:rsid w:val="00AB0447"/>
    <w:rsid w:val="00AB06BB"/>
    <w:rsid w:val="00AB10F9"/>
    <w:rsid w:val="00AB3D72"/>
    <w:rsid w:val="00AB3F2D"/>
    <w:rsid w:val="00AB72B3"/>
    <w:rsid w:val="00AC156C"/>
    <w:rsid w:val="00AD141E"/>
    <w:rsid w:val="00AD1F14"/>
    <w:rsid w:val="00AD2EB4"/>
    <w:rsid w:val="00AE0422"/>
    <w:rsid w:val="00AE1DBA"/>
    <w:rsid w:val="00AE4C40"/>
    <w:rsid w:val="00AE5AC9"/>
    <w:rsid w:val="00AF4EF0"/>
    <w:rsid w:val="00AF56E0"/>
    <w:rsid w:val="00AF5E6A"/>
    <w:rsid w:val="00AF6AF4"/>
    <w:rsid w:val="00B001AE"/>
    <w:rsid w:val="00B1024B"/>
    <w:rsid w:val="00B10C07"/>
    <w:rsid w:val="00B16EB4"/>
    <w:rsid w:val="00B208CC"/>
    <w:rsid w:val="00B21141"/>
    <w:rsid w:val="00B21A1B"/>
    <w:rsid w:val="00B22B61"/>
    <w:rsid w:val="00B263E2"/>
    <w:rsid w:val="00B32BC7"/>
    <w:rsid w:val="00B32EF6"/>
    <w:rsid w:val="00B33960"/>
    <w:rsid w:val="00B37013"/>
    <w:rsid w:val="00B37C1A"/>
    <w:rsid w:val="00B4518F"/>
    <w:rsid w:val="00B53FF2"/>
    <w:rsid w:val="00B544DC"/>
    <w:rsid w:val="00B6015B"/>
    <w:rsid w:val="00B664C2"/>
    <w:rsid w:val="00B7251F"/>
    <w:rsid w:val="00B77FB4"/>
    <w:rsid w:val="00B800AC"/>
    <w:rsid w:val="00B81F43"/>
    <w:rsid w:val="00B830EF"/>
    <w:rsid w:val="00B8426F"/>
    <w:rsid w:val="00B92893"/>
    <w:rsid w:val="00B95361"/>
    <w:rsid w:val="00BA3708"/>
    <w:rsid w:val="00BA554A"/>
    <w:rsid w:val="00BA5990"/>
    <w:rsid w:val="00BA7090"/>
    <w:rsid w:val="00BB13FD"/>
    <w:rsid w:val="00BB1C2E"/>
    <w:rsid w:val="00BB2574"/>
    <w:rsid w:val="00BB386F"/>
    <w:rsid w:val="00BB4CB3"/>
    <w:rsid w:val="00BB4D6B"/>
    <w:rsid w:val="00BB66E4"/>
    <w:rsid w:val="00BC045E"/>
    <w:rsid w:val="00BC1E91"/>
    <w:rsid w:val="00BC3AB7"/>
    <w:rsid w:val="00BC5051"/>
    <w:rsid w:val="00BD108F"/>
    <w:rsid w:val="00BD2ACB"/>
    <w:rsid w:val="00BD5D07"/>
    <w:rsid w:val="00BE261E"/>
    <w:rsid w:val="00BE3F11"/>
    <w:rsid w:val="00BF3CF4"/>
    <w:rsid w:val="00C001E2"/>
    <w:rsid w:val="00C0127A"/>
    <w:rsid w:val="00C02A5D"/>
    <w:rsid w:val="00C057BF"/>
    <w:rsid w:val="00C058CD"/>
    <w:rsid w:val="00C058E5"/>
    <w:rsid w:val="00C11672"/>
    <w:rsid w:val="00C14C83"/>
    <w:rsid w:val="00C171A9"/>
    <w:rsid w:val="00C178D7"/>
    <w:rsid w:val="00C23739"/>
    <w:rsid w:val="00C26C35"/>
    <w:rsid w:val="00C31115"/>
    <w:rsid w:val="00C36BF6"/>
    <w:rsid w:val="00C36D87"/>
    <w:rsid w:val="00C427A0"/>
    <w:rsid w:val="00C431B2"/>
    <w:rsid w:val="00C45E22"/>
    <w:rsid w:val="00C47665"/>
    <w:rsid w:val="00C74DE4"/>
    <w:rsid w:val="00C7621F"/>
    <w:rsid w:val="00C80790"/>
    <w:rsid w:val="00C83424"/>
    <w:rsid w:val="00C947D2"/>
    <w:rsid w:val="00C971DA"/>
    <w:rsid w:val="00C97877"/>
    <w:rsid w:val="00C97BB3"/>
    <w:rsid w:val="00CA69F2"/>
    <w:rsid w:val="00CA6DEA"/>
    <w:rsid w:val="00CA6EAD"/>
    <w:rsid w:val="00CC20B0"/>
    <w:rsid w:val="00CD1C00"/>
    <w:rsid w:val="00CD1DA6"/>
    <w:rsid w:val="00CD63CE"/>
    <w:rsid w:val="00CE12D1"/>
    <w:rsid w:val="00CE2921"/>
    <w:rsid w:val="00CF424E"/>
    <w:rsid w:val="00CF49CD"/>
    <w:rsid w:val="00D031A7"/>
    <w:rsid w:val="00D033A4"/>
    <w:rsid w:val="00D03872"/>
    <w:rsid w:val="00D10932"/>
    <w:rsid w:val="00D11AC5"/>
    <w:rsid w:val="00D12850"/>
    <w:rsid w:val="00D21257"/>
    <w:rsid w:val="00D23539"/>
    <w:rsid w:val="00D23A28"/>
    <w:rsid w:val="00D24CF4"/>
    <w:rsid w:val="00D24D9B"/>
    <w:rsid w:val="00D2775E"/>
    <w:rsid w:val="00D30030"/>
    <w:rsid w:val="00D33D5D"/>
    <w:rsid w:val="00D33EDA"/>
    <w:rsid w:val="00D3525D"/>
    <w:rsid w:val="00D37F62"/>
    <w:rsid w:val="00D405F6"/>
    <w:rsid w:val="00D41E1A"/>
    <w:rsid w:val="00D435D3"/>
    <w:rsid w:val="00D44E49"/>
    <w:rsid w:val="00D45AFF"/>
    <w:rsid w:val="00D45D2D"/>
    <w:rsid w:val="00D507AB"/>
    <w:rsid w:val="00D5183D"/>
    <w:rsid w:val="00D52F56"/>
    <w:rsid w:val="00D53F72"/>
    <w:rsid w:val="00D54476"/>
    <w:rsid w:val="00D61AE9"/>
    <w:rsid w:val="00D62098"/>
    <w:rsid w:val="00D64A0F"/>
    <w:rsid w:val="00D740AC"/>
    <w:rsid w:val="00D75F06"/>
    <w:rsid w:val="00D76C59"/>
    <w:rsid w:val="00D80545"/>
    <w:rsid w:val="00D80BF2"/>
    <w:rsid w:val="00D83906"/>
    <w:rsid w:val="00D83F69"/>
    <w:rsid w:val="00D91CAC"/>
    <w:rsid w:val="00D94008"/>
    <w:rsid w:val="00DA2AA6"/>
    <w:rsid w:val="00DA57CD"/>
    <w:rsid w:val="00DA5EB0"/>
    <w:rsid w:val="00DB0765"/>
    <w:rsid w:val="00DB16F2"/>
    <w:rsid w:val="00DB531D"/>
    <w:rsid w:val="00DB7FCE"/>
    <w:rsid w:val="00DD6E0B"/>
    <w:rsid w:val="00DD6F1B"/>
    <w:rsid w:val="00DE2A01"/>
    <w:rsid w:val="00DE4F3A"/>
    <w:rsid w:val="00DE792A"/>
    <w:rsid w:val="00DE7956"/>
    <w:rsid w:val="00E009DB"/>
    <w:rsid w:val="00E0211E"/>
    <w:rsid w:val="00E02C0E"/>
    <w:rsid w:val="00E05D41"/>
    <w:rsid w:val="00E06A60"/>
    <w:rsid w:val="00E0723B"/>
    <w:rsid w:val="00E07964"/>
    <w:rsid w:val="00E1078A"/>
    <w:rsid w:val="00E15217"/>
    <w:rsid w:val="00E16495"/>
    <w:rsid w:val="00E17F7D"/>
    <w:rsid w:val="00E258E6"/>
    <w:rsid w:val="00E371EC"/>
    <w:rsid w:val="00E4006A"/>
    <w:rsid w:val="00E42E11"/>
    <w:rsid w:val="00E42F8F"/>
    <w:rsid w:val="00E43133"/>
    <w:rsid w:val="00E4433A"/>
    <w:rsid w:val="00E452B7"/>
    <w:rsid w:val="00E53027"/>
    <w:rsid w:val="00E571AE"/>
    <w:rsid w:val="00E60CA8"/>
    <w:rsid w:val="00E714F1"/>
    <w:rsid w:val="00E71838"/>
    <w:rsid w:val="00E7468C"/>
    <w:rsid w:val="00E85528"/>
    <w:rsid w:val="00E91CE8"/>
    <w:rsid w:val="00E937FB"/>
    <w:rsid w:val="00E967F8"/>
    <w:rsid w:val="00E97B8C"/>
    <w:rsid w:val="00EA019C"/>
    <w:rsid w:val="00EA08DF"/>
    <w:rsid w:val="00EA78A6"/>
    <w:rsid w:val="00EB2E6C"/>
    <w:rsid w:val="00EB3297"/>
    <w:rsid w:val="00EB46CA"/>
    <w:rsid w:val="00EB5768"/>
    <w:rsid w:val="00EC0FB9"/>
    <w:rsid w:val="00EC1565"/>
    <w:rsid w:val="00EC1E59"/>
    <w:rsid w:val="00EC2A24"/>
    <w:rsid w:val="00EC4013"/>
    <w:rsid w:val="00ED36CC"/>
    <w:rsid w:val="00ED6D73"/>
    <w:rsid w:val="00EF3677"/>
    <w:rsid w:val="00EF5DA0"/>
    <w:rsid w:val="00F00FF8"/>
    <w:rsid w:val="00F00FFF"/>
    <w:rsid w:val="00F021E7"/>
    <w:rsid w:val="00F04AB8"/>
    <w:rsid w:val="00F05C81"/>
    <w:rsid w:val="00F1783B"/>
    <w:rsid w:val="00F235BB"/>
    <w:rsid w:val="00F240A7"/>
    <w:rsid w:val="00F25B76"/>
    <w:rsid w:val="00F27C20"/>
    <w:rsid w:val="00F300E1"/>
    <w:rsid w:val="00F42388"/>
    <w:rsid w:val="00F423AF"/>
    <w:rsid w:val="00F46156"/>
    <w:rsid w:val="00F650E7"/>
    <w:rsid w:val="00F71F2C"/>
    <w:rsid w:val="00F745D5"/>
    <w:rsid w:val="00F75F2C"/>
    <w:rsid w:val="00F779C9"/>
    <w:rsid w:val="00F82148"/>
    <w:rsid w:val="00F826EC"/>
    <w:rsid w:val="00F84EC4"/>
    <w:rsid w:val="00F8632C"/>
    <w:rsid w:val="00F865F8"/>
    <w:rsid w:val="00F87054"/>
    <w:rsid w:val="00F87A4F"/>
    <w:rsid w:val="00F9036B"/>
    <w:rsid w:val="00F91A4B"/>
    <w:rsid w:val="00F956BC"/>
    <w:rsid w:val="00FA19EA"/>
    <w:rsid w:val="00FA2B92"/>
    <w:rsid w:val="00FA2DB9"/>
    <w:rsid w:val="00FA3B64"/>
    <w:rsid w:val="00FA629F"/>
    <w:rsid w:val="00FB2C4E"/>
    <w:rsid w:val="00FC0B3A"/>
    <w:rsid w:val="00FC11AB"/>
    <w:rsid w:val="00FC3641"/>
    <w:rsid w:val="00FC3841"/>
    <w:rsid w:val="00FD3296"/>
    <w:rsid w:val="00FE0220"/>
    <w:rsid w:val="00FE14C9"/>
    <w:rsid w:val="00FE1A5C"/>
    <w:rsid w:val="00FE5F9A"/>
    <w:rsid w:val="00FF2620"/>
    <w:rsid w:val="00FF57F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6E4"/>
    <w:pPr>
      <w:spacing w:after="0" w:line="240" w:lineRule="auto"/>
    </w:pPr>
    <w:rPr>
      <w:rFonts w:ascii="Times New Roman" w:eastAsia="Times New Roman" w:hAnsi="Times New Roman" w:cs="Times New Roman"/>
      <w:sz w:val="24"/>
      <w:szCs w:val="24"/>
      <w:lang w:val="fr-FR" w:eastAsia="fr-FR"/>
    </w:rPr>
  </w:style>
  <w:style w:type="paragraph" w:styleId="Heading1">
    <w:name w:val="heading 1"/>
    <w:basedOn w:val="Normal"/>
    <w:next w:val="Normal"/>
    <w:link w:val="Heading1Char"/>
    <w:uiPriority w:val="9"/>
    <w:qFormat/>
    <w:rsid w:val="004171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710A"/>
    <w:pPr>
      <w:keepNext/>
      <w:keepLines/>
      <w:spacing w:before="200" w:line="276" w:lineRule="auto"/>
      <w:outlineLvl w:val="1"/>
    </w:pPr>
    <w:rPr>
      <w:rFonts w:asciiTheme="majorHAnsi" w:eastAsiaTheme="majorEastAsia" w:hAnsiTheme="majorHAnsi" w:cstheme="majorBidi"/>
      <w:b/>
      <w:bCs/>
      <w:color w:val="4F81BD" w:themeColor="accent1"/>
      <w:sz w:val="26"/>
      <w:szCs w:val="26"/>
      <w:lang w:val="fr-CH" w:eastAsia="en-US"/>
    </w:rPr>
  </w:style>
  <w:style w:type="paragraph" w:styleId="Heading3">
    <w:name w:val="heading 3"/>
    <w:basedOn w:val="Normal"/>
    <w:next w:val="Normal"/>
    <w:link w:val="Heading3Char"/>
    <w:uiPriority w:val="9"/>
    <w:unhideWhenUsed/>
    <w:qFormat/>
    <w:rsid w:val="004171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66E4"/>
    <w:pPr>
      <w:jc w:val="center"/>
    </w:pPr>
    <w:rPr>
      <w:rFonts w:ascii="Arial" w:hAnsi="Arial" w:cs="Arial"/>
      <w:b/>
      <w:bCs/>
      <w:sz w:val="32"/>
      <w:szCs w:val="13"/>
    </w:rPr>
  </w:style>
  <w:style w:type="character" w:customStyle="1" w:styleId="TitleChar">
    <w:name w:val="Title Char"/>
    <w:basedOn w:val="DefaultParagraphFont"/>
    <w:link w:val="Title"/>
    <w:rsid w:val="00BB66E4"/>
    <w:rPr>
      <w:rFonts w:ascii="Arial" w:eastAsia="Times New Roman" w:hAnsi="Arial" w:cs="Arial"/>
      <w:b/>
      <w:bCs/>
      <w:sz w:val="32"/>
      <w:szCs w:val="13"/>
      <w:lang w:val="fr-FR" w:eastAsia="fr-FR"/>
    </w:rPr>
  </w:style>
  <w:style w:type="paragraph" w:styleId="BodyText">
    <w:name w:val="Body Text"/>
    <w:basedOn w:val="Normal"/>
    <w:link w:val="BodyTextChar"/>
    <w:rsid w:val="00BB66E4"/>
    <w:pPr>
      <w:jc w:val="both"/>
    </w:pPr>
  </w:style>
  <w:style w:type="character" w:customStyle="1" w:styleId="BodyTextChar">
    <w:name w:val="Body Text Char"/>
    <w:basedOn w:val="DefaultParagraphFont"/>
    <w:link w:val="BodyText"/>
    <w:rsid w:val="00BB66E4"/>
    <w:rPr>
      <w:rFonts w:ascii="Times New Roman" w:eastAsia="Times New Roman" w:hAnsi="Times New Roman" w:cs="Times New Roman"/>
      <w:sz w:val="24"/>
      <w:szCs w:val="24"/>
      <w:lang w:val="fr-FR" w:eastAsia="fr-FR"/>
    </w:rPr>
  </w:style>
  <w:style w:type="paragraph" w:customStyle="1" w:styleId="BCAuthorAddress">
    <w:name w:val="BC_Author_Address"/>
    <w:basedOn w:val="Normal"/>
    <w:next w:val="BIEmailAddress"/>
    <w:autoRedefine/>
    <w:rsid w:val="00BB66E4"/>
    <w:pPr>
      <w:spacing w:line="480" w:lineRule="auto"/>
      <w:jc w:val="center"/>
    </w:pPr>
    <w:rPr>
      <w:szCs w:val="20"/>
      <w:lang w:val="fr-CH"/>
    </w:rPr>
  </w:style>
  <w:style w:type="paragraph" w:customStyle="1" w:styleId="BIEmailAddress">
    <w:name w:val="BI_Email_Address"/>
    <w:basedOn w:val="Normal"/>
    <w:next w:val="Normal"/>
    <w:rsid w:val="00BB66E4"/>
    <w:pPr>
      <w:spacing w:after="200" w:line="480" w:lineRule="auto"/>
      <w:jc w:val="both"/>
    </w:pPr>
    <w:rPr>
      <w:rFonts w:ascii="Times" w:hAnsi="Times"/>
      <w:szCs w:val="20"/>
    </w:rPr>
  </w:style>
  <w:style w:type="paragraph" w:customStyle="1" w:styleId="FACorrespondingAuthorFootnote">
    <w:name w:val="FA_Corresponding_Author_Footnote"/>
    <w:basedOn w:val="Normal"/>
    <w:next w:val="Normal"/>
    <w:rsid w:val="00BB66E4"/>
    <w:pPr>
      <w:spacing w:after="200" w:line="480" w:lineRule="auto"/>
      <w:jc w:val="both"/>
    </w:pPr>
    <w:rPr>
      <w:rFonts w:ascii="Times" w:hAnsi="Times"/>
      <w:szCs w:val="20"/>
    </w:rPr>
  </w:style>
  <w:style w:type="character" w:styleId="Hyperlink">
    <w:name w:val="Hyperlink"/>
    <w:basedOn w:val="DefaultParagraphFont"/>
    <w:rsid w:val="00BB66E4"/>
    <w:rPr>
      <w:color w:val="0000FF"/>
      <w:u w:val="single"/>
    </w:rPr>
  </w:style>
  <w:style w:type="table" w:styleId="TableGrid">
    <w:name w:val="Table Grid"/>
    <w:basedOn w:val="TableNormal"/>
    <w:uiPriority w:val="59"/>
    <w:rsid w:val="00731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1DBA"/>
    <w:pPr>
      <w:ind w:left="720"/>
      <w:contextualSpacing/>
    </w:pPr>
    <w:rPr>
      <w:lang w:val="fr-CH" w:eastAsia="fr-CH"/>
    </w:rPr>
  </w:style>
  <w:style w:type="character" w:styleId="PlaceholderText">
    <w:name w:val="Placeholder Text"/>
    <w:basedOn w:val="DefaultParagraphFont"/>
    <w:uiPriority w:val="99"/>
    <w:semiHidden/>
    <w:rsid w:val="004549D1"/>
    <w:rPr>
      <w:color w:val="808080"/>
    </w:rPr>
  </w:style>
  <w:style w:type="paragraph" w:styleId="BalloonText">
    <w:name w:val="Balloon Text"/>
    <w:basedOn w:val="Normal"/>
    <w:link w:val="BalloonTextChar"/>
    <w:uiPriority w:val="99"/>
    <w:semiHidden/>
    <w:unhideWhenUsed/>
    <w:rsid w:val="004549D1"/>
    <w:rPr>
      <w:rFonts w:ascii="Tahoma" w:hAnsi="Tahoma" w:cs="Tahoma"/>
      <w:sz w:val="16"/>
      <w:szCs w:val="16"/>
    </w:rPr>
  </w:style>
  <w:style w:type="character" w:customStyle="1" w:styleId="BalloonTextChar">
    <w:name w:val="Balloon Text Char"/>
    <w:basedOn w:val="DefaultParagraphFont"/>
    <w:link w:val="BalloonText"/>
    <w:uiPriority w:val="99"/>
    <w:semiHidden/>
    <w:rsid w:val="004549D1"/>
    <w:rPr>
      <w:rFonts w:ascii="Tahoma" w:eastAsia="Times New Roman" w:hAnsi="Tahoma" w:cs="Tahoma"/>
      <w:sz w:val="16"/>
      <w:szCs w:val="16"/>
      <w:lang w:val="fr-FR" w:eastAsia="fr-FR"/>
    </w:rPr>
  </w:style>
  <w:style w:type="character" w:customStyle="1" w:styleId="hit">
    <w:name w:val="hit"/>
    <w:basedOn w:val="DefaultParagraphFont"/>
    <w:rsid w:val="00456C9E"/>
  </w:style>
  <w:style w:type="character" w:styleId="Strong">
    <w:name w:val="Strong"/>
    <w:basedOn w:val="DefaultParagraphFont"/>
    <w:qFormat/>
    <w:rsid w:val="00903BAC"/>
    <w:rPr>
      <w:b/>
      <w:bCs/>
    </w:rPr>
  </w:style>
  <w:style w:type="paragraph" w:customStyle="1" w:styleId="svarticle">
    <w:name w:val="svarticle"/>
    <w:basedOn w:val="Normal"/>
    <w:rsid w:val="001F4942"/>
    <w:pPr>
      <w:spacing w:before="100" w:beforeAutospacing="1" w:after="100" w:afterAutospacing="1"/>
    </w:pPr>
    <w:rPr>
      <w:lang w:val="fr-CH" w:eastAsia="fr-CH"/>
    </w:rPr>
  </w:style>
  <w:style w:type="character" w:styleId="Emphasis">
    <w:name w:val="Emphasis"/>
    <w:basedOn w:val="DefaultParagraphFont"/>
    <w:uiPriority w:val="20"/>
    <w:qFormat/>
    <w:rsid w:val="001F4942"/>
    <w:rPr>
      <w:i/>
      <w:iCs/>
    </w:rPr>
  </w:style>
  <w:style w:type="character" w:customStyle="1" w:styleId="Heading2Char">
    <w:name w:val="Heading 2 Char"/>
    <w:basedOn w:val="DefaultParagraphFont"/>
    <w:link w:val="Heading2"/>
    <w:uiPriority w:val="9"/>
    <w:rsid w:val="0041710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1710A"/>
    <w:rPr>
      <w:rFonts w:asciiTheme="majorHAnsi" w:eastAsiaTheme="majorEastAsia" w:hAnsiTheme="majorHAnsi" w:cstheme="majorBidi"/>
      <w:b/>
      <w:bCs/>
      <w:color w:val="365F91" w:themeColor="accent1" w:themeShade="BF"/>
      <w:sz w:val="28"/>
      <w:szCs w:val="28"/>
      <w:lang w:val="fr-FR" w:eastAsia="fr-FR"/>
    </w:rPr>
  </w:style>
  <w:style w:type="character" w:customStyle="1" w:styleId="Heading3Char">
    <w:name w:val="Heading 3 Char"/>
    <w:basedOn w:val="DefaultParagraphFont"/>
    <w:link w:val="Heading3"/>
    <w:uiPriority w:val="9"/>
    <w:rsid w:val="0041710A"/>
    <w:rPr>
      <w:rFonts w:asciiTheme="majorHAnsi" w:eastAsiaTheme="majorEastAsia" w:hAnsiTheme="majorHAnsi" w:cstheme="majorBidi"/>
      <w:b/>
      <w:bCs/>
      <w:color w:val="4F81BD" w:themeColor="accent1"/>
      <w:sz w:val="24"/>
      <w:szCs w:val="24"/>
      <w:lang w:val="fr-FR" w:eastAsia="fr-FR"/>
    </w:rPr>
  </w:style>
  <w:style w:type="paragraph" w:styleId="Caption">
    <w:name w:val="caption"/>
    <w:basedOn w:val="Normal"/>
    <w:next w:val="Normal"/>
    <w:uiPriority w:val="35"/>
    <w:unhideWhenUsed/>
    <w:qFormat/>
    <w:rsid w:val="00C80790"/>
    <w:pPr>
      <w:spacing w:after="200"/>
    </w:pPr>
    <w:rPr>
      <w:b/>
      <w:bCs/>
      <w:color w:val="4F81BD" w:themeColor="accent1"/>
      <w:sz w:val="18"/>
      <w:szCs w:val="18"/>
    </w:rPr>
  </w:style>
  <w:style w:type="character" w:styleId="HTMLCite">
    <w:name w:val="HTML Cite"/>
    <w:basedOn w:val="DefaultParagraphFont"/>
    <w:uiPriority w:val="99"/>
    <w:semiHidden/>
    <w:unhideWhenUsed/>
    <w:rsid w:val="00AB10F9"/>
    <w:rPr>
      <w:i/>
      <w:iCs/>
    </w:rPr>
  </w:style>
  <w:style w:type="character" w:styleId="FollowedHyperlink">
    <w:name w:val="FollowedHyperlink"/>
    <w:basedOn w:val="DefaultParagraphFont"/>
    <w:uiPriority w:val="99"/>
    <w:semiHidden/>
    <w:unhideWhenUsed/>
    <w:rsid w:val="00AB10F9"/>
    <w:rPr>
      <w:color w:val="800080" w:themeColor="followedHyperlink"/>
      <w:u w:val="single"/>
    </w:rPr>
  </w:style>
  <w:style w:type="character" w:styleId="LineNumber">
    <w:name w:val="line number"/>
    <w:basedOn w:val="DefaultParagraphFont"/>
    <w:uiPriority w:val="99"/>
    <w:semiHidden/>
    <w:unhideWhenUsed/>
    <w:rsid w:val="009733E4"/>
  </w:style>
  <w:style w:type="character" w:styleId="CommentReference">
    <w:name w:val="annotation reference"/>
    <w:basedOn w:val="DefaultParagraphFont"/>
    <w:uiPriority w:val="99"/>
    <w:semiHidden/>
    <w:unhideWhenUsed/>
    <w:rsid w:val="007F69EA"/>
    <w:rPr>
      <w:sz w:val="16"/>
      <w:szCs w:val="16"/>
    </w:rPr>
  </w:style>
  <w:style w:type="paragraph" w:styleId="CommentText">
    <w:name w:val="annotation text"/>
    <w:basedOn w:val="Normal"/>
    <w:link w:val="CommentTextChar"/>
    <w:uiPriority w:val="99"/>
    <w:semiHidden/>
    <w:unhideWhenUsed/>
    <w:rsid w:val="007F69EA"/>
    <w:rPr>
      <w:sz w:val="20"/>
      <w:szCs w:val="20"/>
    </w:rPr>
  </w:style>
  <w:style w:type="character" w:customStyle="1" w:styleId="CommentTextChar">
    <w:name w:val="Comment Text Char"/>
    <w:basedOn w:val="DefaultParagraphFont"/>
    <w:link w:val="CommentText"/>
    <w:uiPriority w:val="99"/>
    <w:semiHidden/>
    <w:rsid w:val="007F69EA"/>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7F69EA"/>
    <w:rPr>
      <w:b/>
      <w:bCs/>
    </w:rPr>
  </w:style>
  <w:style w:type="character" w:customStyle="1" w:styleId="CommentSubjectChar">
    <w:name w:val="Comment Subject Char"/>
    <w:basedOn w:val="CommentTextChar"/>
    <w:link w:val="CommentSubject"/>
    <w:uiPriority w:val="99"/>
    <w:semiHidden/>
    <w:rsid w:val="007F69EA"/>
    <w:rPr>
      <w:rFonts w:ascii="Times New Roman" w:eastAsia="Times New Roman" w:hAnsi="Times New Roman" w:cs="Times New Roman"/>
      <w:b/>
      <w:bCs/>
      <w:sz w:val="20"/>
      <w:szCs w:val="20"/>
      <w:lang w:val="fr-FR" w:eastAsia="fr-FR"/>
    </w:rPr>
  </w:style>
  <w:style w:type="table" w:styleId="LightShading">
    <w:name w:val="Light Shading"/>
    <w:basedOn w:val="TableNormal"/>
    <w:uiPriority w:val="60"/>
    <w:rsid w:val="000D174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6E4"/>
    <w:pPr>
      <w:spacing w:after="0" w:line="240" w:lineRule="auto"/>
    </w:pPr>
    <w:rPr>
      <w:rFonts w:ascii="Times New Roman" w:eastAsia="Times New Roman" w:hAnsi="Times New Roman" w:cs="Times New Roman"/>
      <w:sz w:val="24"/>
      <w:szCs w:val="24"/>
      <w:lang w:val="fr-FR" w:eastAsia="fr-FR"/>
    </w:rPr>
  </w:style>
  <w:style w:type="paragraph" w:styleId="Heading1">
    <w:name w:val="heading 1"/>
    <w:basedOn w:val="Normal"/>
    <w:next w:val="Normal"/>
    <w:link w:val="Heading1Char"/>
    <w:uiPriority w:val="9"/>
    <w:qFormat/>
    <w:rsid w:val="004171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710A"/>
    <w:pPr>
      <w:keepNext/>
      <w:keepLines/>
      <w:spacing w:before="200" w:line="276" w:lineRule="auto"/>
      <w:outlineLvl w:val="1"/>
    </w:pPr>
    <w:rPr>
      <w:rFonts w:asciiTheme="majorHAnsi" w:eastAsiaTheme="majorEastAsia" w:hAnsiTheme="majorHAnsi" w:cstheme="majorBidi"/>
      <w:b/>
      <w:bCs/>
      <w:color w:val="4F81BD" w:themeColor="accent1"/>
      <w:sz w:val="26"/>
      <w:szCs w:val="26"/>
      <w:lang w:val="fr-CH" w:eastAsia="en-US"/>
    </w:rPr>
  </w:style>
  <w:style w:type="paragraph" w:styleId="Heading3">
    <w:name w:val="heading 3"/>
    <w:basedOn w:val="Normal"/>
    <w:next w:val="Normal"/>
    <w:link w:val="Heading3Char"/>
    <w:uiPriority w:val="9"/>
    <w:unhideWhenUsed/>
    <w:qFormat/>
    <w:rsid w:val="004171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66E4"/>
    <w:pPr>
      <w:jc w:val="center"/>
    </w:pPr>
    <w:rPr>
      <w:rFonts w:ascii="Arial" w:hAnsi="Arial" w:cs="Arial"/>
      <w:b/>
      <w:bCs/>
      <w:sz w:val="32"/>
      <w:szCs w:val="13"/>
    </w:rPr>
  </w:style>
  <w:style w:type="character" w:customStyle="1" w:styleId="TitleChar">
    <w:name w:val="Title Char"/>
    <w:basedOn w:val="DefaultParagraphFont"/>
    <w:link w:val="Title"/>
    <w:rsid w:val="00BB66E4"/>
    <w:rPr>
      <w:rFonts w:ascii="Arial" w:eastAsia="Times New Roman" w:hAnsi="Arial" w:cs="Arial"/>
      <w:b/>
      <w:bCs/>
      <w:sz w:val="32"/>
      <w:szCs w:val="13"/>
      <w:lang w:val="fr-FR" w:eastAsia="fr-FR"/>
    </w:rPr>
  </w:style>
  <w:style w:type="paragraph" w:styleId="BodyText">
    <w:name w:val="Body Text"/>
    <w:basedOn w:val="Normal"/>
    <w:link w:val="BodyTextChar"/>
    <w:rsid w:val="00BB66E4"/>
    <w:pPr>
      <w:jc w:val="both"/>
    </w:pPr>
  </w:style>
  <w:style w:type="character" w:customStyle="1" w:styleId="BodyTextChar">
    <w:name w:val="Body Text Char"/>
    <w:basedOn w:val="DefaultParagraphFont"/>
    <w:link w:val="BodyText"/>
    <w:rsid w:val="00BB66E4"/>
    <w:rPr>
      <w:rFonts w:ascii="Times New Roman" w:eastAsia="Times New Roman" w:hAnsi="Times New Roman" w:cs="Times New Roman"/>
      <w:sz w:val="24"/>
      <w:szCs w:val="24"/>
      <w:lang w:val="fr-FR" w:eastAsia="fr-FR"/>
    </w:rPr>
  </w:style>
  <w:style w:type="paragraph" w:customStyle="1" w:styleId="BCAuthorAddress">
    <w:name w:val="BC_Author_Address"/>
    <w:basedOn w:val="Normal"/>
    <w:next w:val="BIEmailAddress"/>
    <w:autoRedefine/>
    <w:rsid w:val="00BB66E4"/>
    <w:pPr>
      <w:spacing w:line="480" w:lineRule="auto"/>
      <w:jc w:val="center"/>
    </w:pPr>
    <w:rPr>
      <w:szCs w:val="20"/>
      <w:lang w:val="fr-CH"/>
    </w:rPr>
  </w:style>
  <w:style w:type="paragraph" w:customStyle="1" w:styleId="BIEmailAddress">
    <w:name w:val="BI_Email_Address"/>
    <w:basedOn w:val="Normal"/>
    <w:next w:val="Normal"/>
    <w:rsid w:val="00BB66E4"/>
    <w:pPr>
      <w:spacing w:after="200" w:line="480" w:lineRule="auto"/>
      <w:jc w:val="both"/>
    </w:pPr>
    <w:rPr>
      <w:rFonts w:ascii="Times" w:hAnsi="Times"/>
      <w:szCs w:val="20"/>
    </w:rPr>
  </w:style>
  <w:style w:type="paragraph" w:customStyle="1" w:styleId="FACorrespondingAuthorFootnote">
    <w:name w:val="FA_Corresponding_Author_Footnote"/>
    <w:basedOn w:val="Normal"/>
    <w:next w:val="Normal"/>
    <w:rsid w:val="00BB66E4"/>
    <w:pPr>
      <w:spacing w:after="200" w:line="480" w:lineRule="auto"/>
      <w:jc w:val="both"/>
    </w:pPr>
    <w:rPr>
      <w:rFonts w:ascii="Times" w:hAnsi="Times"/>
      <w:szCs w:val="20"/>
    </w:rPr>
  </w:style>
  <w:style w:type="character" w:styleId="Hyperlink">
    <w:name w:val="Hyperlink"/>
    <w:basedOn w:val="DefaultParagraphFont"/>
    <w:rsid w:val="00BB66E4"/>
    <w:rPr>
      <w:color w:val="0000FF"/>
      <w:u w:val="single"/>
    </w:rPr>
  </w:style>
  <w:style w:type="table" w:styleId="TableGrid">
    <w:name w:val="Table Grid"/>
    <w:basedOn w:val="TableNormal"/>
    <w:uiPriority w:val="59"/>
    <w:rsid w:val="00731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1DBA"/>
    <w:pPr>
      <w:ind w:left="720"/>
      <w:contextualSpacing/>
    </w:pPr>
    <w:rPr>
      <w:lang w:val="fr-CH" w:eastAsia="fr-CH"/>
    </w:rPr>
  </w:style>
  <w:style w:type="character" w:styleId="PlaceholderText">
    <w:name w:val="Placeholder Text"/>
    <w:basedOn w:val="DefaultParagraphFont"/>
    <w:uiPriority w:val="99"/>
    <w:semiHidden/>
    <w:rsid w:val="004549D1"/>
    <w:rPr>
      <w:color w:val="808080"/>
    </w:rPr>
  </w:style>
  <w:style w:type="paragraph" w:styleId="BalloonText">
    <w:name w:val="Balloon Text"/>
    <w:basedOn w:val="Normal"/>
    <w:link w:val="BalloonTextChar"/>
    <w:uiPriority w:val="99"/>
    <w:semiHidden/>
    <w:unhideWhenUsed/>
    <w:rsid w:val="004549D1"/>
    <w:rPr>
      <w:rFonts w:ascii="Tahoma" w:hAnsi="Tahoma" w:cs="Tahoma"/>
      <w:sz w:val="16"/>
      <w:szCs w:val="16"/>
    </w:rPr>
  </w:style>
  <w:style w:type="character" w:customStyle="1" w:styleId="BalloonTextChar">
    <w:name w:val="Balloon Text Char"/>
    <w:basedOn w:val="DefaultParagraphFont"/>
    <w:link w:val="BalloonText"/>
    <w:uiPriority w:val="99"/>
    <w:semiHidden/>
    <w:rsid w:val="004549D1"/>
    <w:rPr>
      <w:rFonts w:ascii="Tahoma" w:eastAsia="Times New Roman" w:hAnsi="Tahoma" w:cs="Tahoma"/>
      <w:sz w:val="16"/>
      <w:szCs w:val="16"/>
      <w:lang w:val="fr-FR" w:eastAsia="fr-FR"/>
    </w:rPr>
  </w:style>
  <w:style w:type="character" w:customStyle="1" w:styleId="hit">
    <w:name w:val="hit"/>
    <w:basedOn w:val="DefaultParagraphFont"/>
    <w:rsid w:val="00456C9E"/>
  </w:style>
  <w:style w:type="character" w:styleId="Strong">
    <w:name w:val="Strong"/>
    <w:basedOn w:val="DefaultParagraphFont"/>
    <w:qFormat/>
    <w:rsid w:val="00903BAC"/>
    <w:rPr>
      <w:b/>
      <w:bCs/>
    </w:rPr>
  </w:style>
  <w:style w:type="paragraph" w:customStyle="1" w:styleId="svarticle">
    <w:name w:val="svarticle"/>
    <w:basedOn w:val="Normal"/>
    <w:rsid w:val="001F4942"/>
    <w:pPr>
      <w:spacing w:before="100" w:beforeAutospacing="1" w:after="100" w:afterAutospacing="1"/>
    </w:pPr>
    <w:rPr>
      <w:lang w:val="fr-CH" w:eastAsia="fr-CH"/>
    </w:rPr>
  </w:style>
  <w:style w:type="character" w:styleId="Emphasis">
    <w:name w:val="Emphasis"/>
    <w:basedOn w:val="DefaultParagraphFont"/>
    <w:uiPriority w:val="20"/>
    <w:qFormat/>
    <w:rsid w:val="001F4942"/>
    <w:rPr>
      <w:i/>
      <w:iCs/>
    </w:rPr>
  </w:style>
  <w:style w:type="character" w:customStyle="1" w:styleId="Heading2Char">
    <w:name w:val="Heading 2 Char"/>
    <w:basedOn w:val="DefaultParagraphFont"/>
    <w:link w:val="Heading2"/>
    <w:uiPriority w:val="9"/>
    <w:rsid w:val="0041710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1710A"/>
    <w:rPr>
      <w:rFonts w:asciiTheme="majorHAnsi" w:eastAsiaTheme="majorEastAsia" w:hAnsiTheme="majorHAnsi" w:cstheme="majorBidi"/>
      <w:b/>
      <w:bCs/>
      <w:color w:val="365F91" w:themeColor="accent1" w:themeShade="BF"/>
      <w:sz w:val="28"/>
      <w:szCs w:val="28"/>
      <w:lang w:val="fr-FR" w:eastAsia="fr-FR"/>
    </w:rPr>
  </w:style>
  <w:style w:type="character" w:customStyle="1" w:styleId="Heading3Char">
    <w:name w:val="Heading 3 Char"/>
    <w:basedOn w:val="DefaultParagraphFont"/>
    <w:link w:val="Heading3"/>
    <w:uiPriority w:val="9"/>
    <w:rsid w:val="0041710A"/>
    <w:rPr>
      <w:rFonts w:asciiTheme="majorHAnsi" w:eastAsiaTheme="majorEastAsia" w:hAnsiTheme="majorHAnsi" w:cstheme="majorBidi"/>
      <w:b/>
      <w:bCs/>
      <w:color w:val="4F81BD" w:themeColor="accent1"/>
      <w:sz w:val="24"/>
      <w:szCs w:val="24"/>
      <w:lang w:val="fr-FR" w:eastAsia="fr-FR"/>
    </w:rPr>
  </w:style>
  <w:style w:type="paragraph" w:styleId="Caption">
    <w:name w:val="caption"/>
    <w:basedOn w:val="Normal"/>
    <w:next w:val="Normal"/>
    <w:uiPriority w:val="35"/>
    <w:unhideWhenUsed/>
    <w:qFormat/>
    <w:rsid w:val="00C80790"/>
    <w:pPr>
      <w:spacing w:after="200"/>
    </w:pPr>
    <w:rPr>
      <w:b/>
      <w:bCs/>
      <w:color w:val="4F81BD" w:themeColor="accent1"/>
      <w:sz w:val="18"/>
      <w:szCs w:val="18"/>
    </w:rPr>
  </w:style>
  <w:style w:type="character" w:styleId="HTMLCite">
    <w:name w:val="HTML Cite"/>
    <w:basedOn w:val="DefaultParagraphFont"/>
    <w:uiPriority w:val="99"/>
    <w:semiHidden/>
    <w:unhideWhenUsed/>
    <w:rsid w:val="00AB10F9"/>
    <w:rPr>
      <w:i/>
      <w:iCs/>
    </w:rPr>
  </w:style>
  <w:style w:type="character" w:styleId="FollowedHyperlink">
    <w:name w:val="FollowedHyperlink"/>
    <w:basedOn w:val="DefaultParagraphFont"/>
    <w:uiPriority w:val="99"/>
    <w:semiHidden/>
    <w:unhideWhenUsed/>
    <w:rsid w:val="00AB10F9"/>
    <w:rPr>
      <w:color w:val="800080" w:themeColor="followedHyperlink"/>
      <w:u w:val="single"/>
    </w:rPr>
  </w:style>
  <w:style w:type="character" w:styleId="LineNumber">
    <w:name w:val="line number"/>
    <w:basedOn w:val="DefaultParagraphFont"/>
    <w:uiPriority w:val="99"/>
    <w:semiHidden/>
    <w:unhideWhenUsed/>
    <w:rsid w:val="009733E4"/>
  </w:style>
  <w:style w:type="character" w:styleId="CommentReference">
    <w:name w:val="annotation reference"/>
    <w:basedOn w:val="DefaultParagraphFont"/>
    <w:uiPriority w:val="99"/>
    <w:semiHidden/>
    <w:unhideWhenUsed/>
    <w:rsid w:val="007F69EA"/>
    <w:rPr>
      <w:sz w:val="16"/>
      <w:szCs w:val="16"/>
    </w:rPr>
  </w:style>
  <w:style w:type="paragraph" w:styleId="CommentText">
    <w:name w:val="annotation text"/>
    <w:basedOn w:val="Normal"/>
    <w:link w:val="CommentTextChar"/>
    <w:uiPriority w:val="99"/>
    <w:semiHidden/>
    <w:unhideWhenUsed/>
    <w:rsid w:val="007F69EA"/>
    <w:rPr>
      <w:sz w:val="20"/>
      <w:szCs w:val="20"/>
    </w:rPr>
  </w:style>
  <w:style w:type="character" w:customStyle="1" w:styleId="CommentTextChar">
    <w:name w:val="Comment Text Char"/>
    <w:basedOn w:val="DefaultParagraphFont"/>
    <w:link w:val="CommentText"/>
    <w:uiPriority w:val="99"/>
    <w:semiHidden/>
    <w:rsid w:val="007F69EA"/>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7F69EA"/>
    <w:rPr>
      <w:b/>
      <w:bCs/>
    </w:rPr>
  </w:style>
  <w:style w:type="character" w:customStyle="1" w:styleId="CommentSubjectChar">
    <w:name w:val="Comment Subject Char"/>
    <w:basedOn w:val="CommentTextChar"/>
    <w:link w:val="CommentSubject"/>
    <w:uiPriority w:val="99"/>
    <w:semiHidden/>
    <w:rsid w:val="007F69EA"/>
    <w:rPr>
      <w:rFonts w:ascii="Times New Roman" w:eastAsia="Times New Roman" w:hAnsi="Times New Roman" w:cs="Times New Roman"/>
      <w:b/>
      <w:bCs/>
      <w:sz w:val="20"/>
      <w:szCs w:val="20"/>
      <w:lang w:val="fr-FR" w:eastAsia="fr-FR"/>
    </w:rPr>
  </w:style>
  <w:style w:type="table" w:styleId="LightShading">
    <w:name w:val="Light Shading"/>
    <w:basedOn w:val="TableNormal"/>
    <w:uiPriority w:val="60"/>
    <w:rsid w:val="000D174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8207">
      <w:bodyDiv w:val="1"/>
      <w:marLeft w:val="0"/>
      <w:marRight w:val="0"/>
      <w:marTop w:val="0"/>
      <w:marBottom w:val="0"/>
      <w:divBdr>
        <w:top w:val="none" w:sz="0" w:space="0" w:color="auto"/>
        <w:left w:val="none" w:sz="0" w:space="0" w:color="auto"/>
        <w:bottom w:val="none" w:sz="0" w:space="0" w:color="auto"/>
        <w:right w:val="none" w:sz="0" w:space="0" w:color="auto"/>
      </w:divBdr>
    </w:div>
    <w:div w:id="92366507">
      <w:bodyDiv w:val="1"/>
      <w:marLeft w:val="0"/>
      <w:marRight w:val="0"/>
      <w:marTop w:val="0"/>
      <w:marBottom w:val="0"/>
      <w:divBdr>
        <w:top w:val="none" w:sz="0" w:space="0" w:color="auto"/>
        <w:left w:val="none" w:sz="0" w:space="0" w:color="auto"/>
        <w:bottom w:val="none" w:sz="0" w:space="0" w:color="auto"/>
        <w:right w:val="none" w:sz="0" w:space="0" w:color="auto"/>
      </w:divBdr>
      <w:divsChild>
        <w:div w:id="1907688532">
          <w:marLeft w:val="0"/>
          <w:marRight w:val="0"/>
          <w:marTop w:val="0"/>
          <w:marBottom w:val="0"/>
          <w:divBdr>
            <w:top w:val="single" w:sz="18" w:space="0" w:color="6C9D30"/>
            <w:left w:val="single" w:sz="2" w:space="0" w:color="2E2E2E"/>
            <w:bottom w:val="single" w:sz="2" w:space="0" w:color="2E2E2E"/>
            <w:right w:val="single" w:sz="2" w:space="0" w:color="2E2E2E"/>
          </w:divBdr>
          <w:divsChild>
            <w:div w:id="629701887">
              <w:marLeft w:val="0"/>
              <w:marRight w:val="0"/>
              <w:marTop w:val="15"/>
              <w:marBottom w:val="0"/>
              <w:divBdr>
                <w:top w:val="none" w:sz="0" w:space="0" w:color="auto"/>
                <w:left w:val="none" w:sz="0" w:space="0" w:color="auto"/>
                <w:bottom w:val="none" w:sz="0" w:space="0" w:color="auto"/>
                <w:right w:val="none" w:sz="0" w:space="0" w:color="auto"/>
              </w:divBdr>
              <w:divsChild>
                <w:div w:id="1794861041">
                  <w:marLeft w:val="0"/>
                  <w:marRight w:val="0"/>
                  <w:marTop w:val="0"/>
                  <w:marBottom w:val="0"/>
                  <w:divBdr>
                    <w:top w:val="none" w:sz="0" w:space="0" w:color="auto"/>
                    <w:left w:val="none" w:sz="0" w:space="0" w:color="auto"/>
                    <w:bottom w:val="none" w:sz="0" w:space="0" w:color="auto"/>
                    <w:right w:val="none" w:sz="0" w:space="0" w:color="auto"/>
                  </w:divBdr>
                  <w:divsChild>
                    <w:div w:id="473371222">
                      <w:marLeft w:val="0"/>
                      <w:marRight w:val="0"/>
                      <w:marTop w:val="0"/>
                      <w:marBottom w:val="0"/>
                      <w:divBdr>
                        <w:top w:val="none" w:sz="0" w:space="0" w:color="auto"/>
                        <w:left w:val="none" w:sz="0" w:space="0" w:color="auto"/>
                        <w:bottom w:val="none" w:sz="0" w:space="0" w:color="auto"/>
                        <w:right w:val="none" w:sz="0" w:space="0" w:color="auto"/>
                      </w:divBdr>
                      <w:divsChild>
                        <w:div w:id="1543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64891">
      <w:bodyDiv w:val="1"/>
      <w:marLeft w:val="0"/>
      <w:marRight w:val="0"/>
      <w:marTop w:val="0"/>
      <w:marBottom w:val="0"/>
      <w:divBdr>
        <w:top w:val="none" w:sz="0" w:space="0" w:color="auto"/>
        <w:left w:val="none" w:sz="0" w:space="0" w:color="auto"/>
        <w:bottom w:val="none" w:sz="0" w:space="0" w:color="auto"/>
        <w:right w:val="none" w:sz="0" w:space="0" w:color="auto"/>
      </w:divBdr>
      <w:divsChild>
        <w:div w:id="1212690383">
          <w:marLeft w:val="720"/>
          <w:marRight w:val="0"/>
          <w:marTop w:val="0"/>
          <w:marBottom w:val="0"/>
          <w:divBdr>
            <w:top w:val="none" w:sz="0" w:space="0" w:color="auto"/>
            <w:left w:val="none" w:sz="0" w:space="0" w:color="auto"/>
            <w:bottom w:val="none" w:sz="0" w:space="0" w:color="auto"/>
            <w:right w:val="none" w:sz="0" w:space="0" w:color="auto"/>
          </w:divBdr>
        </w:div>
        <w:div w:id="935672329">
          <w:marLeft w:val="720"/>
          <w:marRight w:val="0"/>
          <w:marTop w:val="0"/>
          <w:marBottom w:val="0"/>
          <w:divBdr>
            <w:top w:val="none" w:sz="0" w:space="0" w:color="auto"/>
            <w:left w:val="none" w:sz="0" w:space="0" w:color="auto"/>
            <w:bottom w:val="none" w:sz="0" w:space="0" w:color="auto"/>
            <w:right w:val="none" w:sz="0" w:space="0" w:color="auto"/>
          </w:divBdr>
        </w:div>
      </w:divsChild>
    </w:div>
    <w:div w:id="337392262">
      <w:bodyDiv w:val="1"/>
      <w:marLeft w:val="0"/>
      <w:marRight w:val="0"/>
      <w:marTop w:val="0"/>
      <w:marBottom w:val="0"/>
      <w:divBdr>
        <w:top w:val="none" w:sz="0" w:space="0" w:color="auto"/>
        <w:left w:val="none" w:sz="0" w:space="0" w:color="auto"/>
        <w:bottom w:val="none" w:sz="0" w:space="0" w:color="auto"/>
        <w:right w:val="none" w:sz="0" w:space="0" w:color="auto"/>
      </w:divBdr>
      <w:divsChild>
        <w:div w:id="1987199528">
          <w:marLeft w:val="0"/>
          <w:marRight w:val="0"/>
          <w:marTop w:val="0"/>
          <w:marBottom w:val="0"/>
          <w:divBdr>
            <w:top w:val="none" w:sz="0" w:space="0" w:color="auto"/>
            <w:left w:val="none" w:sz="0" w:space="0" w:color="auto"/>
            <w:bottom w:val="none" w:sz="0" w:space="0" w:color="auto"/>
            <w:right w:val="none" w:sz="0" w:space="0" w:color="auto"/>
          </w:divBdr>
          <w:divsChild>
            <w:div w:id="617219225">
              <w:marLeft w:val="0"/>
              <w:marRight w:val="0"/>
              <w:marTop w:val="0"/>
              <w:marBottom w:val="0"/>
              <w:divBdr>
                <w:top w:val="none" w:sz="0" w:space="0" w:color="auto"/>
                <w:left w:val="none" w:sz="0" w:space="0" w:color="auto"/>
                <w:bottom w:val="none" w:sz="0" w:space="0" w:color="auto"/>
                <w:right w:val="none" w:sz="0" w:space="0" w:color="auto"/>
              </w:divBdr>
              <w:divsChild>
                <w:div w:id="1940065228">
                  <w:marLeft w:val="150"/>
                  <w:marRight w:val="150"/>
                  <w:marTop w:val="0"/>
                  <w:marBottom w:val="0"/>
                  <w:divBdr>
                    <w:top w:val="none" w:sz="0" w:space="0" w:color="auto"/>
                    <w:left w:val="none" w:sz="0" w:space="0" w:color="auto"/>
                    <w:bottom w:val="none" w:sz="0" w:space="0" w:color="auto"/>
                    <w:right w:val="none" w:sz="0" w:space="0" w:color="auto"/>
                  </w:divBdr>
                  <w:divsChild>
                    <w:div w:id="130027180">
                      <w:marLeft w:val="0"/>
                      <w:marRight w:val="0"/>
                      <w:marTop w:val="0"/>
                      <w:marBottom w:val="0"/>
                      <w:divBdr>
                        <w:top w:val="none" w:sz="0" w:space="0" w:color="auto"/>
                        <w:left w:val="none" w:sz="0" w:space="0" w:color="auto"/>
                        <w:bottom w:val="none" w:sz="0" w:space="0" w:color="auto"/>
                        <w:right w:val="none" w:sz="0" w:space="0" w:color="auto"/>
                      </w:divBdr>
                      <w:divsChild>
                        <w:div w:id="615481283">
                          <w:marLeft w:val="0"/>
                          <w:marRight w:val="0"/>
                          <w:marTop w:val="0"/>
                          <w:marBottom w:val="0"/>
                          <w:divBdr>
                            <w:top w:val="none" w:sz="0" w:space="0" w:color="auto"/>
                            <w:left w:val="none" w:sz="0" w:space="0" w:color="auto"/>
                            <w:bottom w:val="none" w:sz="0" w:space="0" w:color="auto"/>
                            <w:right w:val="none" w:sz="0" w:space="0" w:color="auto"/>
                          </w:divBdr>
                          <w:divsChild>
                            <w:div w:id="125585894">
                              <w:marLeft w:val="0"/>
                              <w:marRight w:val="0"/>
                              <w:marTop w:val="0"/>
                              <w:marBottom w:val="0"/>
                              <w:divBdr>
                                <w:top w:val="none" w:sz="0" w:space="0" w:color="auto"/>
                                <w:left w:val="none" w:sz="0" w:space="0" w:color="auto"/>
                                <w:bottom w:val="none" w:sz="0" w:space="0" w:color="auto"/>
                                <w:right w:val="none" w:sz="0" w:space="0" w:color="auto"/>
                              </w:divBdr>
                              <w:divsChild>
                                <w:div w:id="1847863366">
                                  <w:marLeft w:val="0"/>
                                  <w:marRight w:val="0"/>
                                  <w:marTop w:val="0"/>
                                  <w:marBottom w:val="0"/>
                                  <w:divBdr>
                                    <w:top w:val="none" w:sz="0" w:space="0" w:color="auto"/>
                                    <w:left w:val="none" w:sz="0" w:space="0" w:color="auto"/>
                                    <w:bottom w:val="none" w:sz="0" w:space="0" w:color="auto"/>
                                    <w:right w:val="none" w:sz="0" w:space="0" w:color="auto"/>
                                  </w:divBdr>
                                  <w:divsChild>
                                    <w:div w:id="9251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235940">
      <w:bodyDiv w:val="1"/>
      <w:marLeft w:val="0"/>
      <w:marRight w:val="0"/>
      <w:marTop w:val="0"/>
      <w:marBottom w:val="0"/>
      <w:divBdr>
        <w:top w:val="none" w:sz="0" w:space="0" w:color="auto"/>
        <w:left w:val="none" w:sz="0" w:space="0" w:color="auto"/>
        <w:bottom w:val="none" w:sz="0" w:space="0" w:color="auto"/>
        <w:right w:val="none" w:sz="0" w:space="0" w:color="auto"/>
      </w:divBdr>
    </w:div>
    <w:div w:id="470056854">
      <w:bodyDiv w:val="1"/>
      <w:marLeft w:val="0"/>
      <w:marRight w:val="0"/>
      <w:marTop w:val="0"/>
      <w:marBottom w:val="0"/>
      <w:divBdr>
        <w:top w:val="none" w:sz="0" w:space="0" w:color="auto"/>
        <w:left w:val="none" w:sz="0" w:space="0" w:color="auto"/>
        <w:bottom w:val="none" w:sz="0" w:space="0" w:color="auto"/>
        <w:right w:val="none" w:sz="0" w:space="0" w:color="auto"/>
      </w:divBdr>
      <w:divsChild>
        <w:div w:id="1624269405">
          <w:marLeft w:val="0"/>
          <w:marRight w:val="0"/>
          <w:marTop w:val="0"/>
          <w:marBottom w:val="0"/>
          <w:divBdr>
            <w:top w:val="none" w:sz="0" w:space="0" w:color="auto"/>
            <w:left w:val="none" w:sz="0" w:space="0" w:color="auto"/>
            <w:bottom w:val="none" w:sz="0" w:space="0" w:color="auto"/>
            <w:right w:val="none" w:sz="0" w:space="0" w:color="auto"/>
          </w:divBdr>
          <w:divsChild>
            <w:div w:id="339359106">
              <w:marLeft w:val="0"/>
              <w:marRight w:val="0"/>
              <w:marTop w:val="0"/>
              <w:marBottom w:val="0"/>
              <w:divBdr>
                <w:top w:val="none" w:sz="0" w:space="0" w:color="auto"/>
                <w:left w:val="none" w:sz="0" w:space="0" w:color="auto"/>
                <w:bottom w:val="none" w:sz="0" w:space="0" w:color="auto"/>
                <w:right w:val="none" w:sz="0" w:space="0" w:color="auto"/>
              </w:divBdr>
              <w:divsChild>
                <w:div w:id="42020000">
                  <w:marLeft w:val="0"/>
                  <w:marRight w:val="0"/>
                  <w:marTop w:val="0"/>
                  <w:marBottom w:val="0"/>
                  <w:divBdr>
                    <w:top w:val="none" w:sz="0" w:space="0" w:color="auto"/>
                    <w:left w:val="none" w:sz="0" w:space="0" w:color="auto"/>
                    <w:bottom w:val="none" w:sz="0" w:space="0" w:color="auto"/>
                    <w:right w:val="none" w:sz="0" w:space="0" w:color="auto"/>
                  </w:divBdr>
                  <w:divsChild>
                    <w:div w:id="1207566816">
                      <w:marLeft w:val="0"/>
                      <w:marRight w:val="0"/>
                      <w:marTop w:val="0"/>
                      <w:marBottom w:val="0"/>
                      <w:divBdr>
                        <w:top w:val="none" w:sz="0" w:space="0" w:color="auto"/>
                        <w:left w:val="none" w:sz="0" w:space="0" w:color="auto"/>
                        <w:bottom w:val="none" w:sz="0" w:space="0" w:color="auto"/>
                        <w:right w:val="none" w:sz="0" w:space="0" w:color="auto"/>
                      </w:divBdr>
                      <w:divsChild>
                        <w:div w:id="1410422278">
                          <w:marLeft w:val="0"/>
                          <w:marRight w:val="0"/>
                          <w:marTop w:val="0"/>
                          <w:marBottom w:val="0"/>
                          <w:divBdr>
                            <w:top w:val="none" w:sz="0" w:space="0" w:color="auto"/>
                            <w:left w:val="none" w:sz="0" w:space="0" w:color="auto"/>
                            <w:bottom w:val="none" w:sz="0" w:space="0" w:color="auto"/>
                            <w:right w:val="none" w:sz="0" w:space="0" w:color="auto"/>
                          </w:divBdr>
                          <w:divsChild>
                            <w:div w:id="809445307">
                              <w:marLeft w:val="0"/>
                              <w:marRight w:val="0"/>
                              <w:marTop w:val="0"/>
                              <w:marBottom w:val="0"/>
                              <w:divBdr>
                                <w:top w:val="none" w:sz="0" w:space="0" w:color="auto"/>
                                <w:left w:val="none" w:sz="0" w:space="0" w:color="auto"/>
                                <w:bottom w:val="none" w:sz="0" w:space="0" w:color="auto"/>
                                <w:right w:val="none" w:sz="0" w:space="0" w:color="auto"/>
                              </w:divBdr>
                              <w:divsChild>
                                <w:div w:id="3652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487935">
      <w:bodyDiv w:val="1"/>
      <w:marLeft w:val="0"/>
      <w:marRight w:val="0"/>
      <w:marTop w:val="0"/>
      <w:marBottom w:val="0"/>
      <w:divBdr>
        <w:top w:val="none" w:sz="0" w:space="0" w:color="auto"/>
        <w:left w:val="none" w:sz="0" w:space="0" w:color="auto"/>
        <w:bottom w:val="none" w:sz="0" w:space="0" w:color="auto"/>
        <w:right w:val="none" w:sz="0" w:space="0" w:color="auto"/>
      </w:divBdr>
    </w:div>
    <w:div w:id="668826766">
      <w:bodyDiv w:val="1"/>
      <w:marLeft w:val="0"/>
      <w:marRight w:val="0"/>
      <w:marTop w:val="0"/>
      <w:marBottom w:val="0"/>
      <w:divBdr>
        <w:top w:val="none" w:sz="0" w:space="0" w:color="auto"/>
        <w:left w:val="none" w:sz="0" w:space="0" w:color="auto"/>
        <w:bottom w:val="none" w:sz="0" w:space="0" w:color="auto"/>
        <w:right w:val="none" w:sz="0" w:space="0" w:color="auto"/>
      </w:divBdr>
    </w:div>
    <w:div w:id="748497891">
      <w:bodyDiv w:val="1"/>
      <w:marLeft w:val="0"/>
      <w:marRight w:val="0"/>
      <w:marTop w:val="0"/>
      <w:marBottom w:val="0"/>
      <w:divBdr>
        <w:top w:val="none" w:sz="0" w:space="0" w:color="auto"/>
        <w:left w:val="none" w:sz="0" w:space="0" w:color="auto"/>
        <w:bottom w:val="none" w:sz="0" w:space="0" w:color="auto"/>
        <w:right w:val="none" w:sz="0" w:space="0" w:color="auto"/>
      </w:divBdr>
      <w:divsChild>
        <w:div w:id="749624591">
          <w:marLeft w:val="0"/>
          <w:marRight w:val="0"/>
          <w:marTop w:val="0"/>
          <w:marBottom w:val="0"/>
          <w:divBdr>
            <w:top w:val="single" w:sz="18" w:space="0" w:color="6C9D30"/>
            <w:left w:val="single" w:sz="2" w:space="0" w:color="2E2E2E"/>
            <w:bottom w:val="single" w:sz="2" w:space="0" w:color="2E2E2E"/>
            <w:right w:val="single" w:sz="2" w:space="0" w:color="2E2E2E"/>
          </w:divBdr>
          <w:divsChild>
            <w:div w:id="769813563">
              <w:marLeft w:val="0"/>
              <w:marRight w:val="0"/>
              <w:marTop w:val="15"/>
              <w:marBottom w:val="0"/>
              <w:divBdr>
                <w:top w:val="none" w:sz="0" w:space="0" w:color="auto"/>
                <w:left w:val="none" w:sz="0" w:space="0" w:color="auto"/>
                <w:bottom w:val="none" w:sz="0" w:space="0" w:color="auto"/>
                <w:right w:val="none" w:sz="0" w:space="0" w:color="auto"/>
              </w:divBdr>
              <w:divsChild>
                <w:div w:id="105474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03231">
      <w:bodyDiv w:val="1"/>
      <w:marLeft w:val="0"/>
      <w:marRight w:val="0"/>
      <w:marTop w:val="0"/>
      <w:marBottom w:val="0"/>
      <w:divBdr>
        <w:top w:val="none" w:sz="0" w:space="0" w:color="auto"/>
        <w:left w:val="none" w:sz="0" w:space="0" w:color="auto"/>
        <w:bottom w:val="none" w:sz="0" w:space="0" w:color="auto"/>
        <w:right w:val="none" w:sz="0" w:space="0" w:color="auto"/>
      </w:divBdr>
      <w:divsChild>
        <w:div w:id="236481304">
          <w:marLeft w:val="0"/>
          <w:marRight w:val="0"/>
          <w:marTop w:val="0"/>
          <w:marBottom w:val="0"/>
          <w:divBdr>
            <w:top w:val="none" w:sz="0" w:space="0" w:color="auto"/>
            <w:left w:val="none" w:sz="0" w:space="0" w:color="auto"/>
            <w:bottom w:val="none" w:sz="0" w:space="0" w:color="auto"/>
            <w:right w:val="none" w:sz="0" w:space="0" w:color="auto"/>
          </w:divBdr>
          <w:divsChild>
            <w:div w:id="672027941">
              <w:marLeft w:val="0"/>
              <w:marRight w:val="0"/>
              <w:marTop w:val="0"/>
              <w:marBottom w:val="0"/>
              <w:divBdr>
                <w:top w:val="none" w:sz="0" w:space="0" w:color="auto"/>
                <w:left w:val="none" w:sz="0" w:space="0" w:color="auto"/>
                <w:bottom w:val="none" w:sz="0" w:space="0" w:color="auto"/>
                <w:right w:val="none" w:sz="0" w:space="0" w:color="auto"/>
              </w:divBdr>
              <w:divsChild>
                <w:div w:id="1641687975">
                  <w:marLeft w:val="0"/>
                  <w:marRight w:val="0"/>
                  <w:marTop w:val="0"/>
                  <w:marBottom w:val="0"/>
                  <w:divBdr>
                    <w:top w:val="none" w:sz="0" w:space="0" w:color="auto"/>
                    <w:left w:val="none" w:sz="0" w:space="0" w:color="auto"/>
                    <w:bottom w:val="none" w:sz="0" w:space="0" w:color="auto"/>
                    <w:right w:val="none" w:sz="0" w:space="0" w:color="auto"/>
                  </w:divBdr>
                  <w:divsChild>
                    <w:div w:id="1283269190">
                      <w:marLeft w:val="0"/>
                      <w:marRight w:val="0"/>
                      <w:marTop w:val="0"/>
                      <w:marBottom w:val="0"/>
                      <w:divBdr>
                        <w:top w:val="none" w:sz="0" w:space="0" w:color="auto"/>
                        <w:left w:val="none" w:sz="0" w:space="0" w:color="auto"/>
                        <w:bottom w:val="none" w:sz="0" w:space="0" w:color="auto"/>
                        <w:right w:val="none" w:sz="0" w:space="0" w:color="auto"/>
                      </w:divBdr>
                      <w:divsChild>
                        <w:div w:id="1960721801">
                          <w:marLeft w:val="0"/>
                          <w:marRight w:val="0"/>
                          <w:marTop w:val="0"/>
                          <w:marBottom w:val="0"/>
                          <w:divBdr>
                            <w:top w:val="none" w:sz="0" w:space="0" w:color="auto"/>
                            <w:left w:val="none" w:sz="0" w:space="0" w:color="auto"/>
                            <w:bottom w:val="none" w:sz="0" w:space="0" w:color="auto"/>
                            <w:right w:val="none" w:sz="0" w:space="0" w:color="auto"/>
                          </w:divBdr>
                          <w:divsChild>
                            <w:div w:id="1321346717">
                              <w:marLeft w:val="0"/>
                              <w:marRight w:val="0"/>
                              <w:marTop w:val="0"/>
                              <w:marBottom w:val="0"/>
                              <w:divBdr>
                                <w:top w:val="none" w:sz="0" w:space="0" w:color="auto"/>
                                <w:left w:val="none" w:sz="0" w:space="0" w:color="auto"/>
                                <w:bottom w:val="none" w:sz="0" w:space="0" w:color="auto"/>
                                <w:right w:val="none" w:sz="0" w:space="0" w:color="auto"/>
                              </w:divBdr>
                              <w:divsChild>
                                <w:div w:id="70782544">
                                  <w:marLeft w:val="0"/>
                                  <w:marRight w:val="0"/>
                                  <w:marTop w:val="0"/>
                                  <w:marBottom w:val="0"/>
                                  <w:divBdr>
                                    <w:top w:val="none" w:sz="0" w:space="0" w:color="auto"/>
                                    <w:left w:val="none" w:sz="0" w:space="0" w:color="auto"/>
                                    <w:bottom w:val="none" w:sz="0" w:space="0" w:color="auto"/>
                                    <w:right w:val="none" w:sz="0" w:space="0" w:color="auto"/>
                                  </w:divBdr>
                                </w:div>
                                <w:div w:id="301692247">
                                  <w:marLeft w:val="0"/>
                                  <w:marRight w:val="0"/>
                                  <w:marTop w:val="0"/>
                                  <w:marBottom w:val="0"/>
                                  <w:divBdr>
                                    <w:top w:val="none" w:sz="0" w:space="0" w:color="auto"/>
                                    <w:left w:val="none" w:sz="0" w:space="0" w:color="auto"/>
                                    <w:bottom w:val="none" w:sz="0" w:space="0" w:color="auto"/>
                                    <w:right w:val="none" w:sz="0" w:space="0" w:color="auto"/>
                                  </w:divBdr>
                                </w:div>
                                <w:div w:id="635986307">
                                  <w:marLeft w:val="0"/>
                                  <w:marRight w:val="0"/>
                                  <w:marTop w:val="0"/>
                                  <w:marBottom w:val="0"/>
                                  <w:divBdr>
                                    <w:top w:val="none" w:sz="0" w:space="0" w:color="auto"/>
                                    <w:left w:val="none" w:sz="0" w:space="0" w:color="auto"/>
                                    <w:bottom w:val="none" w:sz="0" w:space="0" w:color="auto"/>
                                    <w:right w:val="none" w:sz="0" w:space="0" w:color="auto"/>
                                  </w:divBdr>
                                </w:div>
                                <w:div w:id="296492064">
                                  <w:marLeft w:val="0"/>
                                  <w:marRight w:val="0"/>
                                  <w:marTop w:val="0"/>
                                  <w:marBottom w:val="0"/>
                                  <w:divBdr>
                                    <w:top w:val="none" w:sz="0" w:space="0" w:color="auto"/>
                                    <w:left w:val="none" w:sz="0" w:space="0" w:color="auto"/>
                                    <w:bottom w:val="none" w:sz="0" w:space="0" w:color="auto"/>
                                    <w:right w:val="none" w:sz="0" w:space="0" w:color="auto"/>
                                  </w:divBdr>
                                </w:div>
                                <w:div w:id="3476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334064">
      <w:bodyDiv w:val="1"/>
      <w:marLeft w:val="0"/>
      <w:marRight w:val="0"/>
      <w:marTop w:val="0"/>
      <w:marBottom w:val="0"/>
      <w:divBdr>
        <w:top w:val="none" w:sz="0" w:space="0" w:color="auto"/>
        <w:left w:val="none" w:sz="0" w:space="0" w:color="auto"/>
        <w:bottom w:val="none" w:sz="0" w:space="0" w:color="auto"/>
        <w:right w:val="none" w:sz="0" w:space="0" w:color="auto"/>
      </w:divBdr>
      <w:divsChild>
        <w:div w:id="1092975211">
          <w:marLeft w:val="547"/>
          <w:marRight w:val="0"/>
          <w:marTop w:val="0"/>
          <w:marBottom w:val="0"/>
          <w:divBdr>
            <w:top w:val="none" w:sz="0" w:space="0" w:color="auto"/>
            <w:left w:val="none" w:sz="0" w:space="0" w:color="auto"/>
            <w:bottom w:val="none" w:sz="0" w:space="0" w:color="auto"/>
            <w:right w:val="none" w:sz="0" w:space="0" w:color="auto"/>
          </w:divBdr>
        </w:div>
        <w:div w:id="1958372477">
          <w:marLeft w:val="547"/>
          <w:marRight w:val="0"/>
          <w:marTop w:val="0"/>
          <w:marBottom w:val="0"/>
          <w:divBdr>
            <w:top w:val="none" w:sz="0" w:space="0" w:color="auto"/>
            <w:left w:val="none" w:sz="0" w:space="0" w:color="auto"/>
            <w:bottom w:val="none" w:sz="0" w:space="0" w:color="auto"/>
            <w:right w:val="none" w:sz="0" w:space="0" w:color="auto"/>
          </w:divBdr>
        </w:div>
      </w:divsChild>
    </w:div>
    <w:div w:id="802893709">
      <w:bodyDiv w:val="1"/>
      <w:marLeft w:val="0"/>
      <w:marRight w:val="0"/>
      <w:marTop w:val="0"/>
      <w:marBottom w:val="0"/>
      <w:divBdr>
        <w:top w:val="none" w:sz="0" w:space="0" w:color="auto"/>
        <w:left w:val="none" w:sz="0" w:space="0" w:color="auto"/>
        <w:bottom w:val="none" w:sz="0" w:space="0" w:color="auto"/>
        <w:right w:val="none" w:sz="0" w:space="0" w:color="auto"/>
      </w:divBdr>
    </w:div>
    <w:div w:id="834153969">
      <w:bodyDiv w:val="1"/>
      <w:marLeft w:val="0"/>
      <w:marRight w:val="0"/>
      <w:marTop w:val="0"/>
      <w:marBottom w:val="0"/>
      <w:divBdr>
        <w:top w:val="none" w:sz="0" w:space="0" w:color="auto"/>
        <w:left w:val="none" w:sz="0" w:space="0" w:color="auto"/>
        <w:bottom w:val="none" w:sz="0" w:space="0" w:color="auto"/>
        <w:right w:val="none" w:sz="0" w:space="0" w:color="auto"/>
      </w:divBdr>
    </w:div>
    <w:div w:id="851381274">
      <w:bodyDiv w:val="1"/>
      <w:marLeft w:val="0"/>
      <w:marRight w:val="0"/>
      <w:marTop w:val="0"/>
      <w:marBottom w:val="0"/>
      <w:divBdr>
        <w:top w:val="none" w:sz="0" w:space="0" w:color="auto"/>
        <w:left w:val="none" w:sz="0" w:space="0" w:color="auto"/>
        <w:bottom w:val="none" w:sz="0" w:space="0" w:color="auto"/>
        <w:right w:val="none" w:sz="0" w:space="0" w:color="auto"/>
      </w:divBdr>
      <w:divsChild>
        <w:div w:id="387412891">
          <w:marLeft w:val="547"/>
          <w:marRight w:val="0"/>
          <w:marTop w:val="0"/>
          <w:marBottom w:val="0"/>
          <w:divBdr>
            <w:top w:val="none" w:sz="0" w:space="0" w:color="auto"/>
            <w:left w:val="none" w:sz="0" w:space="0" w:color="auto"/>
            <w:bottom w:val="none" w:sz="0" w:space="0" w:color="auto"/>
            <w:right w:val="none" w:sz="0" w:space="0" w:color="auto"/>
          </w:divBdr>
        </w:div>
        <w:div w:id="709837903">
          <w:marLeft w:val="547"/>
          <w:marRight w:val="0"/>
          <w:marTop w:val="0"/>
          <w:marBottom w:val="0"/>
          <w:divBdr>
            <w:top w:val="none" w:sz="0" w:space="0" w:color="auto"/>
            <w:left w:val="none" w:sz="0" w:space="0" w:color="auto"/>
            <w:bottom w:val="none" w:sz="0" w:space="0" w:color="auto"/>
            <w:right w:val="none" w:sz="0" w:space="0" w:color="auto"/>
          </w:divBdr>
        </w:div>
      </w:divsChild>
    </w:div>
    <w:div w:id="995690422">
      <w:bodyDiv w:val="1"/>
      <w:marLeft w:val="0"/>
      <w:marRight w:val="0"/>
      <w:marTop w:val="0"/>
      <w:marBottom w:val="0"/>
      <w:divBdr>
        <w:top w:val="none" w:sz="0" w:space="0" w:color="auto"/>
        <w:left w:val="none" w:sz="0" w:space="0" w:color="auto"/>
        <w:bottom w:val="none" w:sz="0" w:space="0" w:color="auto"/>
        <w:right w:val="none" w:sz="0" w:space="0" w:color="auto"/>
      </w:divBdr>
      <w:divsChild>
        <w:div w:id="24404353">
          <w:marLeft w:val="0"/>
          <w:marRight w:val="0"/>
          <w:marTop w:val="0"/>
          <w:marBottom w:val="0"/>
          <w:divBdr>
            <w:top w:val="single" w:sz="18" w:space="0" w:color="6C9D30"/>
            <w:left w:val="single" w:sz="2" w:space="0" w:color="2E2E2E"/>
            <w:bottom w:val="single" w:sz="2" w:space="0" w:color="2E2E2E"/>
            <w:right w:val="single" w:sz="2" w:space="0" w:color="2E2E2E"/>
          </w:divBdr>
          <w:divsChild>
            <w:div w:id="2130002598">
              <w:marLeft w:val="0"/>
              <w:marRight w:val="0"/>
              <w:marTop w:val="15"/>
              <w:marBottom w:val="0"/>
              <w:divBdr>
                <w:top w:val="none" w:sz="0" w:space="0" w:color="auto"/>
                <w:left w:val="none" w:sz="0" w:space="0" w:color="auto"/>
                <w:bottom w:val="none" w:sz="0" w:space="0" w:color="auto"/>
                <w:right w:val="none" w:sz="0" w:space="0" w:color="auto"/>
              </w:divBdr>
              <w:divsChild>
                <w:div w:id="108707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226133">
      <w:bodyDiv w:val="1"/>
      <w:marLeft w:val="0"/>
      <w:marRight w:val="0"/>
      <w:marTop w:val="0"/>
      <w:marBottom w:val="0"/>
      <w:divBdr>
        <w:top w:val="none" w:sz="0" w:space="0" w:color="auto"/>
        <w:left w:val="none" w:sz="0" w:space="0" w:color="auto"/>
        <w:bottom w:val="none" w:sz="0" w:space="0" w:color="auto"/>
        <w:right w:val="none" w:sz="0" w:space="0" w:color="auto"/>
      </w:divBdr>
      <w:divsChild>
        <w:div w:id="1375614491">
          <w:marLeft w:val="547"/>
          <w:marRight w:val="0"/>
          <w:marTop w:val="0"/>
          <w:marBottom w:val="0"/>
          <w:divBdr>
            <w:top w:val="none" w:sz="0" w:space="0" w:color="auto"/>
            <w:left w:val="none" w:sz="0" w:space="0" w:color="auto"/>
            <w:bottom w:val="none" w:sz="0" w:space="0" w:color="auto"/>
            <w:right w:val="none" w:sz="0" w:space="0" w:color="auto"/>
          </w:divBdr>
        </w:div>
        <w:div w:id="1360278871">
          <w:marLeft w:val="547"/>
          <w:marRight w:val="0"/>
          <w:marTop w:val="0"/>
          <w:marBottom w:val="0"/>
          <w:divBdr>
            <w:top w:val="none" w:sz="0" w:space="0" w:color="auto"/>
            <w:left w:val="none" w:sz="0" w:space="0" w:color="auto"/>
            <w:bottom w:val="none" w:sz="0" w:space="0" w:color="auto"/>
            <w:right w:val="none" w:sz="0" w:space="0" w:color="auto"/>
          </w:divBdr>
        </w:div>
        <w:div w:id="1627540457">
          <w:marLeft w:val="547"/>
          <w:marRight w:val="0"/>
          <w:marTop w:val="0"/>
          <w:marBottom w:val="0"/>
          <w:divBdr>
            <w:top w:val="none" w:sz="0" w:space="0" w:color="auto"/>
            <w:left w:val="none" w:sz="0" w:space="0" w:color="auto"/>
            <w:bottom w:val="none" w:sz="0" w:space="0" w:color="auto"/>
            <w:right w:val="none" w:sz="0" w:space="0" w:color="auto"/>
          </w:divBdr>
        </w:div>
      </w:divsChild>
    </w:div>
    <w:div w:id="1167982619">
      <w:bodyDiv w:val="1"/>
      <w:marLeft w:val="0"/>
      <w:marRight w:val="0"/>
      <w:marTop w:val="0"/>
      <w:marBottom w:val="0"/>
      <w:divBdr>
        <w:top w:val="none" w:sz="0" w:space="0" w:color="auto"/>
        <w:left w:val="none" w:sz="0" w:space="0" w:color="auto"/>
        <w:bottom w:val="none" w:sz="0" w:space="0" w:color="auto"/>
        <w:right w:val="none" w:sz="0" w:space="0" w:color="auto"/>
      </w:divBdr>
    </w:div>
    <w:div w:id="1186677635">
      <w:bodyDiv w:val="1"/>
      <w:marLeft w:val="0"/>
      <w:marRight w:val="0"/>
      <w:marTop w:val="0"/>
      <w:marBottom w:val="0"/>
      <w:divBdr>
        <w:top w:val="none" w:sz="0" w:space="0" w:color="auto"/>
        <w:left w:val="none" w:sz="0" w:space="0" w:color="auto"/>
        <w:bottom w:val="none" w:sz="0" w:space="0" w:color="auto"/>
        <w:right w:val="none" w:sz="0" w:space="0" w:color="auto"/>
      </w:divBdr>
    </w:div>
    <w:div w:id="1348942493">
      <w:bodyDiv w:val="1"/>
      <w:marLeft w:val="0"/>
      <w:marRight w:val="0"/>
      <w:marTop w:val="0"/>
      <w:marBottom w:val="0"/>
      <w:divBdr>
        <w:top w:val="none" w:sz="0" w:space="0" w:color="auto"/>
        <w:left w:val="none" w:sz="0" w:space="0" w:color="auto"/>
        <w:bottom w:val="none" w:sz="0" w:space="0" w:color="auto"/>
        <w:right w:val="none" w:sz="0" w:space="0" w:color="auto"/>
      </w:divBdr>
      <w:divsChild>
        <w:div w:id="153684704">
          <w:marLeft w:val="0"/>
          <w:marRight w:val="0"/>
          <w:marTop w:val="0"/>
          <w:marBottom w:val="0"/>
          <w:divBdr>
            <w:top w:val="single" w:sz="18" w:space="0" w:color="6C9D30"/>
            <w:left w:val="single" w:sz="2" w:space="0" w:color="2E2E2E"/>
            <w:bottom w:val="single" w:sz="2" w:space="0" w:color="2E2E2E"/>
            <w:right w:val="single" w:sz="2" w:space="0" w:color="2E2E2E"/>
          </w:divBdr>
          <w:divsChild>
            <w:div w:id="2062702698">
              <w:marLeft w:val="0"/>
              <w:marRight w:val="0"/>
              <w:marTop w:val="15"/>
              <w:marBottom w:val="0"/>
              <w:divBdr>
                <w:top w:val="none" w:sz="0" w:space="0" w:color="auto"/>
                <w:left w:val="none" w:sz="0" w:space="0" w:color="auto"/>
                <w:bottom w:val="none" w:sz="0" w:space="0" w:color="auto"/>
                <w:right w:val="none" w:sz="0" w:space="0" w:color="auto"/>
              </w:divBdr>
              <w:divsChild>
                <w:div w:id="109801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16521">
      <w:bodyDiv w:val="1"/>
      <w:marLeft w:val="0"/>
      <w:marRight w:val="0"/>
      <w:marTop w:val="0"/>
      <w:marBottom w:val="0"/>
      <w:divBdr>
        <w:top w:val="none" w:sz="0" w:space="0" w:color="auto"/>
        <w:left w:val="none" w:sz="0" w:space="0" w:color="auto"/>
        <w:bottom w:val="none" w:sz="0" w:space="0" w:color="auto"/>
        <w:right w:val="none" w:sz="0" w:space="0" w:color="auto"/>
      </w:divBdr>
    </w:div>
    <w:div w:id="1441415585">
      <w:bodyDiv w:val="1"/>
      <w:marLeft w:val="0"/>
      <w:marRight w:val="0"/>
      <w:marTop w:val="0"/>
      <w:marBottom w:val="0"/>
      <w:divBdr>
        <w:top w:val="none" w:sz="0" w:space="0" w:color="auto"/>
        <w:left w:val="none" w:sz="0" w:space="0" w:color="auto"/>
        <w:bottom w:val="none" w:sz="0" w:space="0" w:color="auto"/>
        <w:right w:val="none" w:sz="0" w:space="0" w:color="auto"/>
      </w:divBdr>
      <w:divsChild>
        <w:div w:id="438649281">
          <w:marLeft w:val="547"/>
          <w:marRight w:val="0"/>
          <w:marTop w:val="0"/>
          <w:marBottom w:val="0"/>
          <w:divBdr>
            <w:top w:val="none" w:sz="0" w:space="0" w:color="auto"/>
            <w:left w:val="none" w:sz="0" w:space="0" w:color="auto"/>
            <w:bottom w:val="none" w:sz="0" w:space="0" w:color="auto"/>
            <w:right w:val="none" w:sz="0" w:space="0" w:color="auto"/>
          </w:divBdr>
        </w:div>
        <w:div w:id="2144423039">
          <w:marLeft w:val="547"/>
          <w:marRight w:val="0"/>
          <w:marTop w:val="0"/>
          <w:marBottom w:val="0"/>
          <w:divBdr>
            <w:top w:val="none" w:sz="0" w:space="0" w:color="auto"/>
            <w:left w:val="none" w:sz="0" w:space="0" w:color="auto"/>
            <w:bottom w:val="none" w:sz="0" w:space="0" w:color="auto"/>
            <w:right w:val="none" w:sz="0" w:space="0" w:color="auto"/>
          </w:divBdr>
        </w:div>
      </w:divsChild>
    </w:div>
    <w:div w:id="1548881806">
      <w:bodyDiv w:val="1"/>
      <w:marLeft w:val="0"/>
      <w:marRight w:val="0"/>
      <w:marTop w:val="0"/>
      <w:marBottom w:val="0"/>
      <w:divBdr>
        <w:top w:val="none" w:sz="0" w:space="0" w:color="auto"/>
        <w:left w:val="none" w:sz="0" w:space="0" w:color="auto"/>
        <w:bottom w:val="none" w:sz="0" w:space="0" w:color="auto"/>
        <w:right w:val="none" w:sz="0" w:space="0" w:color="auto"/>
      </w:divBdr>
      <w:divsChild>
        <w:div w:id="2135706148">
          <w:marLeft w:val="0"/>
          <w:marRight w:val="0"/>
          <w:marTop w:val="0"/>
          <w:marBottom w:val="0"/>
          <w:divBdr>
            <w:top w:val="single" w:sz="18" w:space="0" w:color="6C9D30"/>
            <w:left w:val="single" w:sz="2" w:space="0" w:color="2E2E2E"/>
            <w:bottom w:val="single" w:sz="2" w:space="0" w:color="2E2E2E"/>
            <w:right w:val="single" w:sz="2" w:space="0" w:color="2E2E2E"/>
          </w:divBdr>
          <w:divsChild>
            <w:div w:id="1084760526">
              <w:marLeft w:val="0"/>
              <w:marRight w:val="0"/>
              <w:marTop w:val="15"/>
              <w:marBottom w:val="0"/>
              <w:divBdr>
                <w:top w:val="none" w:sz="0" w:space="0" w:color="auto"/>
                <w:left w:val="none" w:sz="0" w:space="0" w:color="auto"/>
                <w:bottom w:val="none" w:sz="0" w:space="0" w:color="auto"/>
                <w:right w:val="none" w:sz="0" w:space="0" w:color="auto"/>
              </w:divBdr>
              <w:divsChild>
                <w:div w:id="6393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49066">
      <w:bodyDiv w:val="1"/>
      <w:marLeft w:val="0"/>
      <w:marRight w:val="0"/>
      <w:marTop w:val="0"/>
      <w:marBottom w:val="0"/>
      <w:divBdr>
        <w:top w:val="none" w:sz="0" w:space="0" w:color="auto"/>
        <w:left w:val="none" w:sz="0" w:space="0" w:color="auto"/>
        <w:bottom w:val="none" w:sz="0" w:space="0" w:color="auto"/>
        <w:right w:val="none" w:sz="0" w:space="0" w:color="auto"/>
      </w:divBdr>
      <w:divsChild>
        <w:div w:id="802238697">
          <w:marLeft w:val="0"/>
          <w:marRight w:val="0"/>
          <w:marTop w:val="0"/>
          <w:marBottom w:val="0"/>
          <w:divBdr>
            <w:top w:val="single" w:sz="18" w:space="0" w:color="6C9D30"/>
            <w:left w:val="single" w:sz="2" w:space="0" w:color="2E2E2E"/>
            <w:bottom w:val="single" w:sz="2" w:space="0" w:color="2E2E2E"/>
            <w:right w:val="single" w:sz="2" w:space="0" w:color="2E2E2E"/>
          </w:divBdr>
          <w:divsChild>
            <w:div w:id="297807720">
              <w:marLeft w:val="0"/>
              <w:marRight w:val="0"/>
              <w:marTop w:val="15"/>
              <w:marBottom w:val="0"/>
              <w:divBdr>
                <w:top w:val="none" w:sz="0" w:space="0" w:color="auto"/>
                <w:left w:val="none" w:sz="0" w:space="0" w:color="auto"/>
                <w:bottom w:val="none" w:sz="0" w:space="0" w:color="auto"/>
                <w:right w:val="none" w:sz="0" w:space="0" w:color="auto"/>
              </w:divBdr>
              <w:divsChild>
                <w:div w:id="1779064979">
                  <w:marLeft w:val="0"/>
                  <w:marRight w:val="0"/>
                  <w:marTop w:val="0"/>
                  <w:marBottom w:val="0"/>
                  <w:divBdr>
                    <w:top w:val="none" w:sz="0" w:space="0" w:color="auto"/>
                    <w:left w:val="none" w:sz="0" w:space="0" w:color="auto"/>
                    <w:bottom w:val="none" w:sz="0" w:space="0" w:color="auto"/>
                    <w:right w:val="none" w:sz="0" w:space="0" w:color="auto"/>
                  </w:divBdr>
                  <w:divsChild>
                    <w:div w:id="11754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90254">
      <w:bodyDiv w:val="1"/>
      <w:marLeft w:val="0"/>
      <w:marRight w:val="0"/>
      <w:marTop w:val="0"/>
      <w:marBottom w:val="0"/>
      <w:divBdr>
        <w:top w:val="none" w:sz="0" w:space="0" w:color="auto"/>
        <w:left w:val="none" w:sz="0" w:space="0" w:color="auto"/>
        <w:bottom w:val="none" w:sz="0" w:space="0" w:color="auto"/>
        <w:right w:val="none" w:sz="0" w:space="0" w:color="auto"/>
      </w:divBdr>
      <w:divsChild>
        <w:div w:id="494996950">
          <w:marLeft w:val="0"/>
          <w:marRight w:val="0"/>
          <w:marTop w:val="0"/>
          <w:marBottom w:val="0"/>
          <w:divBdr>
            <w:top w:val="single" w:sz="18" w:space="0" w:color="6C9D30"/>
            <w:left w:val="single" w:sz="2" w:space="0" w:color="2E2E2E"/>
            <w:bottom w:val="single" w:sz="2" w:space="0" w:color="2E2E2E"/>
            <w:right w:val="single" w:sz="2" w:space="0" w:color="2E2E2E"/>
          </w:divBdr>
          <w:divsChild>
            <w:div w:id="1313486012">
              <w:marLeft w:val="0"/>
              <w:marRight w:val="0"/>
              <w:marTop w:val="15"/>
              <w:marBottom w:val="0"/>
              <w:divBdr>
                <w:top w:val="none" w:sz="0" w:space="0" w:color="auto"/>
                <w:left w:val="none" w:sz="0" w:space="0" w:color="auto"/>
                <w:bottom w:val="none" w:sz="0" w:space="0" w:color="auto"/>
                <w:right w:val="none" w:sz="0" w:space="0" w:color="auto"/>
              </w:divBdr>
              <w:divsChild>
                <w:div w:id="178187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06432">
      <w:bodyDiv w:val="1"/>
      <w:marLeft w:val="0"/>
      <w:marRight w:val="0"/>
      <w:marTop w:val="0"/>
      <w:marBottom w:val="0"/>
      <w:divBdr>
        <w:top w:val="none" w:sz="0" w:space="0" w:color="auto"/>
        <w:left w:val="none" w:sz="0" w:space="0" w:color="auto"/>
        <w:bottom w:val="none" w:sz="0" w:space="0" w:color="auto"/>
        <w:right w:val="none" w:sz="0" w:space="0" w:color="auto"/>
      </w:divBdr>
    </w:div>
    <w:div w:id="1985961061">
      <w:bodyDiv w:val="1"/>
      <w:marLeft w:val="0"/>
      <w:marRight w:val="0"/>
      <w:marTop w:val="0"/>
      <w:marBottom w:val="0"/>
      <w:divBdr>
        <w:top w:val="none" w:sz="0" w:space="0" w:color="auto"/>
        <w:left w:val="none" w:sz="0" w:space="0" w:color="auto"/>
        <w:bottom w:val="none" w:sz="0" w:space="0" w:color="auto"/>
        <w:right w:val="none" w:sz="0" w:space="0" w:color="auto"/>
      </w:divBdr>
      <w:divsChild>
        <w:div w:id="2033261014">
          <w:marLeft w:val="720"/>
          <w:marRight w:val="0"/>
          <w:marTop w:val="0"/>
          <w:marBottom w:val="0"/>
          <w:divBdr>
            <w:top w:val="none" w:sz="0" w:space="0" w:color="auto"/>
            <w:left w:val="none" w:sz="0" w:space="0" w:color="auto"/>
            <w:bottom w:val="none" w:sz="0" w:space="0" w:color="auto"/>
            <w:right w:val="none" w:sz="0" w:space="0" w:color="auto"/>
          </w:divBdr>
        </w:div>
        <w:div w:id="992564069">
          <w:marLeft w:val="720"/>
          <w:marRight w:val="0"/>
          <w:marTop w:val="0"/>
          <w:marBottom w:val="0"/>
          <w:divBdr>
            <w:top w:val="none" w:sz="0" w:space="0" w:color="auto"/>
            <w:left w:val="none" w:sz="0" w:space="0" w:color="auto"/>
            <w:bottom w:val="none" w:sz="0" w:space="0" w:color="auto"/>
            <w:right w:val="none" w:sz="0" w:space="0" w:color="auto"/>
          </w:divBdr>
        </w:div>
        <w:div w:id="150543933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ierre-alain.golay@rdls.nestle.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5B0AE-0869-4F78-92C1-00F9868C9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5390</Words>
  <Characters>29649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Nestlé</Company>
  <LinksUpToDate>false</LinksUpToDate>
  <CharactersWithSpaces>34970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RDCraftBr</dc:creator>
  <cp:lastModifiedBy>Sarkar,Anwesha,VEVEY, IAT</cp:lastModifiedBy>
  <cp:revision>3</cp:revision>
  <cp:lastPrinted>2013-12-04T14:14:00Z</cp:lastPrinted>
  <dcterms:created xsi:type="dcterms:W3CDTF">2014-07-22T18:22:00Z</dcterms:created>
  <dcterms:modified xsi:type="dcterms:W3CDTF">2014-07-22T18:23:00Z</dcterms:modified>
</cp:coreProperties>
</file>