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64" w:rsidRPr="002F3D87" w:rsidRDefault="00B00DC8" w:rsidP="00151064">
      <w:pPr>
        <w:rPr>
          <w:b/>
          <w:szCs w:val="24"/>
        </w:rPr>
      </w:pPr>
      <w:r>
        <w:rPr>
          <w:b/>
          <w:szCs w:val="24"/>
        </w:rPr>
        <w:t>Appendix C</w:t>
      </w:r>
      <w:r w:rsidR="00151064" w:rsidRPr="002F3D87">
        <w:rPr>
          <w:b/>
          <w:szCs w:val="24"/>
        </w:rPr>
        <w:t>: Holmstrup (2001) Simulations</w:t>
      </w:r>
    </w:p>
    <w:p w:rsidR="00151064" w:rsidRPr="002F3D87" w:rsidRDefault="00151064" w:rsidP="00151064">
      <w:pPr>
        <w:rPr>
          <w:szCs w:val="24"/>
        </w:rPr>
      </w:pPr>
    </w:p>
    <w:p w:rsidR="00151064" w:rsidRPr="002F3D87" w:rsidRDefault="00151064" w:rsidP="00151064">
      <w:pPr>
        <w:rPr>
          <w:szCs w:val="24"/>
        </w:rPr>
      </w:pPr>
      <w:r w:rsidRPr="002F3D87">
        <w:rPr>
          <w:szCs w:val="24"/>
        </w:rPr>
        <w:t>Holmstrup (2001) found the growth rate of juveniles and reproduction rate of adults to decline with decreasing soil water potentials. To model the effects of soil water potential (</w:t>
      </w:r>
      <w:r w:rsidRPr="002F3D87">
        <w:rPr>
          <w:i/>
          <w:szCs w:val="24"/>
        </w:rPr>
        <w:t>ψ</w:t>
      </w:r>
      <w:r w:rsidRPr="002F3D87">
        <w:rPr>
          <w:szCs w:val="24"/>
        </w:rPr>
        <w:t xml:space="preserve">) on individual energy budgets we assume that </w:t>
      </w:r>
      <w:r w:rsidRPr="002F3D87">
        <w:rPr>
          <w:i/>
          <w:szCs w:val="24"/>
        </w:rPr>
        <w:t>ψ</w:t>
      </w:r>
      <w:r w:rsidRPr="002F3D87">
        <w:rPr>
          <w:szCs w:val="24"/>
        </w:rPr>
        <w:t xml:space="preserve"> reduces the ingestion rate parameter (IG</w:t>
      </w:r>
      <w:r w:rsidRPr="002F3D87">
        <w:rPr>
          <w:szCs w:val="24"/>
          <w:vertAlign w:val="subscript"/>
        </w:rPr>
        <w:t>max</w:t>
      </w:r>
      <w:r w:rsidRPr="002F3D87">
        <w:rPr>
          <w:szCs w:val="24"/>
        </w:rPr>
        <w:t>). By reducing individual ingestion rates according to a dose-response curve, growth and reproduction are reduced as less energy (than under optimal soil water conditions) is available for metabolic expenditure. Because of the energy allocation priorities shown in Fig. 1 growth is more reduced than reproduction, a result</w:t>
      </w:r>
      <w:r>
        <w:rPr>
          <w:szCs w:val="24"/>
        </w:rPr>
        <w:t xml:space="preserve"> observed by Holmstrup (2001). We assume t</w:t>
      </w:r>
      <w:r w:rsidRPr="002F3D87">
        <w:rPr>
          <w:szCs w:val="24"/>
        </w:rPr>
        <w:t>he dose-response relationship</w:t>
      </w:r>
      <w:r>
        <w:rPr>
          <w:szCs w:val="24"/>
        </w:rPr>
        <w:t xml:space="preserve"> to</w:t>
      </w:r>
      <w:r w:rsidRPr="002F3D87">
        <w:rPr>
          <w:szCs w:val="24"/>
        </w:rPr>
        <w:t xml:space="preserve"> take the form: </w:t>
      </w:r>
    </w:p>
    <w:p w:rsidR="00151064" w:rsidRPr="002F3D87" w:rsidRDefault="00151064" w:rsidP="00151064">
      <w:pPr>
        <w:rPr>
          <w:szCs w:val="24"/>
        </w:rPr>
      </w:pPr>
    </w:p>
    <w:p w:rsidR="00151064" w:rsidRPr="002F3D87" w:rsidRDefault="002A30E8" w:rsidP="00151064">
      <w:pPr>
        <w:spacing w:line="480" w:lineRule="auto"/>
        <w:jc w:val="right"/>
        <w:rPr>
          <w:szCs w:val="24"/>
        </w:rPr>
      </w:pPr>
      <w:r w:rsidRPr="004A07A7">
        <w:rPr>
          <w:i/>
          <w:szCs w:val="24"/>
        </w:rPr>
        <w:t>IG</w:t>
      </w:r>
      <w:r w:rsidRPr="004A07A7">
        <w:rPr>
          <w:i/>
          <w:szCs w:val="24"/>
          <w:vertAlign w:val="subscript"/>
        </w:rPr>
        <w:t>max</w:t>
      </w:r>
      <w:r w:rsidRPr="004A07A7">
        <w:rPr>
          <w:szCs w:val="24"/>
          <w:vertAlign w:val="subscript"/>
        </w:rPr>
        <w:t xml:space="preserve"> </w:t>
      </w:r>
      <w:r w:rsidRPr="004A07A7">
        <w:rPr>
          <w:szCs w:val="24"/>
        </w:rPr>
        <w:t>(</w:t>
      </w:r>
      <w:r w:rsidRPr="004A07A7">
        <w:rPr>
          <w:i/>
          <w:szCs w:val="24"/>
        </w:rPr>
        <w:t>ψ</w:t>
      </w:r>
      <w:r w:rsidRPr="004A07A7">
        <w:rPr>
          <w:szCs w:val="24"/>
        </w:rPr>
        <w:t>) = (</w:t>
      </w:r>
      <w:r w:rsidRPr="004A07A7">
        <w:rPr>
          <w:i/>
          <w:szCs w:val="24"/>
        </w:rPr>
        <w:t>IG</w:t>
      </w:r>
      <w:r w:rsidRPr="004A07A7">
        <w:rPr>
          <w:i/>
          <w:szCs w:val="24"/>
          <w:vertAlign w:val="subscript"/>
        </w:rPr>
        <w:t>max</w:t>
      </w:r>
      <w:r w:rsidRPr="004A07A7">
        <w:rPr>
          <w:szCs w:val="24"/>
        </w:rPr>
        <w:t xml:space="preserve">) </w:t>
      </w:r>
      <w:r w:rsidRPr="004A07A7">
        <w:rPr>
          <w:i/>
          <w:szCs w:val="24"/>
        </w:rPr>
        <w:t>e</w:t>
      </w:r>
      <w:r w:rsidRPr="004A07A7">
        <w:rPr>
          <w:i/>
          <w:szCs w:val="24"/>
          <w:vertAlign w:val="superscript"/>
        </w:rPr>
        <w:t>kψ</w:t>
      </w:r>
      <w:r w:rsidRPr="00CA394C">
        <w:rPr>
          <w:rFonts w:eastAsia="Times New Roman"/>
          <w:szCs w:val="24"/>
        </w:rPr>
        <w:tab/>
      </w:r>
      <w:r w:rsidRPr="00CA394C">
        <w:rPr>
          <w:rFonts w:eastAsia="Times New Roman"/>
          <w:szCs w:val="24"/>
        </w:rPr>
        <w:tab/>
      </w:r>
      <w:r w:rsidR="00151064" w:rsidRPr="0018144D">
        <w:rPr>
          <w:rFonts w:eastAsia="Times New Roman"/>
          <w:szCs w:val="24"/>
        </w:rPr>
        <w:tab/>
        <w:t xml:space="preserve">           </w:t>
      </w:r>
      <w:r w:rsidR="00B00DC8">
        <w:rPr>
          <w:rFonts w:eastAsia="Times New Roman"/>
          <w:szCs w:val="24"/>
        </w:rPr>
        <w:t xml:space="preserve"> </w:t>
      </w:r>
      <w:r w:rsidR="00B00DC8">
        <w:rPr>
          <w:rFonts w:eastAsia="Times New Roman"/>
          <w:szCs w:val="24"/>
        </w:rPr>
        <w:tab/>
        <w:t>Eq. C</w:t>
      </w:r>
      <w:r w:rsidR="00A655B5">
        <w:rPr>
          <w:rFonts w:eastAsia="Times New Roman"/>
          <w:szCs w:val="24"/>
        </w:rPr>
        <w:t>.</w:t>
      </w:r>
      <w:r w:rsidR="00B00DC8">
        <w:rPr>
          <w:rFonts w:eastAsia="Times New Roman"/>
          <w:szCs w:val="24"/>
        </w:rPr>
        <w:t>1</w:t>
      </w:r>
    </w:p>
    <w:p w:rsidR="00151064" w:rsidRPr="002F3D87" w:rsidRDefault="00151064" w:rsidP="00151064">
      <w:pPr>
        <w:spacing w:line="240" w:lineRule="auto"/>
        <w:rPr>
          <w:szCs w:val="24"/>
        </w:rPr>
      </w:pPr>
      <w:r w:rsidRPr="002F3D87">
        <w:rPr>
          <w:szCs w:val="24"/>
        </w:rPr>
        <w:t xml:space="preserve">where </w:t>
      </w:r>
      <w:r w:rsidR="0018144D">
        <w:rPr>
          <w:i/>
          <w:szCs w:val="24"/>
        </w:rPr>
        <w:t>IG</w:t>
      </w:r>
      <w:r w:rsidR="0018144D">
        <w:rPr>
          <w:i/>
          <w:szCs w:val="24"/>
          <w:vertAlign w:val="subscript"/>
        </w:rPr>
        <w:t>max</w:t>
      </w:r>
      <w:r w:rsidRPr="002F3D87">
        <w:rPr>
          <w:szCs w:val="24"/>
        </w:rPr>
        <w:t xml:space="preserve"> is the parameter value at a soil water potential of -2 kPa (Table 1) and </w:t>
      </w:r>
      <w:r w:rsidRPr="002F3D87">
        <w:rPr>
          <w:i/>
          <w:szCs w:val="24"/>
        </w:rPr>
        <w:t xml:space="preserve">k </w:t>
      </w:r>
      <w:r w:rsidRPr="002F3D87">
        <w:rPr>
          <w:szCs w:val="24"/>
        </w:rPr>
        <w:t>takes the value 0.040</w:t>
      </w:r>
      <w:r>
        <w:rPr>
          <w:szCs w:val="24"/>
        </w:rPr>
        <w:t xml:space="preserve">, which provided the least sum of square fit to growth and reproduction data. </w:t>
      </w:r>
      <w:r w:rsidRPr="002F3D87">
        <w:rPr>
          <w:szCs w:val="24"/>
        </w:rPr>
        <w:t>The resulting relationship between the parameter value of IG</w:t>
      </w:r>
      <w:r w:rsidRPr="002F3D87">
        <w:rPr>
          <w:szCs w:val="24"/>
          <w:vertAlign w:val="subscript"/>
        </w:rPr>
        <w:t>max</w:t>
      </w:r>
      <w:r w:rsidRPr="002F3D87">
        <w:rPr>
          <w:szCs w:val="24"/>
        </w:rPr>
        <w:t xml:space="preserve"> at different soil water potentials is presented in Fig </w:t>
      </w:r>
      <w:r w:rsidR="00B00DC8">
        <w:rPr>
          <w:szCs w:val="24"/>
        </w:rPr>
        <w:t>C</w:t>
      </w:r>
      <w:r w:rsidR="00A655B5">
        <w:rPr>
          <w:szCs w:val="24"/>
        </w:rPr>
        <w:t>.</w:t>
      </w:r>
      <w:r w:rsidR="00B00DC8">
        <w:rPr>
          <w:szCs w:val="24"/>
        </w:rPr>
        <w:t>1</w:t>
      </w:r>
      <w:r w:rsidRPr="002F3D87">
        <w:rPr>
          <w:szCs w:val="24"/>
        </w:rPr>
        <w:t xml:space="preserve">. </w:t>
      </w:r>
    </w:p>
    <w:p w:rsidR="00151064" w:rsidRPr="002F3D87" w:rsidRDefault="00151064" w:rsidP="00151064">
      <w:pPr>
        <w:spacing w:line="240" w:lineRule="auto"/>
        <w:rPr>
          <w:szCs w:val="24"/>
        </w:rPr>
      </w:pPr>
    </w:p>
    <w:p w:rsidR="00151064" w:rsidRPr="002F3D87" w:rsidRDefault="000F3E00" w:rsidP="00151064">
      <w:pPr>
        <w:spacing w:line="240" w:lineRule="auto"/>
        <w:jc w:val="center"/>
        <w:rPr>
          <w:szCs w:val="24"/>
        </w:rPr>
      </w:pPr>
      <w:r>
        <w:rPr>
          <w:noProof/>
          <w:szCs w:val="24"/>
          <w:lang w:eastAsia="en-GB"/>
        </w:rPr>
        <w:drawing>
          <wp:inline distT="0" distB="0" distL="0" distR="0">
            <wp:extent cx="3457575" cy="22955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295525"/>
                    </a:xfrm>
                    <a:prstGeom prst="rect">
                      <a:avLst/>
                    </a:prstGeom>
                    <a:noFill/>
                    <a:ln>
                      <a:noFill/>
                    </a:ln>
                  </pic:spPr>
                </pic:pic>
              </a:graphicData>
            </a:graphic>
          </wp:inline>
        </w:drawing>
      </w:r>
    </w:p>
    <w:p w:rsidR="00151064" w:rsidRPr="002F3D87" w:rsidRDefault="00151064" w:rsidP="00151064">
      <w:pPr>
        <w:spacing w:line="240" w:lineRule="auto"/>
        <w:rPr>
          <w:sz w:val="20"/>
          <w:szCs w:val="24"/>
        </w:rPr>
      </w:pPr>
      <w:r w:rsidRPr="002F3D87">
        <w:rPr>
          <w:b/>
          <w:sz w:val="20"/>
          <w:szCs w:val="24"/>
        </w:rPr>
        <w:t xml:space="preserve">Fig </w:t>
      </w:r>
      <w:r w:rsidR="00B00DC8">
        <w:rPr>
          <w:b/>
          <w:sz w:val="20"/>
          <w:szCs w:val="24"/>
        </w:rPr>
        <w:t>C</w:t>
      </w:r>
      <w:r w:rsidR="00A655B5">
        <w:rPr>
          <w:b/>
          <w:sz w:val="20"/>
          <w:szCs w:val="24"/>
        </w:rPr>
        <w:t>.</w:t>
      </w:r>
      <w:r w:rsidR="00B00DC8">
        <w:rPr>
          <w:b/>
          <w:sz w:val="20"/>
          <w:szCs w:val="24"/>
        </w:rPr>
        <w:t>1</w:t>
      </w:r>
      <w:r w:rsidRPr="002F3D87">
        <w:rPr>
          <w:b/>
          <w:sz w:val="20"/>
          <w:szCs w:val="24"/>
        </w:rPr>
        <w:t>.</w:t>
      </w:r>
      <w:r w:rsidRPr="002F3D87">
        <w:rPr>
          <w:sz w:val="20"/>
          <w:szCs w:val="24"/>
        </w:rPr>
        <w:t xml:space="preserve"> Modelled dose-response relationship between the ingestion parameter IG</w:t>
      </w:r>
      <w:r w:rsidRPr="002F3D87">
        <w:rPr>
          <w:sz w:val="20"/>
          <w:szCs w:val="24"/>
          <w:vertAlign w:val="subscript"/>
        </w:rPr>
        <w:t>max</w:t>
      </w:r>
      <w:r w:rsidRPr="002F3D87">
        <w:rPr>
          <w:sz w:val="20"/>
          <w:szCs w:val="24"/>
        </w:rPr>
        <w:t xml:space="preserve"> and soil water potential. The curve is specified by equation </w:t>
      </w:r>
      <w:r>
        <w:rPr>
          <w:sz w:val="20"/>
          <w:szCs w:val="24"/>
        </w:rPr>
        <w:t>S3</w:t>
      </w:r>
      <w:r w:rsidRPr="002F3D87">
        <w:rPr>
          <w:sz w:val="20"/>
          <w:szCs w:val="24"/>
        </w:rPr>
        <w:t>.</w:t>
      </w:r>
    </w:p>
    <w:p w:rsidR="00151064" w:rsidRPr="002F3D87" w:rsidRDefault="00151064" w:rsidP="00151064">
      <w:pPr>
        <w:spacing w:line="240" w:lineRule="auto"/>
        <w:rPr>
          <w:szCs w:val="24"/>
        </w:rPr>
      </w:pPr>
    </w:p>
    <w:p w:rsidR="00151064" w:rsidRPr="002F3D87" w:rsidRDefault="00151064" w:rsidP="00151064">
      <w:pPr>
        <w:spacing w:line="240" w:lineRule="auto"/>
        <w:rPr>
          <w:szCs w:val="24"/>
        </w:rPr>
      </w:pPr>
      <w:r w:rsidRPr="002F3D87">
        <w:rPr>
          <w:szCs w:val="24"/>
        </w:rPr>
        <w:t xml:space="preserve">To evaluate how well the dose-response in Fig </w:t>
      </w:r>
      <w:r w:rsidR="00B00DC8">
        <w:rPr>
          <w:szCs w:val="24"/>
        </w:rPr>
        <w:t>C</w:t>
      </w:r>
      <w:r w:rsidR="00A655B5">
        <w:rPr>
          <w:szCs w:val="24"/>
        </w:rPr>
        <w:t>.</w:t>
      </w:r>
      <w:r w:rsidR="00B00DC8">
        <w:rPr>
          <w:szCs w:val="24"/>
        </w:rPr>
        <w:t>1</w:t>
      </w:r>
      <w:r w:rsidRPr="002F3D87">
        <w:rPr>
          <w:szCs w:val="24"/>
        </w:rPr>
        <w:t xml:space="preserve"> explains the relationship between soil water potential and individual physiology, we set up the model to replicate the Foulum soil growth and reproduction experiments of Holmstrup (2001). The experimental conditions are outlined in Table </w:t>
      </w:r>
      <w:r w:rsidR="00B00DC8">
        <w:rPr>
          <w:szCs w:val="24"/>
        </w:rPr>
        <w:t>C</w:t>
      </w:r>
      <w:r w:rsidR="00A655B5">
        <w:rPr>
          <w:szCs w:val="24"/>
        </w:rPr>
        <w:t>.</w:t>
      </w:r>
      <w:r w:rsidR="00B00DC8">
        <w:rPr>
          <w:szCs w:val="24"/>
        </w:rPr>
        <w:t>1</w:t>
      </w:r>
      <w:r w:rsidRPr="002F3D87">
        <w:rPr>
          <w:szCs w:val="24"/>
        </w:rPr>
        <w:t xml:space="preserve">. </w:t>
      </w:r>
    </w:p>
    <w:p w:rsidR="00151064" w:rsidRPr="002F3D87" w:rsidRDefault="00151064" w:rsidP="00151064">
      <w:pPr>
        <w:rPr>
          <w:szCs w:val="24"/>
        </w:rPr>
      </w:pPr>
    </w:p>
    <w:tbl>
      <w:tblPr>
        <w:tblW w:w="0" w:type="auto"/>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4"/>
        <w:gridCol w:w="1184"/>
        <w:gridCol w:w="1736"/>
        <w:gridCol w:w="1370"/>
        <w:gridCol w:w="676"/>
        <w:gridCol w:w="716"/>
        <w:gridCol w:w="1293"/>
        <w:gridCol w:w="623"/>
      </w:tblGrid>
      <w:tr w:rsidR="00151064" w:rsidRPr="0018144D" w:rsidTr="0018144D">
        <w:tc>
          <w:tcPr>
            <w:tcW w:w="8992" w:type="dxa"/>
            <w:gridSpan w:val="8"/>
            <w:tcBorders>
              <w:bottom w:val="single" w:sz="4" w:space="0" w:color="auto"/>
            </w:tcBorders>
            <w:shd w:val="clear" w:color="auto" w:fill="auto"/>
          </w:tcPr>
          <w:p w:rsidR="00151064" w:rsidRPr="0018144D" w:rsidRDefault="00B00DC8" w:rsidP="0018144D">
            <w:pPr>
              <w:spacing w:line="240" w:lineRule="auto"/>
              <w:rPr>
                <w:sz w:val="20"/>
                <w:szCs w:val="24"/>
              </w:rPr>
            </w:pPr>
            <w:r>
              <w:rPr>
                <w:b/>
                <w:sz w:val="20"/>
                <w:szCs w:val="24"/>
              </w:rPr>
              <w:t>Table C</w:t>
            </w:r>
            <w:r w:rsidR="00A655B5">
              <w:rPr>
                <w:b/>
                <w:sz w:val="20"/>
                <w:szCs w:val="24"/>
              </w:rPr>
              <w:t>.</w:t>
            </w:r>
            <w:r>
              <w:rPr>
                <w:b/>
                <w:sz w:val="20"/>
                <w:szCs w:val="24"/>
              </w:rPr>
              <w:t>1</w:t>
            </w:r>
            <w:r w:rsidR="00151064" w:rsidRPr="0018144D">
              <w:rPr>
                <w:b/>
                <w:sz w:val="20"/>
                <w:szCs w:val="24"/>
              </w:rPr>
              <w:t>.</w:t>
            </w:r>
            <w:r w:rsidR="00151064" w:rsidRPr="0018144D">
              <w:rPr>
                <w:sz w:val="20"/>
                <w:szCs w:val="24"/>
              </w:rPr>
              <w:t xml:space="preserve"> Experimental conditions used in model simulations for comparison with growth and reproduction data from Holmstrup (2001).</w:t>
            </w:r>
          </w:p>
        </w:tc>
      </w:tr>
      <w:tr w:rsidR="00151064" w:rsidRPr="0018144D" w:rsidTr="0018144D">
        <w:tc>
          <w:tcPr>
            <w:tcW w:w="1305" w:type="dxa"/>
            <w:tcBorders>
              <w:bottom w:val="single" w:sz="4" w:space="0" w:color="auto"/>
              <w:right w:val="nil"/>
            </w:tcBorders>
            <w:shd w:val="clear" w:color="auto" w:fill="auto"/>
          </w:tcPr>
          <w:p w:rsidR="00151064" w:rsidRPr="0018144D" w:rsidRDefault="00151064" w:rsidP="0018144D">
            <w:pPr>
              <w:spacing w:line="240" w:lineRule="auto"/>
              <w:rPr>
                <w:sz w:val="20"/>
                <w:szCs w:val="24"/>
              </w:rPr>
            </w:pPr>
          </w:p>
        </w:tc>
        <w:tc>
          <w:tcPr>
            <w:tcW w:w="1131" w:type="dxa"/>
            <w:tcBorders>
              <w:left w:val="nil"/>
              <w:bottom w:val="single" w:sz="4" w:space="0" w:color="auto"/>
              <w:right w:val="nil"/>
            </w:tcBorders>
            <w:shd w:val="clear" w:color="auto" w:fill="auto"/>
          </w:tcPr>
          <w:p w:rsidR="00151064" w:rsidRPr="0018144D" w:rsidRDefault="00151064" w:rsidP="0018144D">
            <w:pPr>
              <w:spacing w:line="240" w:lineRule="auto"/>
              <w:jc w:val="center"/>
              <w:rPr>
                <w:b/>
                <w:sz w:val="20"/>
                <w:szCs w:val="24"/>
              </w:rPr>
            </w:pPr>
            <w:r w:rsidRPr="0018144D">
              <w:rPr>
                <w:b/>
                <w:sz w:val="20"/>
                <w:szCs w:val="24"/>
              </w:rPr>
              <w:t>Number of Individuals</w:t>
            </w:r>
          </w:p>
        </w:tc>
        <w:tc>
          <w:tcPr>
            <w:tcW w:w="1817" w:type="dxa"/>
            <w:tcBorders>
              <w:left w:val="nil"/>
              <w:bottom w:val="single" w:sz="4" w:space="0" w:color="auto"/>
              <w:right w:val="nil"/>
            </w:tcBorders>
            <w:shd w:val="clear" w:color="auto" w:fill="auto"/>
          </w:tcPr>
          <w:p w:rsidR="00151064" w:rsidRPr="0018144D" w:rsidRDefault="00151064" w:rsidP="0018144D">
            <w:pPr>
              <w:spacing w:line="240" w:lineRule="auto"/>
              <w:jc w:val="center"/>
              <w:rPr>
                <w:b/>
                <w:sz w:val="20"/>
                <w:szCs w:val="24"/>
              </w:rPr>
            </w:pPr>
            <w:r w:rsidRPr="0018144D">
              <w:rPr>
                <w:b/>
                <w:sz w:val="20"/>
                <w:szCs w:val="24"/>
              </w:rPr>
              <w:t>Initial Mean Individual Mass (g)</w:t>
            </w:r>
          </w:p>
        </w:tc>
        <w:tc>
          <w:tcPr>
            <w:tcW w:w="1417" w:type="dxa"/>
            <w:tcBorders>
              <w:left w:val="nil"/>
              <w:bottom w:val="single" w:sz="4" w:space="0" w:color="auto"/>
              <w:right w:val="nil"/>
            </w:tcBorders>
            <w:shd w:val="clear" w:color="auto" w:fill="auto"/>
          </w:tcPr>
          <w:p w:rsidR="00151064" w:rsidRPr="0018144D" w:rsidRDefault="00151064" w:rsidP="0018144D">
            <w:pPr>
              <w:spacing w:line="240" w:lineRule="auto"/>
              <w:jc w:val="center"/>
              <w:rPr>
                <w:b/>
                <w:sz w:val="20"/>
                <w:szCs w:val="24"/>
              </w:rPr>
            </w:pPr>
            <w:r w:rsidRPr="0018144D">
              <w:rPr>
                <w:b/>
                <w:sz w:val="20"/>
                <w:szCs w:val="24"/>
              </w:rPr>
              <w:t>Food Resource</w:t>
            </w:r>
          </w:p>
        </w:tc>
        <w:tc>
          <w:tcPr>
            <w:tcW w:w="677" w:type="dxa"/>
            <w:tcBorders>
              <w:left w:val="nil"/>
              <w:bottom w:val="single" w:sz="4" w:space="0" w:color="auto"/>
              <w:right w:val="nil"/>
            </w:tcBorders>
            <w:shd w:val="clear" w:color="auto" w:fill="auto"/>
          </w:tcPr>
          <w:p w:rsidR="00151064" w:rsidRPr="0018144D" w:rsidRDefault="00151064" w:rsidP="0018144D">
            <w:pPr>
              <w:spacing w:line="240" w:lineRule="auto"/>
              <w:jc w:val="center"/>
              <w:rPr>
                <w:b/>
                <w:sz w:val="20"/>
                <w:szCs w:val="24"/>
              </w:rPr>
            </w:pPr>
            <w:r w:rsidRPr="0018144D">
              <w:rPr>
                <w:b/>
                <w:sz w:val="20"/>
                <w:szCs w:val="24"/>
              </w:rPr>
              <w:t>SOM (%)</w:t>
            </w:r>
          </w:p>
        </w:tc>
        <w:tc>
          <w:tcPr>
            <w:tcW w:w="683" w:type="dxa"/>
            <w:tcBorders>
              <w:left w:val="nil"/>
              <w:bottom w:val="single" w:sz="4" w:space="0" w:color="auto"/>
              <w:right w:val="nil"/>
            </w:tcBorders>
            <w:shd w:val="clear" w:color="auto" w:fill="auto"/>
          </w:tcPr>
          <w:p w:rsidR="00151064" w:rsidRPr="0018144D" w:rsidRDefault="00151064" w:rsidP="0018144D">
            <w:pPr>
              <w:spacing w:line="240" w:lineRule="auto"/>
              <w:jc w:val="center"/>
              <w:rPr>
                <w:b/>
                <w:sz w:val="20"/>
                <w:szCs w:val="24"/>
              </w:rPr>
            </w:pPr>
            <w:r w:rsidRPr="0018144D">
              <w:rPr>
                <w:b/>
                <w:sz w:val="20"/>
                <w:szCs w:val="24"/>
              </w:rPr>
              <w:t>E</w:t>
            </w:r>
            <w:r w:rsidRPr="0018144D">
              <w:rPr>
                <w:b/>
                <w:sz w:val="20"/>
                <w:szCs w:val="24"/>
                <w:vertAlign w:val="subscript"/>
              </w:rPr>
              <w:t>X</w:t>
            </w:r>
            <w:r w:rsidRPr="0018144D">
              <w:rPr>
                <w:b/>
                <w:sz w:val="20"/>
                <w:szCs w:val="24"/>
              </w:rPr>
              <w:t xml:space="preserve"> (kJ/g)</w:t>
            </w:r>
          </w:p>
        </w:tc>
        <w:tc>
          <w:tcPr>
            <w:tcW w:w="1333" w:type="dxa"/>
            <w:tcBorders>
              <w:left w:val="nil"/>
              <w:bottom w:val="single" w:sz="4" w:space="0" w:color="auto"/>
              <w:right w:val="nil"/>
            </w:tcBorders>
            <w:shd w:val="clear" w:color="auto" w:fill="auto"/>
          </w:tcPr>
          <w:p w:rsidR="00151064" w:rsidRPr="0018144D" w:rsidRDefault="00151064" w:rsidP="0018144D">
            <w:pPr>
              <w:spacing w:line="240" w:lineRule="auto"/>
              <w:jc w:val="center"/>
              <w:rPr>
                <w:b/>
                <w:sz w:val="20"/>
                <w:szCs w:val="24"/>
              </w:rPr>
            </w:pPr>
            <w:r w:rsidRPr="0018144D">
              <w:rPr>
                <w:b/>
                <w:sz w:val="20"/>
                <w:szCs w:val="24"/>
              </w:rPr>
              <w:t>Food Quantity (g)</w:t>
            </w:r>
          </w:p>
        </w:tc>
        <w:tc>
          <w:tcPr>
            <w:tcW w:w="629" w:type="dxa"/>
            <w:tcBorders>
              <w:left w:val="nil"/>
              <w:bottom w:val="single" w:sz="4" w:space="0" w:color="auto"/>
            </w:tcBorders>
            <w:shd w:val="clear" w:color="auto" w:fill="auto"/>
          </w:tcPr>
          <w:p w:rsidR="00151064" w:rsidRPr="0018144D" w:rsidRDefault="00151064" w:rsidP="0018144D">
            <w:pPr>
              <w:spacing w:line="240" w:lineRule="auto"/>
              <w:jc w:val="center"/>
              <w:rPr>
                <w:b/>
                <w:sz w:val="20"/>
                <w:szCs w:val="24"/>
              </w:rPr>
            </w:pPr>
            <w:r w:rsidRPr="0018144D">
              <w:rPr>
                <w:b/>
                <w:sz w:val="20"/>
                <w:szCs w:val="24"/>
              </w:rPr>
              <w:t>T (°C)</w:t>
            </w:r>
          </w:p>
        </w:tc>
      </w:tr>
      <w:tr w:rsidR="00151064" w:rsidRPr="0018144D" w:rsidTr="0018144D">
        <w:tc>
          <w:tcPr>
            <w:tcW w:w="1305" w:type="dxa"/>
            <w:tcBorders>
              <w:bottom w:val="nil"/>
              <w:right w:val="nil"/>
            </w:tcBorders>
            <w:shd w:val="clear" w:color="auto" w:fill="auto"/>
          </w:tcPr>
          <w:p w:rsidR="00151064" w:rsidRPr="0018144D" w:rsidRDefault="00151064" w:rsidP="0018144D">
            <w:pPr>
              <w:spacing w:line="240" w:lineRule="auto"/>
              <w:rPr>
                <w:b/>
                <w:sz w:val="20"/>
                <w:szCs w:val="24"/>
              </w:rPr>
            </w:pPr>
            <w:r w:rsidRPr="0018144D">
              <w:rPr>
                <w:b/>
                <w:sz w:val="20"/>
                <w:szCs w:val="24"/>
              </w:rPr>
              <w:t>Growth</w:t>
            </w:r>
          </w:p>
        </w:tc>
        <w:tc>
          <w:tcPr>
            <w:tcW w:w="1131" w:type="dxa"/>
            <w:tcBorders>
              <w:left w:val="nil"/>
              <w:bottom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1 Juvenile</w:t>
            </w:r>
          </w:p>
        </w:tc>
        <w:tc>
          <w:tcPr>
            <w:tcW w:w="1817" w:type="dxa"/>
            <w:tcBorders>
              <w:left w:val="nil"/>
              <w:bottom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0.0475 g</w:t>
            </w:r>
          </w:p>
        </w:tc>
        <w:tc>
          <w:tcPr>
            <w:tcW w:w="1417" w:type="dxa"/>
            <w:tcBorders>
              <w:left w:val="nil"/>
              <w:bottom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60 g soil + 1 g manure</w:t>
            </w:r>
          </w:p>
        </w:tc>
        <w:tc>
          <w:tcPr>
            <w:tcW w:w="677" w:type="dxa"/>
            <w:tcBorders>
              <w:left w:val="nil"/>
              <w:bottom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4</w:t>
            </w:r>
          </w:p>
        </w:tc>
        <w:tc>
          <w:tcPr>
            <w:tcW w:w="683" w:type="dxa"/>
            <w:tcBorders>
              <w:left w:val="nil"/>
              <w:bottom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1.09</w:t>
            </w:r>
          </w:p>
        </w:tc>
        <w:tc>
          <w:tcPr>
            <w:tcW w:w="1333" w:type="dxa"/>
            <w:tcBorders>
              <w:left w:val="nil"/>
              <w:bottom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61</w:t>
            </w:r>
          </w:p>
        </w:tc>
        <w:tc>
          <w:tcPr>
            <w:tcW w:w="629" w:type="dxa"/>
            <w:tcBorders>
              <w:left w:val="nil"/>
              <w:bottom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15</w:t>
            </w:r>
          </w:p>
        </w:tc>
      </w:tr>
      <w:tr w:rsidR="00151064" w:rsidRPr="0018144D" w:rsidTr="0018144D">
        <w:tc>
          <w:tcPr>
            <w:tcW w:w="1305" w:type="dxa"/>
            <w:tcBorders>
              <w:top w:val="nil"/>
              <w:right w:val="nil"/>
            </w:tcBorders>
            <w:shd w:val="clear" w:color="auto" w:fill="auto"/>
          </w:tcPr>
          <w:p w:rsidR="00151064" w:rsidRPr="0018144D" w:rsidRDefault="00151064" w:rsidP="0018144D">
            <w:pPr>
              <w:spacing w:line="240" w:lineRule="auto"/>
              <w:rPr>
                <w:b/>
                <w:sz w:val="20"/>
                <w:szCs w:val="24"/>
              </w:rPr>
            </w:pPr>
            <w:r w:rsidRPr="0018144D">
              <w:rPr>
                <w:b/>
                <w:sz w:val="20"/>
                <w:szCs w:val="24"/>
              </w:rPr>
              <w:t>Reproduction</w:t>
            </w:r>
          </w:p>
        </w:tc>
        <w:tc>
          <w:tcPr>
            <w:tcW w:w="1131" w:type="dxa"/>
            <w:tcBorders>
              <w:top w:val="nil"/>
              <w:left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4 Adults</w:t>
            </w:r>
          </w:p>
        </w:tc>
        <w:tc>
          <w:tcPr>
            <w:tcW w:w="1817" w:type="dxa"/>
            <w:tcBorders>
              <w:top w:val="nil"/>
              <w:left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1.55 g</w:t>
            </w:r>
          </w:p>
        </w:tc>
        <w:tc>
          <w:tcPr>
            <w:tcW w:w="1417" w:type="dxa"/>
            <w:tcBorders>
              <w:top w:val="nil"/>
              <w:left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1 kg soil + 5 g manure</w:t>
            </w:r>
          </w:p>
        </w:tc>
        <w:tc>
          <w:tcPr>
            <w:tcW w:w="677" w:type="dxa"/>
            <w:tcBorders>
              <w:top w:val="nil"/>
              <w:left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4</w:t>
            </w:r>
          </w:p>
        </w:tc>
        <w:tc>
          <w:tcPr>
            <w:tcW w:w="683" w:type="dxa"/>
            <w:tcBorders>
              <w:top w:val="nil"/>
              <w:left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0.85</w:t>
            </w:r>
          </w:p>
        </w:tc>
        <w:tc>
          <w:tcPr>
            <w:tcW w:w="1333" w:type="dxa"/>
            <w:tcBorders>
              <w:top w:val="nil"/>
              <w:left w:val="nil"/>
              <w:righ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1005</w:t>
            </w:r>
          </w:p>
        </w:tc>
        <w:tc>
          <w:tcPr>
            <w:tcW w:w="629" w:type="dxa"/>
            <w:tcBorders>
              <w:top w:val="nil"/>
              <w:left w:val="nil"/>
            </w:tcBorders>
            <w:shd w:val="clear" w:color="auto" w:fill="auto"/>
          </w:tcPr>
          <w:p w:rsidR="00151064" w:rsidRPr="0018144D" w:rsidRDefault="00151064" w:rsidP="0018144D">
            <w:pPr>
              <w:spacing w:line="240" w:lineRule="auto"/>
              <w:jc w:val="center"/>
              <w:rPr>
                <w:sz w:val="20"/>
                <w:szCs w:val="24"/>
              </w:rPr>
            </w:pPr>
            <w:r w:rsidRPr="0018144D">
              <w:rPr>
                <w:sz w:val="20"/>
                <w:szCs w:val="24"/>
              </w:rPr>
              <w:t>15</w:t>
            </w:r>
          </w:p>
        </w:tc>
      </w:tr>
    </w:tbl>
    <w:p w:rsidR="00151064" w:rsidRPr="002F3D87" w:rsidRDefault="00151064" w:rsidP="00151064">
      <w:pPr>
        <w:rPr>
          <w:szCs w:val="24"/>
        </w:rPr>
      </w:pPr>
    </w:p>
    <w:p w:rsidR="0018144D" w:rsidRDefault="0018144D" w:rsidP="00151064">
      <w:pPr>
        <w:rPr>
          <w:szCs w:val="24"/>
        </w:rPr>
      </w:pPr>
    </w:p>
    <w:p w:rsidR="00151064" w:rsidRPr="002F3D87" w:rsidRDefault="00151064" w:rsidP="00151064">
      <w:pPr>
        <w:rPr>
          <w:szCs w:val="24"/>
        </w:rPr>
      </w:pPr>
      <w:r w:rsidRPr="002F3D87">
        <w:rPr>
          <w:szCs w:val="24"/>
        </w:rPr>
        <w:lastRenderedPageBreak/>
        <w:t xml:space="preserve">Model simulation results when </w:t>
      </w:r>
      <w:r w:rsidRPr="002A30E8">
        <w:rPr>
          <w:i/>
          <w:szCs w:val="24"/>
        </w:rPr>
        <w:t>IG</w:t>
      </w:r>
      <w:r w:rsidRPr="002A30E8">
        <w:rPr>
          <w:i/>
          <w:szCs w:val="24"/>
          <w:vertAlign w:val="subscript"/>
        </w:rPr>
        <w:t>max</w:t>
      </w:r>
      <w:r w:rsidRPr="002F3D87">
        <w:rPr>
          <w:szCs w:val="24"/>
          <w:vertAlign w:val="subscript"/>
        </w:rPr>
        <w:t xml:space="preserve"> </w:t>
      </w:r>
      <w:r w:rsidRPr="002F3D87">
        <w:rPr>
          <w:szCs w:val="24"/>
        </w:rPr>
        <w:t xml:space="preserve">follows the relationship in Eq. </w:t>
      </w:r>
      <w:r w:rsidR="00B00DC8">
        <w:rPr>
          <w:szCs w:val="24"/>
        </w:rPr>
        <w:t>C</w:t>
      </w:r>
      <w:r w:rsidR="00A655B5">
        <w:rPr>
          <w:szCs w:val="24"/>
        </w:rPr>
        <w:t>.</w:t>
      </w:r>
      <w:r w:rsidR="00B00DC8">
        <w:rPr>
          <w:szCs w:val="24"/>
        </w:rPr>
        <w:t>1</w:t>
      </w:r>
      <w:r w:rsidRPr="002F3D87">
        <w:rPr>
          <w:szCs w:val="24"/>
        </w:rPr>
        <w:t xml:space="preserve"> are compared to data from Holmstrup (2001) in Fig </w:t>
      </w:r>
      <w:r w:rsidR="00B00DC8">
        <w:rPr>
          <w:szCs w:val="24"/>
        </w:rPr>
        <w:t>C</w:t>
      </w:r>
      <w:r w:rsidR="00A655B5">
        <w:rPr>
          <w:szCs w:val="24"/>
        </w:rPr>
        <w:t>.</w:t>
      </w:r>
      <w:r w:rsidR="00B00DC8">
        <w:rPr>
          <w:szCs w:val="24"/>
        </w:rPr>
        <w:t>2</w:t>
      </w:r>
      <w:r w:rsidRPr="002F3D87">
        <w:rPr>
          <w:szCs w:val="24"/>
        </w:rPr>
        <w:t xml:space="preserve">. Juvenile biomass and adult cocoon production rates were observed after 28 days exposure to different soil water potentials. Good model fits to the data support our assumptions on how soil water potential alters individual energy budgets.  </w:t>
      </w:r>
    </w:p>
    <w:p w:rsidR="00151064" w:rsidRPr="002F3D87" w:rsidRDefault="00151064" w:rsidP="00151064">
      <w:pPr>
        <w:rPr>
          <w:szCs w:val="24"/>
        </w:rPr>
      </w:pPr>
    </w:p>
    <w:p w:rsidR="00151064" w:rsidRPr="002F3D87" w:rsidRDefault="000F3E00" w:rsidP="00151064">
      <w:pPr>
        <w:jc w:val="center"/>
        <w:rPr>
          <w:szCs w:val="24"/>
        </w:rPr>
      </w:pPr>
      <w:r>
        <w:rPr>
          <w:noProof/>
          <w:szCs w:val="24"/>
          <w:lang w:eastAsia="en-GB"/>
        </w:rPr>
        <w:drawing>
          <wp:inline distT="0" distB="0" distL="0" distR="0">
            <wp:extent cx="3219450" cy="37528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3752850"/>
                    </a:xfrm>
                    <a:prstGeom prst="rect">
                      <a:avLst/>
                    </a:prstGeom>
                    <a:noFill/>
                    <a:ln>
                      <a:noFill/>
                    </a:ln>
                  </pic:spPr>
                </pic:pic>
              </a:graphicData>
            </a:graphic>
          </wp:inline>
        </w:drawing>
      </w:r>
    </w:p>
    <w:p w:rsidR="00151064" w:rsidRPr="000C0E3D" w:rsidRDefault="00151064" w:rsidP="00151064">
      <w:pPr>
        <w:rPr>
          <w:sz w:val="20"/>
          <w:szCs w:val="24"/>
        </w:rPr>
      </w:pPr>
      <w:r w:rsidRPr="002F3D87">
        <w:rPr>
          <w:b/>
          <w:sz w:val="20"/>
          <w:szCs w:val="24"/>
        </w:rPr>
        <w:t xml:space="preserve">Fig </w:t>
      </w:r>
      <w:r w:rsidR="00B00DC8">
        <w:rPr>
          <w:b/>
          <w:sz w:val="20"/>
          <w:szCs w:val="24"/>
        </w:rPr>
        <w:t>C</w:t>
      </w:r>
      <w:r w:rsidR="00A655B5">
        <w:rPr>
          <w:b/>
          <w:sz w:val="20"/>
          <w:szCs w:val="24"/>
        </w:rPr>
        <w:t>.</w:t>
      </w:r>
      <w:r w:rsidR="00B00DC8">
        <w:rPr>
          <w:b/>
          <w:sz w:val="20"/>
          <w:szCs w:val="24"/>
        </w:rPr>
        <w:t>2</w:t>
      </w:r>
      <w:r w:rsidRPr="002F3D87">
        <w:rPr>
          <w:b/>
          <w:sz w:val="20"/>
          <w:szCs w:val="24"/>
        </w:rPr>
        <w:t xml:space="preserve">. </w:t>
      </w:r>
      <w:r w:rsidRPr="002F3D87">
        <w:rPr>
          <w:sz w:val="20"/>
          <w:szCs w:val="24"/>
        </w:rPr>
        <w:t>The effects of soil water potential on juvenile biomass and adult cocoon production. Data (points) from Holmstrup (2001) together with the result of our model simulations (lines).</w:t>
      </w:r>
      <w:r w:rsidRPr="002F3D87">
        <w:rPr>
          <w:b/>
          <w:sz w:val="20"/>
          <w:szCs w:val="24"/>
        </w:rPr>
        <w:t xml:space="preserve"> </w:t>
      </w:r>
    </w:p>
    <w:p w:rsidR="00851489" w:rsidRDefault="00851489"/>
    <w:p w:rsidR="0018144D" w:rsidRDefault="0018144D">
      <w:pPr>
        <w:rPr>
          <w:b/>
        </w:rPr>
      </w:pPr>
      <w:r>
        <w:rPr>
          <w:b/>
        </w:rPr>
        <w:t>References</w:t>
      </w:r>
    </w:p>
    <w:p w:rsidR="00A655B5" w:rsidRPr="00C84BBA" w:rsidRDefault="00A655B5" w:rsidP="00A655B5">
      <w:pPr>
        <w:pStyle w:val="List"/>
        <w:rPr>
          <w:lang w:val="en-US"/>
        </w:rPr>
      </w:pPr>
      <w:r>
        <w:rPr>
          <w:rFonts w:eastAsia="Calibri"/>
        </w:rPr>
        <w:t>Holmstrup, M., 2001.</w:t>
      </w:r>
      <w:r w:rsidRPr="00C84BBA">
        <w:rPr>
          <w:rFonts w:eastAsia="Calibri"/>
        </w:rPr>
        <w:t xml:space="preserve"> Sensitivity of life history parameters in the earthworm </w:t>
      </w:r>
      <w:r w:rsidRPr="00C84BBA">
        <w:rPr>
          <w:rFonts w:eastAsia="Calibri"/>
          <w:i/>
        </w:rPr>
        <w:t>Aporrectodea caliginosa</w:t>
      </w:r>
      <w:r w:rsidRPr="00C84BBA">
        <w:rPr>
          <w:rFonts w:eastAsia="Calibri"/>
        </w:rPr>
        <w:t xml:space="preserve"> to small changes in soil</w:t>
      </w:r>
      <w:r w:rsidR="00232DFF">
        <w:rPr>
          <w:rFonts w:eastAsia="Calibri"/>
        </w:rPr>
        <w:t xml:space="preserve"> water potential. Soil Biol. Biochem.</w:t>
      </w:r>
      <w:bookmarkStart w:id="0" w:name="_GoBack"/>
      <w:bookmarkEnd w:id="0"/>
      <w:r w:rsidRPr="00C84BBA">
        <w:rPr>
          <w:rFonts w:eastAsia="Calibri"/>
        </w:rPr>
        <w:t xml:space="preserve"> 33, 1217-1223. </w:t>
      </w:r>
    </w:p>
    <w:p w:rsidR="0018144D" w:rsidRPr="0018144D" w:rsidRDefault="0018144D">
      <w:pPr>
        <w:rPr>
          <w:b/>
        </w:rPr>
      </w:pPr>
    </w:p>
    <w:sectPr w:rsidR="0018144D" w:rsidRPr="0018144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6C" w:rsidRDefault="0008576C" w:rsidP="0018144D">
      <w:pPr>
        <w:spacing w:line="240" w:lineRule="auto"/>
      </w:pPr>
      <w:r>
        <w:separator/>
      </w:r>
    </w:p>
  </w:endnote>
  <w:endnote w:type="continuationSeparator" w:id="0">
    <w:p w:rsidR="0008576C" w:rsidRDefault="0008576C" w:rsidP="00181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D" w:rsidRDefault="0018144D">
    <w:pPr>
      <w:pStyle w:val="Footer"/>
      <w:jc w:val="right"/>
    </w:pPr>
    <w:r>
      <w:fldChar w:fldCharType="begin"/>
    </w:r>
    <w:r>
      <w:instrText xml:space="preserve"> PAGE   \* MERGEFORMAT </w:instrText>
    </w:r>
    <w:r>
      <w:fldChar w:fldCharType="separate"/>
    </w:r>
    <w:r w:rsidR="0008576C">
      <w:rPr>
        <w:noProof/>
      </w:rPr>
      <w:t>1</w:t>
    </w:r>
    <w:r>
      <w:rPr>
        <w:noProof/>
      </w:rPr>
      <w:fldChar w:fldCharType="end"/>
    </w:r>
  </w:p>
  <w:p w:rsidR="0018144D" w:rsidRDefault="00181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6C" w:rsidRDefault="0008576C" w:rsidP="0018144D">
      <w:pPr>
        <w:spacing w:line="240" w:lineRule="auto"/>
      </w:pPr>
      <w:r>
        <w:separator/>
      </w:r>
    </w:p>
  </w:footnote>
  <w:footnote w:type="continuationSeparator" w:id="0">
    <w:p w:rsidR="0008576C" w:rsidRDefault="0008576C" w:rsidP="001814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44D" w:rsidRPr="002F3D87" w:rsidRDefault="0018144D" w:rsidP="0018144D">
    <w:pPr>
      <w:pStyle w:val="Header"/>
      <w:rPr>
        <w:sz w:val="20"/>
      </w:rPr>
    </w:pPr>
    <w:r w:rsidRPr="002F3D87">
      <w:rPr>
        <w:sz w:val="20"/>
      </w:rPr>
      <w:t xml:space="preserve">Johnston, A.S.A., Holmstrup, M., Hodson, M.E., Thorbek, P., Alvarez, T., Sibly, R.M., Earthworm distribution and abundance predicted by a process-based model. </w:t>
    </w:r>
  </w:p>
  <w:p w:rsidR="0018144D" w:rsidRDefault="00181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64"/>
    <w:rsid w:val="0008576C"/>
    <w:rsid w:val="000F3E00"/>
    <w:rsid w:val="00151064"/>
    <w:rsid w:val="0018144D"/>
    <w:rsid w:val="00232DFF"/>
    <w:rsid w:val="002A30E8"/>
    <w:rsid w:val="00587832"/>
    <w:rsid w:val="00592BE2"/>
    <w:rsid w:val="00641E23"/>
    <w:rsid w:val="00851489"/>
    <w:rsid w:val="00A655B5"/>
    <w:rsid w:val="00B00DC8"/>
    <w:rsid w:val="00B54D24"/>
    <w:rsid w:val="00F3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64"/>
    <w:pPr>
      <w:spacing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8144D"/>
    <w:pPr>
      <w:spacing w:line="240" w:lineRule="auto"/>
      <w:ind w:left="283" w:hanging="283"/>
    </w:pPr>
    <w:rPr>
      <w:rFonts w:eastAsia="Times New Roman"/>
      <w:szCs w:val="24"/>
    </w:rPr>
  </w:style>
  <w:style w:type="paragraph" w:styleId="Header">
    <w:name w:val="header"/>
    <w:basedOn w:val="Normal"/>
    <w:link w:val="HeaderChar"/>
    <w:uiPriority w:val="99"/>
    <w:unhideWhenUsed/>
    <w:rsid w:val="0018144D"/>
    <w:pPr>
      <w:tabs>
        <w:tab w:val="center" w:pos="4513"/>
        <w:tab w:val="right" w:pos="9026"/>
      </w:tabs>
      <w:spacing w:line="240" w:lineRule="auto"/>
    </w:pPr>
  </w:style>
  <w:style w:type="character" w:customStyle="1" w:styleId="HeaderChar">
    <w:name w:val="Header Char"/>
    <w:link w:val="Header"/>
    <w:uiPriority w:val="99"/>
    <w:rsid w:val="0018144D"/>
    <w:rPr>
      <w:rFonts w:ascii="Times New Roman" w:hAnsi="Times New Roman"/>
      <w:sz w:val="24"/>
    </w:rPr>
  </w:style>
  <w:style w:type="paragraph" w:styleId="Footer">
    <w:name w:val="footer"/>
    <w:basedOn w:val="Normal"/>
    <w:link w:val="FooterChar"/>
    <w:uiPriority w:val="99"/>
    <w:unhideWhenUsed/>
    <w:rsid w:val="0018144D"/>
    <w:pPr>
      <w:tabs>
        <w:tab w:val="center" w:pos="4513"/>
        <w:tab w:val="right" w:pos="9026"/>
      </w:tabs>
      <w:spacing w:line="240" w:lineRule="auto"/>
    </w:pPr>
  </w:style>
  <w:style w:type="character" w:customStyle="1" w:styleId="FooterChar">
    <w:name w:val="Footer Char"/>
    <w:link w:val="Footer"/>
    <w:uiPriority w:val="99"/>
    <w:rsid w:val="0018144D"/>
    <w:rPr>
      <w:rFonts w:ascii="Times New Roman" w:hAnsi="Times New Roman"/>
      <w:sz w:val="24"/>
    </w:rPr>
  </w:style>
  <w:style w:type="paragraph" w:styleId="BalloonText">
    <w:name w:val="Balloon Text"/>
    <w:basedOn w:val="Normal"/>
    <w:link w:val="BalloonTextChar"/>
    <w:uiPriority w:val="99"/>
    <w:semiHidden/>
    <w:unhideWhenUsed/>
    <w:rsid w:val="00A65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64"/>
    <w:pPr>
      <w:spacing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18144D"/>
    <w:pPr>
      <w:spacing w:line="240" w:lineRule="auto"/>
      <w:ind w:left="283" w:hanging="283"/>
    </w:pPr>
    <w:rPr>
      <w:rFonts w:eastAsia="Times New Roman"/>
      <w:szCs w:val="24"/>
    </w:rPr>
  </w:style>
  <w:style w:type="paragraph" w:styleId="Header">
    <w:name w:val="header"/>
    <w:basedOn w:val="Normal"/>
    <w:link w:val="HeaderChar"/>
    <w:uiPriority w:val="99"/>
    <w:unhideWhenUsed/>
    <w:rsid w:val="0018144D"/>
    <w:pPr>
      <w:tabs>
        <w:tab w:val="center" w:pos="4513"/>
        <w:tab w:val="right" w:pos="9026"/>
      </w:tabs>
      <w:spacing w:line="240" w:lineRule="auto"/>
    </w:pPr>
  </w:style>
  <w:style w:type="character" w:customStyle="1" w:styleId="HeaderChar">
    <w:name w:val="Header Char"/>
    <w:link w:val="Header"/>
    <w:uiPriority w:val="99"/>
    <w:rsid w:val="0018144D"/>
    <w:rPr>
      <w:rFonts w:ascii="Times New Roman" w:hAnsi="Times New Roman"/>
      <w:sz w:val="24"/>
    </w:rPr>
  </w:style>
  <w:style w:type="paragraph" w:styleId="Footer">
    <w:name w:val="footer"/>
    <w:basedOn w:val="Normal"/>
    <w:link w:val="FooterChar"/>
    <w:uiPriority w:val="99"/>
    <w:unhideWhenUsed/>
    <w:rsid w:val="0018144D"/>
    <w:pPr>
      <w:tabs>
        <w:tab w:val="center" w:pos="4513"/>
        <w:tab w:val="right" w:pos="9026"/>
      </w:tabs>
      <w:spacing w:line="240" w:lineRule="auto"/>
    </w:pPr>
  </w:style>
  <w:style w:type="character" w:customStyle="1" w:styleId="FooterChar">
    <w:name w:val="Footer Char"/>
    <w:link w:val="Footer"/>
    <w:uiPriority w:val="99"/>
    <w:rsid w:val="0018144D"/>
    <w:rPr>
      <w:rFonts w:ascii="Times New Roman" w:hAnsi="Times New Roman"/>
      <w:sz w:val="24"/>
    </w:rPr>
  </w:style>
  <w:style w:type="paragraph" w:styleId="BalloonText">
    <w:name w:val="Balloon Text"/>
    <w:basedOn w:val="Normal"/>
    <w:link w:val="BalloonTextChar"/>
    <w:uiPriority w:val="99"/>
    <w:semiHidden/>
    <w:unhideWhenUsed/>
    <w:rsid w:val="00A65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2327</Characters>
  <Application>Microsoft Office Word</Application>
  <DocSecurity>0</DocSecurity>
  <Lines>43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Sophie Alexandra Johnston</dc:creator>
  <cp:lastModifiedBy>Alice Sophie Alexandra Johnston</cp:lastModifiedBy>
  <cp:revision>3</cp:revision>
  <dcterms:created xsi:type="dcterms:W3CDTF">2014-02-24T17:44:00Z</dcterms:created>
  <dcterms:modified xsi:type="dcterms:W3CDTF">2014-03-25T16:56:00Z</dcterms:modified>
</cp:coreProperties>
</file>