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F15" w:rsidRPr="0063103D" w:rsidRDefault="00C95D64" w:rsidP="0022463D">
      <w:pPr>
        <w:spacing w:line="240" w:lineRule="auto"/>
        <w:rPr>
          <w:b/>
          <w:szCs w:val="24"/>
        </w:rPr>
      </w:pPr>
      <w:r>
        <w:rPr>
          <w:b/>
          <w:szCs w:val="24"/>
        </w:rPr>
        <w:t xml:space="preserve">Appendix </w:t>
      </w:r>
      <w:r w:rsidR="00310B11">
        <w:rPr>
          <w:b/>
          <w:szCs w:val="24"/>
        </w:rPr>
        <w:t>A</w:t>
      </w:r>
      <w:r w:rsidR="00326F15" w:rsidRPr="0063103D">
        <w:rPr>
          <w:b/>
          <w:szCs w:val="24"/>
        </w:rPr>
        <w:t>: ODD Protocol</w:t>
      </w:r>
    </w:p>
    <w:p w:rsidR="00326F15" w:rsidRDefault="00326F15" w:rsidP="0022463D">
      <w:pPr>
        <w:spacing w:line="240" w:lineRule="auto"/>
        <w:rPr>
          <w:szCs w:val="24"/>
        </w:rPr>
      </w:pPr>
    </w:p>
    <w:p w:rsidR="00326F15" w:rsidRPr="0063103D" w:rsidRDefault="00326F15" w:rsidP="0022463D">
      <w:pPr>
        <w:spacing w:line="240" w:lineRule="auto"/>
        <w:rPr>
          <w:szCs w:val="24"/>
        </w:rPr>
      </w:pPr>
      <w:r w:rsidRPr="0063103D">
        <w:rPr>
          <w:szCs w:val="24"/>
        </w:rPr>
        <w:t>The model description follows the ODD (Overview, Design concepts, and De</w:t>
      </w:r>
      <w:r>
        <w:rPr>
          <w:szCs w:val="24"/>
        </w:rPr>
        <w:t>tails) protocol for describing I</w:t>
      </w:r>
      <w:r w:rsidR="00C95D64">
        <w:rPr>
          <w:szCs w:val="24"/>
        </w:rPr>
        <w:t>BMs (Grimm et al.</w:t>
      </w:r>
      <w:r w:rsidR="00310E5C">
        <w:rPr>
          <w:szCs w:val="24"/>
        </w:rPr>
        <w:t>,</w:t>
      </w:r>
      <w:r w:rsidRPr="0063103D">
        <w:rPr>
          <w:szCs w:val="24"/>
        </w:rPr>
        <w:t xml:space="preserve"> 2010). </w:t>
      </w:r>
    </w:p>
    <w:p w:rsidR="00326F15" w:rsidRPr="0063103D" w:rsidRDefault="00326F15" w:rsidP="0022463D">
      <w:pPr>
        <w:spacing w:line="240" w:lineRule="auto"/>
        <w:rPr>
          <w:szCs w:val="24"/>
        </w:rPr>
      </w:pPr>
    </w:p>
    <w:p w:rsidR="00326F15" w:rsidRPr="0063103D" w:rsidRDefault="00326F15" w:rsidP="0022463D">
      <w:pPr>
        <w:spacing w:line="240" w:lineRule="auto"/>
        <w:rPr>
          <w:i/>
          <w:szCs w:val="24"/>
        </w:rPr>
      </w:pPr>
      <w:r w:rsidRPr="0063103D">
        <w:rPr>
          <w:i/>
          <w:szCs w:val="24"/>
        </w:rPr>
        <w:t>Purpose</w:t>
      </w:r>
    </w:p>
    <w:p w:rsidR="00326F15" w:rsidRPr="0063103D" w:rsidRDefault="00326F15" w:rsidP="0022463D">
      <w:pPr>
        <w:spacing w:line="240" w:lineRule="auto"/>
        <w:rPr>
          <w:szCs w:val="24"/>
        </w:rPr>
      </w:pPr>
      <w:r w:rsidRPr="0063103D">
        <w:rPr>
          <w:szCs w:val="24"/>
        </w:rPr>
        <w:t xml:space="preserve">The purpose of the model is to simulate </w:t>
      </w:r>
      <w:r w:rsidRPr="0063103D">
        <w:rPr>
          <w:i/>
          <w:szCs w:val="24"/>
        </w:rPr>
        <w:t>Aporrectodea caliginosa</w:t>
      </w:r>
      <w:r w:rsidRPr="0063103D">
        <w:rPr>
          <w:szCs w:val="24"/>
        </w:rPr>
        <w:t xml:space="preserve"> population dynamics under varying environmental conditions representative of those encountered in the field. As food density is rarely limiting for this species we investigate how food quality alters individual life cycle processes in the laboratory and population level endpoints in the field. Soil water conditions are also essential for realistically predicting the exposure of populations to environmental change in the soil profile. </w:t>
      </w:r>
    </w:p>
    <w:p w:rsidR="00326F15" w:rsidRPr="0063103D" w:rsidRDefault="00326F15" w:rsidP="0022463D">
      <w:pPr>
        <w:autoSpaceDE w:val="0"/>
        <w:autoSpaceDN w:val="0"/>
        <w:adjustRightInd w:val="0"/>
        <w:spacing w:line="240" w:lineRule="auto"/>
        <w:rPr>
          <w:i/>
          <w:szCs w:val="24"/>
          <w:lang w:eastAsia="en-GB"/>
        </w:rPr>
      </w:pPr>
    </w:p>
    <w:p w:rsidR="00326F15" w:rsidRPr="0063103D" w:rsidRDefault="00326F15" w:rsidP="0022463D">
      <w:pPr>
        <w:autoSpaceDE w:val="0"/>
        <w:autoSpaceDN w:val="0"/>
        <w:adjustRightInd w:val="0"/>
        <w:spacing w:line="240" w:lineRule="auto"/>
        <w:rPr>
          <w:i/>
          <w:szCs w:val="24"/>
          <w:lang w:eastAsia="en-GB"/>
        </w:rPr>
      </w:pPr>
      <w:r w:rsidRPr="0063103D">
        <w:rPr>
          <w:i/>
          <w:szCs w:val="24"/>
          <w:lang w:eastAsia="en-GB"/>
        </w:rPr>
        <w:t>Entities, state variables and scales</w:t>
      </w:r>
    </w:p>
    <w:p w:rsidR="00326F15" w:rsidRPr="0063103D" w:rsidRDefault="00326F15" w:rsidP="0022463D">
      <w:pPr>
        <w:spacing w:line="240" w:lineRule="auto"/>
        <w:rPr>
          <w:szCs w:val="24"/>
        </w:rPr>
      </w:pPr>
      <w:r>
        <w:rPr>
          <w:szCs w:val="24"/>
        </w:rPr>
        <w:t>This I</w:t>
      </w:r>
      <w:r w:rsidRPr="0063103D">
        <w:rPr>
          <w:szCs w:val="24"/>
        </w:rPr>
        <w:t xml:space="preserve">BM comprises a number of individual </w:t>
      </w:r>
      <w:r w:rsidRPr="0063103D">
        <w:rPr>
          <w:i/>
          <w:szCs w:val="24"/>
        </w:rPr>
        <w:t xml:space="preserve">A. caliginosa </w:t>
      </w:r>
      <w:r w:rsidRPr="0063103D">
        <w:rPr>
          <w:szCs w:val="24"/>
        </w:rPr>
        <w:t>and a model landscape consisting of two-dimensional 0.01 m</w:t>
      </w:r>
      <w:r w:rsidRPr="0063103D">
        <w:rPr>
          <w:szCs w:val="24"/>
          <w:vertAlign w:val="superscript"/>
        </w:rPr>
        <w:t>2</w:t>
      </w:r>
      <w:r w:rsidRPr="0063103D">
        <w:rPr>
          <w:szCs w:val="24"/>
        </w:rPr>
        <w:t xml:space="preserve"> patches, representing a vertical soil profile. Individuals are characterized by life cycle stage (cocoon, juvenile or adult), mass and energy reserves, and landscape patches by food density, food quality, soil temperature, soil water content. </w:t>
      </w:r>
      <w:r w:rsidRPr="0063103D">
        <w:rPr>
          <w:szCs w:val="24"/>
          <w:lang w:eastAsia="en-GB"/>
        </w:rPr>
        <w:t>The model proceeds in discrete daily time-steps</w:t>
      </w:r>
      <w:r w:rsidRPr="0063103D">
        <w:rPr>
          <w:szCs w:val="24"/>
        </w:rPr>
        <w:t>. Metabolic calculations are in units of energy per unit time (kJ/day).</w:t>
      </w:r>
    </w:p>
    <w:p w:rsidR="00326F15" w:rsidRPr="0063103D" w:rsidRDefault="00326F15" w:rsidP="0022463D">
      <w:pPr>
        <w:spacing w:line="240" w:lineRule="auto"/>
        <w:rPr>
          <w:szCs w:val="24"/>
        </w:rPr>
      </w:pPr>
    </w:p>
    <w:p w:rsidR="00326F15" w:rsidRPr="0063103D" w:rsidRDefault="00C95D64" w:rsidP="0022463D">
      <w:pPr>
        <w:spacing w:line="240" w:lineRule="auto"/>
        <w:jc w:val="center"/>
      </w:pPr>
      <w:r>
        <w:rPr>
          <w:noProof/>
          <w:lang w:eastAsia="en-GB"/>
        </w:rPr>
        <w:drawing>
          <wp:inline distT="0" distB="0" distL="0" distR="0" wp14:anchorId="4D85F371" wp14:editId="26D91117">
            <wp:extent cx="4180114" cy="1002000"/>
            <wp:effectExtent l="0" t="0" r="0" b="825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3465" cy="1002803"/>
                    </a:xfrm>
                    <a:prstGeom prst="rect">
                      <a:avLst/>
                    </a:prstGeom>
                    <a:noFill/>
                    <a:ln>
                      <a:noFill/>
                    </a:ln>
                  </pic:spPr>
                </pic:pic>
              </a:graphicData>
            </a:graphic>
          </wp:inline>
        </w:drawing>
      </w:r>
    </w:p>
    <w:p w:rsidR="00C95D64" w:rsidRPr="004A07A7" w:rsidRDefault="00C95D64" w:rsidP="0022463D">
      <w:pPr>
        <w:spacing w:line="240" w:lineRule="auto"/>
        <w:rPr>
          <w:sz w:val="20"/>
          <w:szCs w:val="20"/>
        </w:rPr>
      </w:pPr>
      <w:r w:rsidRPr="004A07A7">
        <w:rPr>
          <w:b/>
          <w:bCs/>
          <w:sz w:val="20"/>
          <w:szCs w:val="20"/>
        </w:rPr>
        <w:t xml:space="preserve">Fig. </w:t>
      </w:r>
      <w:r>
        <w:rPr>
          <w:b/>
          <w:bCs/>
          <w:sz w:val="20"/>
          <w:szCs w:val="20"/>
        </w:rPr>
        <w:t>A</w:t>
      </w:r>
      <w:r w:rsidR="00C84BBA">
        <w:rPr>
          <w:b/>
          <w:bCs/>
          <w:sz w:val="20"/>
          <w:szCs w:val="20"/>
        </w:rPr>
        <w:t>.</w:t>
      </w:r>
      <w:r w:rsidRPr="004A07A7">
        <w:rPr>
          <w:b/>
          <w:bCs/>
          <w:sz w:val="20"/>
          <w:szCs w:val="20"/>
        </w:rPr>
        <w:t>1.</w:t>
      </w:r>
      <w:r w:rsidRPr="004A07A7">
        <w:rPr>
          <w:bCs/>
          <w:sz w:val="20"/>
          <w:szCs w:val="20"/>
        </w:rPr>
        <w:t xml:space="preserve"> </w:t>
      </w:r>
      <w:r w:rsidRPr="004A07A7">
        <w:rPr>
          <w:sz w:val="20"/>
          <w:szCs w:val="20"/>
        </w:rPr>
        <w:t xml:space="preserve">Structure of the energy budget model for adults, with the thickness of solid arrows indicating priorities for allocation of energy obtained from food. Reproduction has priority over growth in sexually mature individuals. Energy remaining after allocation enters the energy reserves. Equations show maximum daily allocation rates which depend on mass, </w:t>
      </w:r>
      <w:r w:rsidRPr="00A06305">
        <w:rPr>
          <w:i/>
          <w:sz w:val="20"/>
          <w:szCs w:val="20"/>
        </w:rPr>
        <w:t xml:space="preserve">M </w:t>
      </w:r>
      <w:r w:rsidRPr="004A07A7">
        <w:rPr>
          <w:sz w:val="20"/>
          <w:szCs w:val="20"/>
        </w:rPr>
        <w:t xml:space="preserve">in grams, temperature, </w:t>
      </w:r>
      <w:r w:rsidRPr="00A06305">
        <w:rPr>
          <w:i/>
          <w:sz w:val="20"/>
          <w:szCs w:val="20"/>
        </w:rPr>
        <w:t>T</w:t>
      </w:r>
      <w:r w:rsidRPr="004A07A7">
        <w:rPr>
          <w:sz w:val="20"/>
          <w:szCs w:val="20"/>
        </w:rPr>
        <w:t xml:space="preserve"> in kelvin, and parameters as defined in Table 1. </w:t>
      </w:r>
      <w:r w:rsidRPr="00A06305">
        <w:rPr>
          <w:i/>
          <w:sz w:val="20"/>
          <w:szCs w:val="20"/>
        </w:rPr>
        <w:t>A</w:t>
      </w:r>
      <w:r w:rsidRPr="004A07A7">
        <w:rPr>
          <w:sz w:val="20"/>
          <w:szCs w:val="20"/>
        </w:rPr>
        <w:t>(</w:t>
      </w:r>
      <w:r w:rsidRPr="00A06305">
        <w:rPr>
          <w:i/>
          <w:sz w:val="20"/>
          <w:szCs w:val="20"/>
        </w:rPr>
        <w:t>T</w:t>
      </w:r>
      <w:r w:rsidRPr="004A07A7">
        <w:rPr>
          <w:sz w:val="20"/>
          <w:szCs w:val="20"/>
        </w:rPr>
        <w:t xml:space="preserve">) is the Arrhenius function of temperature, </w:t>
      </w:r>
      <m:oMath>
        <m:r>
          <w:rPr>
            <w:rFonts w:ascii="Cambria Math" w:hAnsi="Cambria Math"/>
            <w:sz w:val="20"/>
            <w:szCs w:val="20"/>
          </w:rPr>
          <m:t>A</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 </m:t>
        </m:r>
        <m:sSup>
          <m:sSupPr>
            <m:ctrlPr>
              <w:rPr>
                <w:rFonts w:ascii="Cambria Math" w:hAnsi="Cambria Math"/>
                <w:i/>
                <w:iCs/>
                <w:sz w:val="20"/>
                <w:szCs w:val="20"/>
              </w:rPr>
            </m:ctrlPr>
          </m:sSupPr>
          <m:e>
            <m:r>
              <w:rPr>
                <w:rFonts w:ascii="Cambria Math" w:hAnsi="Cambria Math"/>
                <w:sz w:val="20"/>
                <w:szCs w:val="20"/>
              </w:rPr>
              <m:t>e</m:t>
            </m:r>
          </m:e>
          <m:sup>
            <m:f>
              <m:fPr>
                <m:ctrlPr>
                  <w:rPr>
                    <w:rFonts w:ascii="Cambria Math" w:hAnsi="Cambria Math"/>
                    <w:i/>
                    <w:iCs/>
                    <w:sz w:val="20"/>
                    <w:szCs w:val="20"/>
                  </w:rPr>
                </m:ctrlPr>
              </m:fPr>
              <m:num>
                <m:r>
                  <w:rPr>
                    <w:rFonts w:ascii="Cambria Math" w:hAnsi="Cambria Math"/>
                    <w:sz w:val="20"/>
                    <w:szCs w:val="20"/>
                  </w:rPr>
                  <m:t>-E</m:t>
                </m:r>
              </m:num>
              <m:den>
                <m:r>
                  <w:rPr>
                    <w:rFonts w:ascii="Cambria Math" w:hAnsi="Cambria Math"/>
                    <w:sz w:val="20"/>
                    <w:szCs w:val="20"/>
                  </w:rPr>
                  <m:t>κ</m:t>
                </m:r>
              </m:den>
            </m:f>
            <m:r>
              <w:rPr>
                <w:rFonts w:ascii="Cambria Math" w:hAnsi="Cambria Math"/>
                <w:sz w:val="20"/>
                <w:szCs w:val="20"/>
              </w:rPr>
              <m:t>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T</m:t>
                    </m:r>
                  </m:den>
                </m:f>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sSub>
                      <m:sSubPr>
                        <m:ctrlPr>
                          <w:rPr>
                            <w:rFonts w:ascii="Cambria Math" w:hAnsi="Cambria Math"/>
                            <w:i/>
                            <w:iCs/>
                            <w:sz w:val="20"/>
                            <w:szCs w:val="20"/>
                          </w:rPr>
                        </m:ctrlPr>
                      </m:sSubPr>
                      <m:e>
                        <m:r>
                          <w:rPr>
                            <w:rFonts w:ascii="Cambria Math" w:hAnsi="Cambria Math"/>
                            <w:sz w:val="20"/>
                            <w:szCs w:val="20"/>
                          </w:rPr>
                          <m:t>T</m:t>
                        </m:r>
                      </m:e>
                      <m:sub>
                        <m:r>
                          <w:rPr>
                            <w:rFonts w:ascii="Cambria Math" w:hAnsi="Cambria Math"/>
                            <w:sz w:val="20"/>
                            <w:szCs w:val="20"/>
                          </w:rPr>
                          <m:t>ref</m:t>
                        </m:r>
                      </m:sub>
                    </m:sSub>
                  </m:den>
                </m:f>
              </m:e>
            </m:d>
          </m:sup>
        </m:sSup>
      </m:oMath>
      <w:r w:rsidR="0022463D" w:rsidRPr="005F529A">
        <w:rPr>
          <w:sz w:val="20"/>
          <w:szCs w:val="20"/>
        </w:rPr>
        <w:t xml:space="preserve">, where </w:t>
      </w:r>
      <w:r w:rsidR="0022463D" w:rsidRPr="005F529A">
        <w:rPr>
          <w:i/>
          <w:sz w:val="20"/>
          <w:szCs w:val="20"/>
        </w:rPr>
        <w:t>κ</w:t>
      </w:r>
      <w:r w:rsidR="0022463D" w:rsidRPr="005F529A">
        <w:rPr>
          <w:sz w:val="20"/>
          <w:szCs w:val="20"/>
        </w:rPr>
        <w:t xml:space="preserve"> is </w:t>
      </w:r>
      <w:r w:rsidR="0022463D" w:rsidRPr="005F529A">
        <w:rPr>
          <w:sz w:val="20"/>
          <w:szCs w:val="24"/>
        </w:rPr>
        <w:t>the Boltzmann’s constant  (</w:t>
      </w:r>
      <w:r w:rsidR="0022463D" w:rsidRPr="005F529A">
        <w:rPr>
          <w:sz w:val="20"/>
          <w:szCs w:val="24"/>
          <w:lang w:val="en-US"/>
        </w:rPr>
        <w:t>8.62 × 10</w:t>
      </w:r>
      <w:r w:rsidR="0022463D" w:rsidRPr="005F529A">
        <w:rPr>
          <w:sz w:val="20"/>
          <w:szCs w:val="24"/>
          <w:vertAlign w:val="superscript"/>
          <w:lang w:val="en-US"/>
        </w:rPr>
        <w:t>-5</w:t>
      </w:r>
      <w:r w:rsidR="0022463D" w:rsidRPr="005F529A">
        <w:rPr>
          <w:sz w:val="20"/>
          <w:szCs w:val="24"/>
          <w:lang w:val="en-US"/>
        </w:rPr>
        <w:t xml:space="preserve"> eV K</w:t>
      </w:r>
      <w:r w:rsidR="0022463D" w:rsidRPr="005F529A">
        <w:rPr>
          <w:sz w:val="20"/>
          <w:szCs w:val="24"/>
          <w:vertAlign w:val="superscript"/>
          <w:lang w:val="en-US"/>
        </w:rPr>
        <w:t>-1</w:t>
      </w:r>
      <w:r w:rsidR="0022463D" w:rsidRPr="005F529A">
        <w:rPr>
          <w:sz w:val="20"/>
          <w:szCs w:val="24"/>
        </w:rPr>
        <w:t>)</w:t>
      </w:r>
      <w:r w:rsidR="0022463D">
        <w:rPr>
          <w:sz w:val="20"/>
          <w:szCs w:val="24"/>
        </w:rPr>
        <w:t>.</w:t>
      </w:r>
    </w:p>
    <w:p w:rsidR="00326F15" w:rsidRPr="0063103D" w:rsidRDefault="00326F15" w:rsidP="0022463D">
      <w:pPr>
        <w:autoSpaceDE w:val="0"/>
        <w:autoSpaceDN w:val="0"/>
        <w:adjustRightInd w:val="0"/>
        <w:spacing w:line="240" w:lineRule="auto"/>
        <w:rPr>
          <w:i/>
          <w:szCs w:val="24"/>
        </w:rPr>
      </w:pPr>
    </w:p>
    <w:p w:rsidR="00326F15" w:rsidRPr="0063103D" w:rsidRDefault="00326F15" w:rsidP="0022463D">
      <w:pPr>
        <w:autoSpaceDE w:val="0"/>
        <w:autoSpaceDN w:val="0"/>
        <w:adjustRightInd w:val="0"/>
        <w:spacing w:line="240" w:lineRule="auto"/>
        <w:rPr>
          <w:i/>
          <w:szCs w:val="24"/>
          <w:lang w:eastAsia="en-GB"/>
        </w:rPr>
      </w:pPr>
      <w:r w:rsidRPr="0063103D">
        <w:rPr>
          <w:i/>
          <w:szCs w:val="24"/>
          <w:lang w:eastAsia="en-GB"/>
        </w:rPr>
        <w:t>Process overview and scheduling</w:t>
      </w:r>
    </w:p>
    <w:p w:rsidR="00326F15" w:rsidRPr="0063103D" w:rsidRDefault="00326F15" w:rsidP="0022463D">
      <w:pPr>
        <w:pStyle w:val="List"/>
        <w:ind w:left="0" w:firstLine="0"/>
      </w:pPr>
      <w:r>
        <w:t>Each individual in the I</w:t>
      </w:r>
      <w:r w:rsidRPr="0063103D">
        <w:t xml:space="preserve">BM has its own energy budget. The energy budget model includes algorithms for how energy uptake and expenditure direct life cycle processes based on fundamental </w:t>
      </w:r>
      <w:r w:rsidRPr="0063103D">
        <w:rPr>
          <w:lang w:val="en-US"/>
        </w:rPr>
        <w:t>principles of physiol</w:t>
      </w:r>
      <w:r w:rsidR="00C95D64">
        <w:rPr>
          <w:lang w:val="en-US"/>
        </w:rPr>
        <w:t>ogical ecology (Johnston et al.</w:t>
      </w:r>
      <w:r w:rsidR="00310E5C">
        <w:rPr>
          <w:lang w:val="en-US"/>
        </w:rPr>
        <w:t>,</w:t>
      </w:r>
      <w:r w:rsidRPr="0063103D">
        <w:rPr>
          <w:lang w:val="en-US"/>
        </w:rPr>
        <w:t xml:space="preserve"> </w:t>
      </w:r>
      <w:r w:rsidR="0022463D">
        <w:rPr>
          <w:lang w:val="en-US"/>
        </w:rPr>
        <w:t>2014</w:t>
      </w:r>
      <w:r w:rsidR="00C95D64">
        <w:rPr>
          <w:lang w:val="en-US"/>
        </w:rPr>
        <w:t>; Sibly et al.</w:t>
      </w:r>
      <w:r w:rsidR="00310E5C">
        <w:rPr>
          <w:lang w:val="en-US"/>
        </w:rPr>
        <w:t>,</w:t>
      </w:r>
      <w:r w:rsidRPr="0063103D">
        <w:rPr>
          <w:lang w:val="en-US"/>
        </w:rPr>
        <w:t xml:space="preserve"> 2013). </w:t>
      </w:r>
      <w:r w:rsidRPr="0063103D">
        <w:t>Individuals assimilate energy from ingested food (</w:t>
      </w:r>
      <w:r w:rsidRPr="0063103D">
        <w:rPr>
          <w:i/>
        </w:rPr>
        <w:t>Ingestion and Energy Uptake</w:t>
      </w:r>
      <w:r w:rsidRPr="0063103D">
        <w:t>) and expend available energy on maintenance (</w:t>
      </w:r>
      <w:r w:rsidRPr="0063103D">
        <w:rPr>
          <w:i/>
        </w:rPr>
        <w:t>Maintenance</w:t>
      </w:r>
      <w:r w:rsidRPr="0063103D">
        <w:t>), growth (</w:t>
      </w:r>
      <w:r w:rsidRPr="0063103D">
        <w:rPr>
          <w:i/>
        </w:rPr>
        <w:t>Growth</w:t>
      </w:r>
      <w:r w:rsidRPr="0063103D">
        <w:t>) and reproduction (</w:t>
      </w:r>
      <w:r w:rsidRPr="0063103D">
        <w:rPr>
          <w:i/>
        </w:rPr>
        <w:t>Reproduction</w:t>
      </w:r>
      <w:r w:rsidRPr="0063103D">
        <w:t>) in the orde</w:t>
      </w:r>
      <w:r w:rsidR="00C95D64">
        <w:t>r of priority outlined in Fig. A</w:t>
      </w:r>
      <w:r w:rsidR="00C84BBA">
        <w:t>.</w:t>
      </w:r>
      <w:r w:rsidRPr="0063103D">
        <w:t>1. Total available energy is limited by the amount of food an organism can ingest and the energy content of food, whilst mass and temperature have scaling effects on individua</w:t>
      </w:r>
      <w:r w:rsidR="00C95D64">
        <w:t>l metabolic rates (Brown et al.</w:t>
      </w:r>
      <w:r w:rsidR="00310E5C">
        <w:t>,</w:t>
      </w:r>
      <w:r w:rsidRPr="0063103D">
        <w:t xml:space="preserve"> 2004). Maintenance is essential for the survival of an individual, and thus has first priority for energy allocation. Juveniles grow until sexually mature, and thereafter adults preferentially allocate energy to reproduction before growth. If energy remains after reproduction and/or growth, energy is stored in the ener</w:t>
      </w:r>
      <w:r w:rsidR="00C95D64">
        <w:t>gy reserves as glycogen (Byzova</w:t>
      </w:r>
      <w:r w:rsidR="00310E5C">
        <w:t>,</w:t>
      </w:r>
      <w:r w:rsidRPr="0063103D">
        <w:t xml:space="preserve"> 1977), which may be used to pay maintenance costs when food is limited (</w:t>
      </w:r>
      <w:r w:rsidRPr="0063103D">
        <w:rPr>
          <w:i/>
        </w:rPr>
        <w:t>Energy Reserves and Starvation</w:t>
      </w:r>
      <w:r w:rsidRPr="0063103D">
        <w:t xml:space="preserve">). </w:t>
      </w:r>
    </w:p>
    <w:p w:rsidR="00326F15" w:rsidRPr="0063103D" w:rsidRDefault="00326F15" w:rsidP="0022463D">
      <w:pPr>
        <w:spacing w:line="240" w:lineRule="auto"/>
      </w:pPr>
    </w:p>
    <w:p w:rsidR="00326F15" w:rsidRPr="000F3F54" w:rsidRDefault="00326F15" w:rsidP="0022463D">
      <w:pPr>
        <w:spacing w:line="240" w:lineRule="auto"/>
        <w:rPr>
          <w:szCs w:val="24"/>
        </w:rPr>
      </w:pPr>
      <w:r w:rsidRPr="000F3F54">
        <w:rPr>
          <w:szCs w:val="24"/>
        </w:rPr>
        <w:lastRenderedPageBreak/>
        <w:t>Juveniles and adult move across the landscape according to a trade-off between food availability and soil water conditions (</w:t>
      </w:r>
      <w:r w:rsidRPr="000F3F54">
        <w:rPr>
          <w:i/>
          <w:szCs w:val="24"/>
        </w:rPr>
        <w:t>Movement</w:t>
      </w:r>
      <w:r w:rsidRPr="000F3F54">
        <w:rPr>
          <w:szCs w:val="24"/>
        </w:rPr>
        <w:t xml:space="preserve">), assimilating a fixed proportion of energy from ingested food </w:t>
      </w:r>
      <w:r w:rsidRPr="000F3F54">
        <w:rPr>
          <w:szCs w:val="24"/>
          <w:lang w:eastAsia="en-GB"/>
        </w:rPr>
        <w:t>that fuels life cycle processes and survival</w:t>
      </w:r>
      <w:r w:rsidRPr="000F3F54">
        <w:rPr>
          <w:szCs w:val="24"/>
        </w:rPr>
        <w:t xml:space="preserve">. </w:t>
      </w:r>
      <w:r w:rsidRPr="000F3F54" w:rsidDel="00B35380">
        <w:rPr>
          <w:szCs w:val="24"/>
        </w:rPr>
        <w:t xml:space="preserve">Feeding by individuals depletes landscape patches and the food density changes accordingly. </w:t>
      </w:r>
      <w:r w:rsidRPr="000F3F54">
        <w:rPr>
          <w:szCs w:val="24"/>
          <w:lang w:eastAsia="en-GB"/>
        </w:rPr>
        <w:t xml:space="preserve">Cocoons cannot feed or move but pay maintenance costs from energy reserves until they are fully developed at the end of the temperature-dependent incubation period, when they hatch as juveniles (Sousa et al., 2010). </w:t>
      </w:r>
      <w:r w:rsidRPr="000F3F54">
        <w:rPr>
          <w:szCs w:val="24"/>
        </w:rPr>
        <w:t>Juveniles transform to adults once they reach a body mass thr</w:t>
      </w:r>
      <w:r w:rsidR="00C95D64">
        <w:rPr>
          <w:szCs w:val="24"/>
        </w:rPr>
        <w:t>eshold for sexual maturity (M</w:t>
      </w:r>
      <w:r w:rsidR="00C95D64">
        <w:rPr>
          <w:szCs w:val="24"/>
        </w:rPr>
        <w:softHyphen/>
        <w:t>a</w:t>
      </w:r>
      <w:r w:rsidR="00310E5C">
        <w:rPr>
          <w:szCs w:val="24"/>
        </w:rPr>
        <w:t>,</w:t>
      </w:r>
      <w:r w:rsidRPr="000F3F54">
        <w:rPr>
          <w:szCs w:val="24"/>
        </w:rPr>
        <w:t xml:space="preserve"> 1984; Springett </w:t>
      </w:r>
      <w:r w:rsidR="00C95D64">
        <w:rPr>
          <w:szCs w:val="24"/>
        </w:rPr>
        <w:t>and Gray</w:t>
      </w:r>
      <w:r w:rsidR="00310E5C">
        <w:rPr>
          <w:szCs w:val="24"/>
        </w:rPr>
        <w:t>,</w:t>
      </w:r>
      <w:r w:rsidRPr="000F3F54">
        <w:rPr>
          <w:szCs w:val="24"/>
        </w:rPr>
        <w:t xml:space="preserve"> 1992). When food is not available, energy reserves are used to cover maintenance costs. Once the energy reserves are depleted to a critical level individuals catabolise energy from tissue to meet maintenance demands. In the field soil water and soil texture variations are used to calculate soil water potentials (-kPa), which constrain individual growth and reproduction (</w:t>
      </w:r>
      <w:r w:rsidRPr="000F3F54">
        <w:rPr>
          <w:i/>
          <w:szCs w:val="24"/>
        </w:rPr>
        <w:t>Soil Water Potential</w:t>
      </w:r>
      <w:r w:rsidRPr="000F3F54">
        <w:rPr>
          <w:szCs w:val="24"/>
        </w:rPr>
        <w:t>). If the soil water potential drops to a critical level under dry conditions, juveniles and adults enter a resting phase in which their metabolic rate is reduced (</w:t>
      </w:r>
      <w:r w:rsidRPr="000F3F54">
        <w:rPr>
          <w:i/>
          <w:szCs w:val="24"/>
        </w:rPr>
        <w:t>Aestivation</w:t>
      </w:r>
      <w:r w:rsidRPr="000F3F54">
        <w:rPr>
          <w:szCs w:val="24"/>
        </w:rPr>
        <w:t xml:space="preserve">). </w:t>
      </w:r>
      <w:r w:rsidR="00C95D64">
        <w:rPr>
          <w:szCs w:val="24"/>
          <w:lang w:eastAsia="en-GB"/>
        </w:rPr>
        <w:t>Fig. A</w:t>
      </w:r>
      <w:r w:rsidR="00C84BBA">
        <w:rPr>
          <w:szCs w:val="24"/>
          <w:lang w:eastAsia="en-GB"/>
        </w:rPr>
        <w:t>.</w:t>
      </w:r>
      <w:r w:rsidR="00C95D64">
        <w:rPr>
          <w:szCs w:val="24"/>
          <w:lang w:eastAsia="en-GB"/>
        </w:rPr>
        <w:t>2</w:t>
      </w:r>
      <w:r w:rsidRPr="000F3F54">
        <w:rPr>
          <w:szCs w:val="24"/>
          <w:lang w:eastAsia="en-GB"/>
        </w:rPr>
        <w:t xml:space="preserve"> gives an overview of processes occurring at the adult stage in each time-step under different feeding conditions.</w:t>
      </w:r>
    </w:p>
    <w:p w:rsidR="00326F15" w:rsidRPr="0063103D" w:rsidRDefault="00326F15" w:rsidP="0022463D">
      <w:pPr>
        <w:spacing w:line="240" w:lineRule="auto"/>
        <w:rPr>
          <w:lang w:eastAsia="en-GB"/>
        </w:rPr>
      </w:pPr>
    </w:p>
    <w:p w:rsidR="00326F15" w:rsidRPr="0063103D" w:rsidRDefault="0022463D" w:rsidP="0022463D">
      <w:pPr>
        <w:spacing w:line="240" w:lineRule="auto"/>
        <w:jc w:val="center"/>
        <w:rPr>
          <w:b/>
          <w:lang w:eastAsia="en-GB"/>
        </w:rPr>
      </w:pPr>
      <w:r>
        <w:rPr>
          <w:b/>
          <w:noProof/>
          <w:lang w:eastAsia="en-GB"/>
        </w:rPr>
        <w:drawing>
          <wp:inline distT="0" distB="0" distL="0" distR="0" wp14:anchorId="70716D6E" wp14:editId="4A7FF924">
            <wp:extent cx="3553583" cy="27449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f"/>
                    <pic:cNvPicPr/>
                  </pic:nvPicPr>
                  <pic:blipFill>
                    <a:blip r:embed="rId8">
                      <a:extLst>
                        <a:ext uri="{28A0092B-C50C-407E-A947-70E740481C1C}">
                          <a14:useLocalDpi xmlns:a14="http://schemas.microsoft.com/office/drawing/2010/main" val="0"/>
                        </a:ext>
                      </a:extLst>
                    </a:blip>
                    <a:stretch>
                      <a:fillRect/>
                    </a:stretch>
                  </pic:blipFill>
                  <pic:spPr>
                    <a:xfrm>
                      <a:off x="0" y="0"/>
                      <a:ext cx="3565538" cy="2754147"/>
                    </a:xfrm>
                    <a:prstGeom prst="rect">
                      <a:avLst/>
                    </a:prstGeom>
                  </pic:spPr>
                </pic:pic>
              </a:graphicData>
            </a:graphic>
          </wp:inline>
        </w:drawing>
      </w:r>
    </w:p>
    <w:p w:rsidR="0022463D" w:rsidRPr="005F529A" w:rsidRDefault="0022463D" w:rsidP="0022463D">
      <w:pPr>
        <w:spacing w:line="240" w:lineRule="auto"/>
        <w:rPr>
          <w:b/>
          <w:sz w:val="20"/>
          <w:szCs w:val="20"/>
          <w:shd w:val="clear" w:color="auto" w:fill="FFFFFF"/>
        </w:rPr>
      </w:pPr>
      <w:r w:rsidRPr="005F529A">
        <w:rPr>
          <w:b/>
          <w:sz w:val="20"/>
          <w:szCs w:val="20"/>
          <w:shd w:val="clear" w:color="auto" w:fill="FFFFFF"/>
        </w:rPr>
        <w:t>Fig. 2.</w:t>
      </w:r>
      <w:r w:rsidRPr="005F529A">
        <w:rPr>
          <w:sz w:val="20"/>
          <w:szCs w:val="20"/>
          <w:lang w:eastAsia="en-GB"/>
        </w:rPr>
        <w:t xml:space="preserve"> Partial energy flow diagram of </w:t>
      </w:r>
      <w:r w:rsidRPr="005F529A">
        <w:rPr>
          <w:i/>
          <w:sz w:val="20"/>
          <w:szCs w:val="20"/>
          <w:lang w:eastAsia="en-GB"/>
        </w:rPr>
        <w:t>A. caliginosa</w:t>
      </w:r>
      <w:r w:rsidRPr="005F529A">
        <w:rPr>
          <w:sz w:val="20"/>
          <w:szCs w:val="20"/>
          <w:lang w:eastAsia="en-GB"/>
        </w:rPr>
        <w:t xml:space="preserve"> adults, showing the processes (rectangles) each individual goes through per time step, with diamonds indicating decision points. Energy reserves are used to pay maintenance costs when food is unavailable and individuals die if weight loss under starvation continues.</w:t>
      </w:r>
    </w:p>
    <w:p w:rsidR="00326F15" w:rsidRPr="0063103D" w:rsidRDefault="00326F15" w:rsidP="0022463D">
      <w:pPr>
        <w:spacing w:line="240" w:lineRule="auto"/>
        <w:rPr>
          <w:lang w:eastAsia="en-GB"/>
        </w:rPr>
      </w:pPr>
    </w:p>
    <w:p w:rsidR="00326F15" w:rsidRPr="0063103D" w:rsidRDefault="00326F15" w:rsidP="0022463D">
      <w:pPr>
        <w:spacing w:line="240" w:lineRule="auto"/>
        <w:rPr>
          <w:i/>
          <w:color w:val="000000"/>
        </w:rPr>
      </w:pPr>
      <w:r w:rsidRPr="0063103D">
        <w:rPr>
          <w:i/>
          <w:color w:val="000000"/>
        </w:rPr>
        <w:t>Design concepts</w:t>
      </w:r>
    </w:p>
    <w:p w:rsidR="00326F15" w:rsidRPr="0063103D" w:rsidRDefault="00326F15" w:rsidP="0022463D">
      <w:pPr>
        <w:pStyle w:val="List"/>
        <w:rPr>
          <w:noProof/>
          <w:szCs w:val="22"/>
          <w:lang w:val="en-US"/>
        </w:rPr>
      </w:pPr>
      <w:r w:rsidRPr="0063103D">
        <w:rPr>
          <w:i/>
          <w:szCs w:val="22"/>
        </w:rPr>
        <w:t>Basic Principles.</w:t>
      </w:r>
      <w:r w:rsidRPr="0063103D">
        <w:rPr>
          <w:szCs w:val="22"/>
        </w:rPr>
        <w:t xml:space="preserve"> Key processes in the model determine how energy consumption and expenditure direct life cycle processes in response to environmental conditions. </w:t>
      </w:r>
      <w:r w:rsidRPr="0063103D">
        <w:rPr>
          <w:szCs w:val="22"/>
          <w:lang w:val="en-US"/>
        </w:rPr>
        <w:t xml:space="preserve">Individual energy budgets follow fundamental principles of physiological ecology (Sibly </w:t>
      </w:r>
      <w:r w:rsidR="00C95D64">
        <w:rPr>
          <w:szCs w:val="22"/>
          <w:lang w:val="en-US"/>
        </w:rPr>
        <w:t>and Calow</w:t>
      </w:r>
      <w:r w:rsidR="00310E5C">
        <w:rPr>
          <w:szCs w:val="22"/>
          <w:lang w:val="en-US"/>
        </w:rPr>
        <w:t>,</w:t>
      </w:r>
      <w:r w:rsidRPr="0063103D">
        <w:rPr>
          <w:szCs w:val="22"/>
          <w:lang w:val="en-US"/>
        </w:rPr>
        <w:t xml:space="preserve"> 1986) and scale with body mass and temperature according to known allometric laws </w:t>
      </w:r>
      <w:r w:rsidR="00C95D64">
        <w:rPr>
          <w:noProof/>
          <w:szCs w:val="22"/>
          <w:lang w:val="en-US"/>
        </w:rPr>
        <w:t>(Sibly et al.</w:t>
      </w:r>
      <w:r w:rsidR="00310E5C">
        <w:rPr>
          <w:noProof/>
          <w:szCs w:val="22"/>
          <w:lang w:val="en-US"/>
        </w:rPr>
        <w:t>,</w:t>
      </w:r>
      <w:r w:rsidRPr="0063103D">
        <w:rPr>
          <w:noProof/>
          <w:szCs w:val="22"/>
          <w:lang w:val="en-US"/>
        </w:rPr>
        <w:t xml:space="preserve"> 2013). </w:t>
      </w:r>
    </w:p>
    <w:p w:rsidR="00326F15" w:rsidRPr="0063103D" w:rsidRDefault="00326F15" w:rsidP="0022463D">
      <w:pPr>
        <w:pStyle w:val="List"/>
        <w:rPr>
          <w:szCs w:val="22"/>
        </w:rPr>
      </w:pPr>
      <w:r w:rsidRPr="0063103D">
        <w:rPr>
          <w:i/>
          <w:szCs w:val="22"/>
        </w:rPr>
        <w:t>Emergence.</w:t>
      </w:r>
      <w:r w:rsidRPr="0063103D">
        <w:rPr>
          <w:szCs w:val="22"/>
        </w:rPr>
        <w:t xml:space="preserve"> Variation in food availability between patches arises from the feeding of individuals in the landscape. Population dynamics emerge from differential energy allocation amongst individuals which is affected by food density, food quality, soil temperature, soil water conditions. </w:t>
      </w:r>
    </w:p>
    <w:p w:rsidR="00326F15" w:rsidRPr="0063103D" w:rsidRDefault="00326F15" w:rsidP="0022463D">
      <w:pPr>
        <w:pStyle w:val="List"/>
        <w:rPr>
          <w:i/>
          <w:szCs w:val="22"/>
        </w:rPr>
      </w:pPr>
      <w:r w:rsidRPr="0063103D">
        <w:rPr>
          <w:i/>
          <w:szCs w:val="22"/>
        </w:rPr>
        <w:t>Interaction.</w:t>
      </w:r>
      <w:r w:rsidRPr="0063103D">
        <w:rPr>
          <w:szCs w:val="22"/>
        </w:rPr>
        <w:t xml:space="preserve"> Individuals need mates (any other adult as earthworms are </w:t>
      </w:r>
      <w:r w:rsidR="00C95D64">
        <w:rPr>
          <w:szCs w:val="22"/>
        </w:rPr>
        <w:t>hermaphrodite (Dominguez et al.</w:t>
      </w:r>
      <w:r w:rsidR="00310E5C">
        <w:rPr>
          <w:szCs w:val="22"/>
        </w:rPr>
        <w:t>,</w:t>
      </w:r>
      <w:r w:rsidRPr="0063103D">
        <w:rPr>
          <w:szCs w:val="22"/>
        </w:rPr>
        <w:t xml:space="preserve"> 2003)) present in the same patch to reproduce. Adults and juveniles interact indirectly by competing for food within patches, and both affect patches by depleting food. </w:t>
      </w:r>
    </w:p>
    <w:p w:rsidR="00326F15" w:rsidRPr="0063103D" w:rsidRDefault="00326F15" w:rsidP="0022463D">
      <w:pPr>
        <w:pStyle w:val="List"/>
        <w:rPr>
          <w:i/>
          <w:szCs w:val="22"/>
        </w:rPr>
      </w:pPr>
      <w:r w:rsidRPr="0063103D">
        <w:rPr>
          <w:i/>
          <w:szCs w:val="22"/>
        </w:rPr>
        <w:t>Observation.</w:t>
      </w:r>
      <w:r w:rsidRPr="0063103D">
        <w:rPr>
          <w:szCs w:val="22"/>
        </w:rPr>
        <w:t xml:space="preserve"> Population density and biomass, stage class structure (cocoon, juvenile, adult) and individual body masses and cocoon production rates were recorded. </w:t>
      </w:r>
    </w:p>
    <w:p w:rsidR="00326F15" w:rsidRPr="0063103D" w:rsidRDefault="00326F15" w:rsidP="0022463D">
      <w:pPr>
        <w:pStyle w:val="List"/>
        <w:rPr>
          <w:i/>
          <w:szCs w:val="22"/>
        </w:rPr>
      </w:pPr>
    </w:p>
    <w:p w:rsidR="00326F15" w:rsidRPr="0063103D" w:rsidRDefault="00326F15" w:rsidP="0022463D">
      <w:pPr>
        <w:pStyle w:val="List"/>
        <w:rPr>
          <w:szCs w:val="22"/>
        </w:rPr>
      </w:pPr>
      <w:r w:rsidRPr="0063103D">
        <w:rPr>
          <w:i/>
          <w:szCs w:val="22"/>
        </w:rPr>
        <w:t>Initialization</w:t>
      </w:r>
    </w:p>
    <w:p w:rsidR="00326F15" w:rsidRPr="000F3F54" w:rsidRDefault="00326F15" w:rsidP="0022463D">
      <w:pPr>
        <w:pStyle w:val="NoSpacing"/>
        <w:tabs>
          <w:tab w:val="left" w:pos="709"/>
        </w:tabs>
        <w:rPr>
          <w:rFonts w:ascii="Times New Roman" w:hAnsi="Times New Roman"/>
          <w:sz w:val="24"/>
          <w:szCs w:val="24"/>
        </w:rPr>
      </w:pPr>
      <w:r w:rsidRPr="0063103D">
        <w:rPr>
          <w:rFonts w:ascii="Times New Roman" w:hAnsi="Times New Roman"/>
          <w:sz w:val="24"/>
        </w:rPr>
        <w:t xml:space="preserve">Simulations were initialised with individuals randomly distributed in the landscape. </w:t>
      </w:r>
      <w:r w:rsidRPr="000F3F54">
        <w:rPr>
          <w:rFonts w:ascii="Times New Roman" w:hAnsi="Times New Roman"/>
          <w:sz w:val="24"/>
          <w:szCs w:val="24"/>
        </w:rPr>
        <w:t xml:space="preserve">Landscape size and earthworm numbers, life cycle stages and body masses followed the experiments being replicated. </w:t>
      </w:r>
    </w:p>
    <w:p w:rsidR="00326F15" w:rsidRPr="000F3F54" w:rsidRDefault="00326F15" w:rsidP="0022463D">
      <w:pPr>
        <w:pStyle w:val="NoSpacing"/>
        <w:tabs>
          <w:tab w:val="left" w:pos="709"/>
        </w:tabs>
        <w:rPr>
          <w:rFonts w:ascii="Times New Roman" w:hAnsi="Times New Roman"/>
          <w:i/>
          <w:sz w:val="24"/>
          <w:szCs w:val="24"/>
        </w:rPr>
      </w:pPr>
    </w:p>
    <w:p w:rsidR="00326F15" w:rsidRPr="000F3F54" w:rsidRDefault="00326F15" w:rsidP="0022463D">
      <w:pPr>
        <w:pStyle w:val="NoSpacing"/>
        <w:tabs>
          <w:tab w:val="left" w:pos="709"/>
        </w:tabs>
        <w:rPr>
          <w:rFonts w:ascii="Times New Roman" w:hAnsi="Times New Roman"/>
          <w:i/>
          <w:sz w:val="24"/>
          <w:szCs w:val="24"/>
        </w:rPr>
      </w:pPr>
      <w:r w:rsidRPr="000F3F54">
        <w:rPr>
          <w:rFonts w:ascii="Times New Roman" w:hAnsi="Times New Roman"/>
          <w:i/>
          <w:sz w:val="24"/>
          <w:szCs w:val="24"/>
        </w:rPr>
        <w:t xml:space="preserve">Input Data </w:t>
      </w:r>
    </w:p>
    <w:p w:rsidR="00326F15" w:rsidRPr="000F3F54" w:rsidRDefault="00326F15" w:rsidP="0022463D">
      <w:pPr>
        <w:pStyle w:val="NoSpacing"/>
        <w:tabs>
          <w:tab w:val="left" w:pos="709"/>
        </w:tabs>
        <w:rPr>
          <w:rFonts w:ascii="Times New Roman" w:hAnsi="Times New Roman"/>
          <w:sz w:val="24"/>
          <w:szCs w:val="24"/>
        </w:rPr>
      </w:pPr>
      <w:r w:rsidRPr="000F3F54">
        <w:rPr>
          <w:rFonts w:ascii="Times New Roman" w:hAnsi="Times New Roman"/>
          <w:sz w:val="24"/>
          <w:szCs w:val="24"/>
        </w:rPr>
        <w:t>External weather data from Rothamsted Research is used to simulate the conditio</w:t>
      </w:r>
      <w:r>
        <w:rPr>
          <w:rFonts w:ascii="Times New Roman" w:hAnsi="Times New Roman"/>
          <w:sz w:val="24"/>
          <w:szCs w:val="24"/>
        </w:rPr>
        <w:t>ns of a field trial experiment, , including daily soil temperature measurements at 10, 20 and 30 cm under grass and soil water contents, estimated from potential soil moisture deficit (mm) values.</w:t>
      </w:r>
    </w:p>
    <w:p w:rsidR="00326F15" w:rsidRPr="000F3F54" w:rsidRDefault="00326F15" w:rsidP="0022463D">
      <w:pPr>
        <w:pStyle w:val="NoSpacing"/>
        <w:tabs>
          <w:tab w:val="left" w:pos="709"/>
        </w:tabs>
        <w:rPr>
          <w:rFonts w:ascii="Times New Roman" w:hAnsi="Times New Roman"/>
          <w:sz w:val="24"/>
          <w:szCs w:val="24"/>
        </w:rPr>
      </w:pPr>
    </w:p>
    <w:p w:rsidR="00326F15" w:rsidRPr="000F3F54" w:rsidRDefault="00326F15" w:rsidP="0022463D">
      <w:pPr>
        <w:pStyle w:val="NoSpacing"/>
        <w:tabs>
          <w:tab w:val="left" w:pos="709"/>
        </w:tabs>
        <w:rPr>
          <w:rFonts w:ascii="Times New Roman" w:hAnsi="Times New Roman"/>
          <w:i/>
          <w:sz w:val="24"/>
          <w:szCs w:val="24"/>
        </w:rPr>
      </w:pPr>
      <w:r w:rsidRPr="000F3F54">
        <w:rPr>
          <w:rFonts w:ascii="Times New Roman" w:hAnsi="Times New Roman"/>
          <w:i/>
          <w:sz w:val="24"/>
          <w:szCs w:val="24"/>
        </w:rPr>
        <w:t>2.1.7. Submodels</w:t>
      </w:r>
    </w:p>
    <w:p w:rsidR="00326F15" w:rsidRDefault="00326F15" w:rsidP="0022463D">
      <w:pPr>
        <w:spacing w:line="240" w:lineRule="auto"/>
        <w:rPr>
          <w:szCs w:val="24"/>
        </w:rPr>
      </w:pPr>
      <w:r w:rsidRPr="000F3F54">
        <w:rPr>
          <w:szCs w:val="24"/>
        </w:rPr>
        <w:t xml:space="preserve">Species-specific parameters were derived from the literature for </w:t>
      </w:r>
      <w:r w:rsidRPr="000F3F54">
        <w:rPr>
          <w:i/>
          <w:szCs w:val="24"/>
        </w:rPr>
        <w:t>A. caliginosa</w:t>
      </w:r>
      <w:r w:rsidR="00C95D64">
        <w:rPr>
          <w:szCs w:val="24"/>
        </w:rPr>
        <w:t xml:space="preserve"> as shown in Table A</w:t>
      </w:r>
      <w:r w:rsidR="00C84BBA">
        <w:rPr>
          <w:szCs w:val="24"/>
        </w:rPr>
        <w:t>.</w:t>
      </w:r>
      <w:r w:rsidRPr="000F3F54">
        <w:rPr>
          <w:szCs w:val="24"/>
        </w:rPr>
        <w:t xml:space="preserve">1. </w:t>
      </w:r>
      <w:r w:rsidRPr="000F3F54">
        <w:rPr>
          <w:szCs w:val="24"/>
          <w:lang w:val="en-US"/>
        </w:rPr>
        <w:t>Details of parameter calculat</w:t>
      </w:r>
      <w:r w:rsidR="00C95D64">
        <w:rPr>
          <w:szCs w:val="24"/>
          <w:lang w:val="en-US"/>
        </w:rPr>
        <w:t xml:space="preserve">ions are available in Appendix </w:t>
      </w:r>
      <w:r w:rsidRPr="000F3F54">
        <w:rPr>
          <w:szCs w:val="24"/>
          <w:lang w:val="en-US"/>
        </w:rPr>
        <w:t xml:space="preserve">2 of the supplementary material. </w:t>
      </w:r>
      <w:r w:rsidRPr="000F3F54">
        <w:rPr>
          <w:szCs w:val="24"/>
        </w:rPr>
        <w:t xml:space="preserve">The following sections describe the energy budget model, outlined in </w:t>
      </w:r>
      <w:r w:rsidR="00C95D64">
        <w:rPr>
          <w:szCs w:val="24"/>
        </w:rPr>
        <w:t>the above sections and in Fig. A</w:t>
      </w:r>
      <w:r w:rsidR="00C84BBA">
        <w:rPr>
          <w:szCs w:val="24"/>
        </w:rPr>
        <w:t>.</w:t>
      </w:r>
      <w:r w:rsidR="00C95D64">
        <w:rPr>
          <w:szCs w:val="24"/>
        </w:rPr>
        <w:t>1</w:t>
      </w:r>
      <w:r w:rsidRPr="000F3F54">
        <w:rPr>
          <w:szCs w:val="24"/>
        </w:rPr>
        <w:t xml:space="preserve">, in terms of metabolic organisation at the individual level. </w:t>
      </w:r>
    </w:p>
    <w:p w:rsidR="0022463D" w:rsidRDefault="0022463D" w:rsidP="0022463D">
      <w:pPr>
        <w:spacing w:line="240" w:lineRule="auto"/>
        <w:rPr>
          <w:szCs w:val="24"/>
        </w:rPr>
      </w:pPr>
    </w:p>
    <w:tbl>
      <w:tblPr>
        <w:tblStyle w:val="TableGrid"/>
        <w:tblW w:w="10207" w:type="dxa"/>
        <w:tblInd w:w="-176" w:type="dxa"/>
        <w:tblBorders>
          <w:left w:val="none" w:sz="0" w:space="0" w:color="auto"/>
          <w:right w:val="none" w:sz="0" w:space="0" w:color="auto"/>
        </w:tblBorders>
        <w:tblLook w:val="04A0" w:firstRow="1" w:lastRow="0" w:firstColumn="1" w:lastColumn="0" w:noHBand="0" w:noVBand="1"/>
      </w:tblPr>
      <w:tblGrid>
        <w:gridCol w:w="861"/>
        <w:gridCol w:w="2114"/>
        <w:gridCol w:w="1955"/>
        <w:gridCol w:w="1096"/>
        <w:gridCol w:w="1966"/>
        <w:gridCol w:w="2215"/>
      </w:tblGrid>
      <w:tr w:rsidR="0022463D" w:rsidRPr="005F529A" w:rsidTr="00ED11C9">
        <w:tc>
          <w:tcPr>
            <w:tcW w:w="10207" w:type="dxa"/>
            <w:gridSpan w:val="6"/>
            <w:tcBorders>
              <w:bottom w:val="single" w:sz="4" w:space="0" w:color="auto"/>
            </w:tcBorders>
          </w:tcPr>
          <w:p w:rsidR="0022463D" w:rsidRPr="005F529A" w:rsidRDefault="0022463D" w:rsidP="0022463D">
            <w:pPr>
              <w:spacing w:line="240" w:lineRule="auto"/>
              <w:rPr>
                <w:b/>
                <w:sz w:val="20"/>
                <w:szCs w:val="20"/>
              </w:rPr>
            </w:pPr>
            <w:r>
              <w:rPr>
                <w:b/>
                <w:sz w:val="20"/>
                <w:szCs w:val="20"/>
              </w:rPr>
              <w:t xml:space="preserve">Table </w:t>
            </w:r>
            <w:r>
              <w:rPr>
                <w:b/>
                <w:sz w:val="20"/>
                <w:szCs w:val="20"/>
              </w:rPr>
              <w:t>A.</w:t>
            </w:r>
            <w:r>
              <w:rPr>
                <w:b/>
                <w:sz w:val="20"/>
                <w:szCs w:val="20"/>
              </w:rPr>
              <w:t>1</w:t>
            </w:r>
            <w:r>
              <w:rPr>
                <w:b/>
                <w:sz w:val="20"/>
                <w:szCs w:val="20"/>
              </w:rPr>
              <w:t>.</w:t>
            </w:r>
            <w:r w:rsidRPr="005F529A">
              <w:rPr>
                <w:b/>
                <w:sz w:val="20"/>
                <w:szCs w:val="20"/>
              </w:rPr>
              <w:t xml:space="preserve"> </w:t>
            </w:r>
            <w:r w:rsidRPr="005F529A">
              <w:rPr>
                <w:sz w:val="20"/>
                <w:szCs w:val="20"/>
              </w:rPr>
              <w:t xml:space="preserve">Default parameter values of the </w:t>
            </w:r>
            <w:r w:rsidRPr="005F529A">
              <w:rPr>
                <w:i/>
                <w:sz w:val="20"/>
                <w:szCs w:val="20"/>
              </w:rPr>
              <w:t>A. caliginosa</w:t>
            </w:r>
            <w:r w:rsidRPr="005F529A">
              <w:rPr>
                <w:sz w:val="20"/>
                <w:szCs w:val="20"/>
              </w:rPr>
              <w:t xml:space="preserve"> energy budget model with sources. Further details of the parameter estimates are available in Appendix B of the supplementary material. </w:t>
            </w:r>
          </w:p>
        </w:tc>
      </w:tr>
      <w:tr w:rsidR="0022463D" w:rsidRPr="005F529A" w:rsidTr="00ED11C9">
        <w:tc>
          <w:tcPr>
            <w:tcW w:w="861" w:type="dxa"/>
            <w:tcBorders>
              <w:bottom w:val="single" w:sz="4" w:space="0" w:color="auto"/>
              <w:right w:val="nil"/>
            </w:tcBorders>
          </w:tcPr>
          <w:p w:rsidR="0022463D" w:rsidRPr="005F529A" w:rsidRDefault="0022463D" w:rsidP="0022463D">
            <w:pPr>
              <w:spacing w:line="240" w:lineRule="auto"/>
              <w:rPr>
                <w:b/>
                <w:sz w:val="20"/>
                <w:szCs w:val="20"/>
              </w:rPr>
            </w:pPr>
            <w:r w:rsidRPr="005F529A">
              <w:rPr>
                <w:b/>
                <w:sz w:val="20"/>
                <w:szCs w:val="20"/>
              </w:rPr>
              <w:t>Symbol</w:t>
            </w:r>
          </w:p>
        </w:tc>
        <w:tc>
          <w:tcPr>
            <w:tcW w:w="2114" w:type="dxa"/>
            <w:tcBorders>
              <w:left w:val="nil"/>
              <w:bottom w:val="single" w:sz="4" w:space="0" w:color="auto"/>
              <w:right w:val="nil"/>
            </w:tcBorders>
          </w:tcPr>
          <w:p w:rsidR="0022463D" w:rsidRPr="005F529A" w:rsidRDefault="0022463D" w:rsidP="0022463D">
            <w:pPr>
              <w:spacing w:line="240" w:lineRule="auto"/>
              <w:rPr>
                <w:b/>
                <w:sz w:val="20"/>
                <w:szCs w:val="20"/>
              </w:rPr>
            </w:pPr>
            <w:r w:rsidRPr="005F529A">
              <w:rPr>
                <w:b/>
                <w:sz w:val="20"/>
                <w:szCs w:val="20"/>
              </w:rPr>
              <w:t>Definition</w:t>
            </w:r>
          </w:p>
        </w:tc>
        <w:tc>
          <w:tcPr>
            <w:tcW w:w="1955" w:type="dxa"/>
            <w:tcBorders>
              <w:left w:val="nil"/>
              <w:bottom w:val="single" w:sz="4" w:space="0" w:color="auto"/>
              <w:right w:val="nil"/>
            </w:tcBorders>
          </w:tcPr>
          <w:p w:rsidR="0022463D" w:rsidRPr="005F529A" w:rsidRDefault="0022463D" w:rsidP="0022463D">
            <w:pPr>
              <w:spacing w:line="240" w:lineRule="auto"/>
              <w:rPr>
                <w:b/>
                <w:sz w:val="20"/>
                <w:szCs w:val="20"/>
              </w:rPr>
            </w:pPr>
            <w:r w:rsidRPr="005F529A">
              <w:rPr>
                <w:b/>
                <w:sz w:val="20"/>
                <w:szCs w:val="20"/>
              </w:rPr>
              <w:t>Value</w:t>
            </w:r>
          </w:p>
        </w:tc>
        <w:tc>
          <w:tcPr>
            <w:tcW w:w="1096" w:type="dxa"/>
            <w:tcBorders>
              <w:left w:val="nil"/>
              <w:bottom w:val="single" w:sz="4" w:space="0" w:color="auto"/>
              <w:right w:val="nil"/>
            </w:tcBorders>
          </w:tcPr>
          <w:p w:rsidR="0022463D" w:rsidRPr="005F529A" w:rsidRDefault="0022463D" w:rsidP="0022463D">
            <w:pPr>
              <w:spacing w:line="240" w:lineRule="auto"/>
              <w:rPr>
                <w:b/>
                <w:sz w:val="20"/>
                <w:szCs w:val="20"/>
              </w:rPr>
            </w:pPr>
            <w:r w:rsidRPr="005F529A">
              <w:rPr>
                <w:b/>
                <w:sz w:val="20"/>
                <w:szCs w:val="20"/>
              </w:rPr>
              <w:t>Unit</w:t>
            </w:r>
          </w:p>
        </w:tc>
        <w:tc>
          <w:tcPr>
            <w:tcW w:w="1966" w:type="dxa"/>
            <w:tcBorders>
              <w:left w:val="nil"/>
              <w:bottom w:val="single" w:sz="4" w:space="0" w:color="auto"/>
              <w:right w:val="nil"/>
            </w:tcBorders>
          </w:tcPr>
          <w:p w:rsidR="0022463D" w:rsidRPr="005F529A" w:rsidRDefault="0022463D" w:rsidP="0022463D">
            <w:pPr>
              <w:spacing w:line="240" w:lineRule="auto"/>
              <w:rPr>
                <w:b/>
                <w:sz w:val="20"/>
                <w:szCs w:val="20"/>
              </w:rPr>
            </w:pPr>
            <w:r w:rsidRPr="005F529A">
              <w:rPr>
                <w:b/>
                <w:sz w:val="20"/>
                <w:szCs w:val="20"/>
              </w:rPr>
              <w:t>Reference</w:t>
            </w:r>
          </w:p>
        </w:tc>
        <w:tc>
          <w:tcPr>
            <w:tcW w:w="2215" w:type="dxa"/>
            <w:tcBorders>
              <w:left w:val="nil"/>
              <w:bottom w:val="single" w:sz="4" w:space="0" w:color="auto"/>
            </w:tcBorders>
          </w:tcPr>
          <w:p w:rsidR="0022463D" w:rsidRPr="005F529A" w:rsidRDefault="0022463D" w:rsidP="0022463D">
            <w:pPr>
              <w:spacing w:line="240" w:lineRule="auto"/>
              <w:rPr>
                <w:b/>
                <w:sz w:val="20"/>
                <w:szCs w:val="20"/>
              </w:rPr>
            </w:pPr>
            <w:r w:rsidRPr="005F529A">
              <w:rPr>
                <w:b/>
                <w:sz w:val="20"/>
                <w:szCs w:val="20"/>
              </w:rPr>
              <w:t>Notes</w:t>
            </w:r>
          </w:p>
        </w:tc>
      </w:tr>
      <w:tr w:rsidR="0022463D" w:rsidRPr="005F529A" w:rsidTr="00ED11C9">
        <w:tc>
          <w:tcPr>
            <w:tcW w:w="861" w:type="dxa"/>
            <w:tcBorders>
              <w:bottom w:val="nil"/>
              <w:right w:val="nil"/>
            </w:tcBorders>
          </w:tcPr>
          <w:p w:rsidR="0022463D" w:rsidRPr="005F529A" w:rsidRDefault="0022463D" w:rsidP="0022463D">
            <w:pPr>
              <w:spacing w:line="240" w:lineRule="auto"/>
              <w:rPr>
                <w:i/>
                <w:iCs/>
                <w:sz w:val="20"/>
                <w:szCs w:val="20"/>
              </w:rPr>
            </w:pPr>
            <w:r w:rsidRPr="005F529A">
              <w:rPr>
                <w:i/>
                <w:iCs/>
                <w:sz w:val="20"/>
                <w:szCs w:val="20"/>
              </w:rPr>
              <w:t>A</w:t>
            </w:r>
            <w:r w:rsidRPr="005F529A">
              <w:rPr>
                <w:i/>
                <w:iCs/>
                <w:sz w:val="20"/>
                <w:szCs w:val="20"/>
                <w:vertAlign w:val="subscript"/>
              </w:rPr>
              <w:t>e</w:t>
            </w:r>
          </w:p>
        </w:tc>
        <w:tc>
          <w:tcPr>
            <w:tcW w:w="2114" w:type="dxa"/>
            <w:tcBorders>
              <w:left w:val="nil"/>
              <w:bottom w:val="nil"/>
              <w:right w:val="nil"/>
            </w:tcBorders>
          </w:tcPr>
          <w:p w:rsidR="0022463D" w:rsidRPr="005F529A" w:rsidRDefault="0022463D" w:rsidP="0022463D">
            <w:pPr>
              <w:spacing w:line="240" w:lineRule="auto"/>
              <w:rPr>
                <w:sz w:val="20"/>
                <w:szCs w:val="20"/>
              </w:rPr>
            </w:pPr>
            <w:r w:rsidRPr="005F529A">
              <w:rPr>
                <w:sz w:val="20"/>
                <w:szCs w:val="20"/>
              </w:rPr>
              <w:t xml:space="preserve">Assimilation efficiency </w:t>
            </w:r>
          </w:p>
        </w:tc>
        <w:tc>
          <w:tcPr>
            <w:tcW w:w="1955" w:type="dxa"/>
            <w:tcBorders>
              <w:left w:val="nil"/>
              <w:bottom w:val="nil"/>
              <w:right w:val="nil"/>
            </w:tcBorders>
          </w:tcPr>
          <w:p w:rsidR="0022463D" w:rsidRPr="005F529A" w:rsidRDefault="0022463D" w:rsidP="0022463D">
            <w:pPr>
              <w:spacing w:line="240" w:lineRule="auto"/>
              <w:rPr>
                <w:sz w:val="20"/>
                <w:szCs w:val="20"/>
              </w:rPr>
            </w:pPr>
            <w:r w:rsidRPr="005F529A">
              <w:rPr>
                <w:sz w:val="20"/>
                <w:szCs w:val="20"/>
              </w:rPr>
              <w:t>0.19</w:t>
            </w:r>
          </w:p>
        </w:tc>
        <w:tc>
          <w:tcPr>
            <w:tcW w:w="1096" w:type="dxa"/>
            <w:tcBorders>
              <w:left w:val="nil"/>
              <w:bottom w:val="nil"/>
              <w:right w:val="nil"/>
            </w:tcBorders>
          </w:tcPr>
          <w:p w:rsidR="0022463D" w:rsidRPr="005F529A" w:rsidRDefault="0022463D" w:rsidP="0022463D">
            <w:pPr>
              <w:spacing w:line="240" w:lineRule="auto"/>
              <w:rPr>
                <w:sz w:val="20"/>
                <w:szCs w:val="20"/>
              </w:rPr>
            </w:pPr>
            <w:r w:rsidRPr="005F529A">
              <w:rPr>
                <w:sz w:val="20"/>
                <w:szCs w:val="20"/>
              </w:rPr>
              <w:t>---</w:t>
            </w:r>
          </w:p>
        </w:tc>
        <w:tc>
          <w:tcPr>
            <w:tcW w:w="1966" w:type="dxa"/>
            <w:tcBorders>
              <w:left w:val="nil"/>
              <w:bottom w:val="nil"/>
              <w:right w:val="nil"/>
            </w:tcBorders>
          </w:tcPr>
          <w:p w:rsidR="0022463D" w:rsidRPr="005F529A" w:rsidRDefault="0022463D" w:rsidP="0022463D">
            <w:pPr>
              <w:spacing w:line="240" w:lineRule="auto"/>
              <w:rPr>
                <w:sz w:val="20"/>
                <w:szCs w:val="20"/>
              </w:rPr>
            </w:pPr>
            <w:r w:rsidRPr="005F529A">
              <w:rPr>
                <w:sz w:val="20"/>
                <w:szCs w:val="20"/>
              </w:rPr>
              <w:t xml:space="preserve">Lavelle and Spain (2001) </w:t>
            </w:r>
          </w:p>
        </w:tc>
        <w:tc>
          <w:tcPr>
            <w:tcW w:w="2215" w:type="dxa"/>
            <w:tcBorders>
              <w:left w:val="nil"/>
              <w:bottom w:val="nil"/>
            </w:tcBorders>
          </w:tcPr>
          <w:p w:rsidR="0022463D" w:rsidRPr="005F529A" w:rsidRDefault="0022463D" w:rsidP="0022463D">
            <w:pPr>
              <w:spacing w:line="240" w:lineRule="auto"/>
              <w:rPr>
                <w:sz w:val="20"/>
                <w:szCs w:val="20"/>
              </w:rPr>
            </w:pPr>
            <w:r w:rsidRPr="005F529A">
              <w:rPr>
                <w:sz w:val="20"/>
                <w:szCs w:val="20"/>
              </w:rPr>
              <w:t>p. 470</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B</w:t>
            </w:r>
            <w:r w:rsidRPr="005F529A">
              <w:rPr>
                <w:i/>
                <w:iCs/>
                <w:sz w:val="20"/>
                <w:szCs w:val="20"/>
                <w:vertAlign w:val="subscript"/>
              </w:rPr>
              <w:t>o</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Taxon-specific normalization constant</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968</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kJ/g/day</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Meehan (2006)</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Calculated from Table 2, p. 881 and Eq. 4</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E</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Activation energy</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0.25</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eV</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Meehan (2006)</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p. 880</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E</w:t>
            </w:r>
            <w:r w:rsidRPr="005F529A">
              <w:rPr>
                <w:i/>
                <w:iCs/>
                <w:sz w:val="20"/>
                <w:szCs w:val="20"/>
                <w:vertAlign w:val="subscript"/>
              </w:rPr>
              <w:t>c</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Energy content of tissue</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7</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kJ/g</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Peters (1983)</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p. 235</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E</w:t>
            </w:r>
            <w:r w:rsidRPr="005F529A">
              <w:rPr>
                <w:i/>
                <w:iCs/>
                <w:sz w:val="20"/>
                <w:szCs w:val="20"/>
                <w:vertAlign w:val="subscript"/>
              </w:rPr>
              <w:t>s</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Energy cost of synthesis</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3.6</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kJ/g</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Sibly and Calow (1986)</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Calculated from p. 54-55</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E</w:t>
            </w:r>
            <w:r w:rsidRPr="005F529A">
              <w:rPr>
                <w:i/>
                <w:iCs/>
                <w:sz w:val="20"/>
                <w:szCs w:val="20"/>
                <w:vertAlign w:val="subscript"/>
              </w:rPr>
              <w:t>x</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Energy content of food</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0.56 – 21.2</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kJ/g</w:t>
            </w:r>
          </w:p>
        </w:tc>
        <w:tc>
          <w:tcPr>
            <w:tcW w:w="4181" w:type="dxa"/>
            <w:gridSpan w:val="2"/>
            <w:tcBorders>
              <w:top w:val="nil"/>
              <w:left w:val="nil"/>
              <w:bottom w:val="nil"/>
            </w:tcBorders>
          </w:tcPr>
          <w:p w:rsidR="0022463D" w:rsidRPr="005F529A" w:rsidRDefault="0022463D" w:rsidP="0022463D">
            <w:pPr>
              <w:spacing w:line="240" w:lineRule="auto"/>
              <w:rPr>
                <w:sz w:val="20"/>
                <w:szCs w:val="20"/>
              </w:rPr>
            </w:pPr>
            <w:r w:rsidRPr="005F529A">
              <w:rPr>
                <w:sz w:val="20"/>
                <w:szCs w:val="20"/>
              </w:rPr>
              <w:t>Range depends on diet. See section 2.3 and 2.4.2 for details.</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jc w:val="both"/>
              <w:rPr>
                <w:i/>
                <w:iCs/>
                <w:sz w:val="20"/>
                <w:szCs w:val="20"/>
              </w:rPr>
            </w:pPr>
            <w:r w:rsidRPr="005F529A">
              <w:rPr>
                <w:i/>
                <w:iCs/>
                <w:sz w:val="20"/>
                <w:szCs w:val="20"/>
              </w:rPr>
              <w:t>IG</w:t>
            </w:r>
            <w:r w:rsidRPr="005F529A">
              <w:rPr>
                <w:i/>
                <w:iCs/>
                <w:sz w:val="20"/>
                <w:szCs w:val="20"/>
                <w:vertAlign w:val="subscript"/>
              </w:rPr>
              <w:t>max</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Maximum ingestion rate</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0.805</w:t>
            </w:r>
          </w:p>
        </w:tc>
        <w:tc>
          <w:tcPr>
            <w:tcW w:w="1096" w:type="dxa"/>
            <w:tcBorders>
              <w:top w:val="nil"/>
              <w:left w:val="nil"/>
              <w:bottom w:val="nil"/>
              <w:right w:val="nil"/>
            </w:tcBorders>
          </w:tcPr>
          <w:p w:rsidR="0022463D" w:rsidRPr="005F529A" w:rsidRDefault="0022463D" w:rsidP="0022463D">
            <w:pPr>
              <w:spacing w:line="240" w:lineRule="auto"/>
              <w:rPr>
                <w:sz w:val="20"/>
                <w:szCs w:val="20"/>
                <w:vertAlign w:val="superscript"/>
              </w:rPr>
            </w:pPr>
            <w:r w:rsidRPr="005F529A">
              <w:rPr>
                <w:sz w:val="20"/>
                <w:szCs w:val="20"/>
              </w:rPr>
              <w:t>g/day/g</w:t>
            </w:r>
            <w:r w:rsidRPr="005F529A">
              <w:rPr>
                <w:sz w:val="20"/>
                <w:szCs w:val="20"/>
                <w:vertAlign w:val="superscript"/>
              </w:rPr>
              <w:t>2/3</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Taylor and Taylor (2014)</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Table 1, p. 181</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sz w:val="20"/>
                <w:szCs w:val="20"/>
              </w:rPr>
            </w:pPr>
            <w:r w:rsidRPr="005F529A">
              <w:rPr>
                <w:i/>
                <w:iCs/>
                <w:sz w:val="20"/>
                <w:szCs w:val="20"/>
              </w:rPr>
              <w:t>M</w:t>
            </w:r>
            <w:r w:rsidRPr="005F529A">
              <w:rPr>
                <w:i/>
                <w:iCs/>
                <w:sz w:val="20"/>
                <w:szCs w:val="20"/>
                <w:vertAlign w:val="subscript"/>
              </w:rPr>
              <w:t>b</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Mass at birth</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0.005 – 0.026</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g</w:t>
            </w:r>
          </w:p>
        </w:tc>
        <w:tc>
          <w:tcPr>
            <w:tcW w:w="1966" w:type="dxa"/>
            <w:tcBorders>
              <w:top w:val="nil"/>
              <w:left w:val="nil"/>
              <w:bottom w:val="nil"/>
              <w:right w:val="nil"/>
            </w:tcBorders>
          </w:tcPr>
          <w:p w:rsidR="0022463D" w:rsidRPr="005F529A" w:rsidRDefault="0022463D" w:rsidP="0022463D">
            <w:pPr>
              <w:spacing w:line="240" w:lineRule="auto"/>
              <w:rPr>
                <w:rStyle w:val="CommentReference"/>
                <w:sz w:val="20"/>
                <w:szCs w:val="20"/>
              </w:rPr>
            </w:pPr>
            <w:r w:rsidRPr="005F529A">
              <w:rPr>
                <w:rStyle w:val="CommentReference"/>
                <w:sz w:val="20"/>
                <w:szCs w:val="20"/>
              </w:rPr>
              <w:t>Pedersen and Bjerre (1991)</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See Appendix B</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M</w:t>
            </w:r>
            <w:r w:rsidRPr="005F529A">
              <w:rPr>
                <w:i/>
                <w:iCs/>
                <w:sz w:val="20"/>
                <w:szCs w:val="20"/>
                <w:vertAlign w:val="subscript"/>
              </w:rPr>
              <w:t>c</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Mass of cocoon</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0.008 – 0.035</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g</w:t>
            </w:r>
          </w:p>
        </w:tc>
        <w:tc>
          <w:tcPr>
            <w:tcW w:w="1966" w:type="dxa"/>
            <w:tcBorders>
              <w:top w:val="nil"/>
              <w:left w:val="nil"/>
              <w:bottom w:val="nil"/>
              <w:right w:val="nil"/>
            </w:tcBorders>
          </w:tcPr>
          <w:p w:rsidR="0022463D" w:rsidRPr="005F529A" w:rsidRDefault="0022463D" w:rsidP="0022463D">
            <w:pPr>
              <w:spacing w:line="240" w:lineRule="auto"/>
              <w:rPr>
                <w:rStyle w:val="CommentReference"/>
                <w:sz w:val="20"/>
                <w:szCs w:val="20"/>
              </w:rPr>
            </w:pPr>
            <w:r w:rsidRPr="005F529A">
              <w:rPr>
                <w:sz w:val="20"/>
                <w:szCs w:val="20"/>
              </w:rPr>
              <w:t xml:space="preserve">Boström and Lofs-Holmin (1986), Boström (1987) </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See Appendix B</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M</w:t>
            </w:r>
            <w:r w:rsidRPr="005F529A">
              <w:rPr>
                <w:i/>
                <w:iCs/>
                <w:sz w:val="20"/>
                <w:szCs w:val="20"/>
                <w:vertAlign w:val="subscript"/>
              </w:rPr>
              <w:t>p</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Mass at sexual maturity</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0.50</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g</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Lofs-Holmin (1983)</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Figure 6, p. 35</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M</w:t>
            </w:r>
            <w:r w:rsidRPr="005F529A">
              <w:rPr>
                <w:i/>
                <w:iCs/>
                <w:sz w:val="20"/>
                <w:szCs w:val="20"/>
                <w:vertAlign w:val="subscript"/>
              </w:rPr>
              <w:t>m</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Maximum asymptotic mass</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2.00</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g</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Lofs-Holmin (1983)</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Figure 1, p. 32</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r</w:t>
            </w:r>
            <w:r w:rsidRPr="005F529A">
              <w:rPr>
                <w:i/>
                <w:iCs/>
                <w:sz w:val="20"/>
                <w:szCs w:val="20"/>
                <w:vertAlign w:val="subscript"/>
              </w:rPr>
              <w:t>B</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Growth constant</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0.049</w:t>
            </w:r>
          </w:p>
        </w:tc>
        <w:tc>
          <w:tcPr>
            <w:tcW w:w="1096" w:type="dxa"/>
            <w:tcBorders>
              <w:top w:val="nil"/>
              <w:left w:val="nil"/>
              <w:bottom w:val="nil"/>
              <w:right w:val="nil"/>
            </w:tcBorders>
          </w:tcPr>
          <w:p w:rsidR="0022463D" w:rsidRPr="005F529A" w:rsidRDefault="0022463D" w:rsidP="0022463D">
            <w:pPr>
              <w:spacing w:line="240" w:lineRule="auto"/>
              <w:rPr>
                <w:sz w:val="20"/>
                <w:szCs w:val="20"/>
                <w:vertAlign w:val="superscript"/>
              </w:rPr>
            </w:pPr>
            <w:r w:rsidRPr="005F529A">
              <w:rPr>
                <w:sz w:val="20"/>
                <w:szCs w:val="20"/>
              </w:rPr>
              <w:t>/day</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Lofs-Holmin (1983)</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Figure 6, p. 35</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r</w:t>
            </w:r>
            <w:r w:rsidRPr="005F529A">
              <w:rPr>
                <w:i/>
                <w:iCs/>
                <w:sz w:val="20"/>
                <w:szCs w:val="20"/>
                <w:vertAlign w:val="subscript"/>
              </w:rPr>
              <w:t>m</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 xml:space="preserve">Maximum rate of energy allocation to reproduction </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0.054</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kJ/g/day</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Spurgeon et al. (2000)</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Table 2, p. 1803</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T</w:t>
            </w:r>
            <w:r w:rsidRPr="005F529A">
              <w:rPr>
                <w:i/>
                <w:iCs/>
                <w:sz w:val="20"/>
                <w:szCs w:val="20"/>
                <w:vertAlign w:val="subscript"/>
              </w:rPr>
              <w:t>0</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Incubation period</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62</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days</w:t>
            </w:r>
          </w:p>
        </w:tc>
        <w:tc>
          <w:tcPr>
            <w:tcW w:w="196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Holmstrup et al. (1991)</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Table 1, p. 181</w:t>
            </w:r>
          </w:p>
        </w:tc>
      </w:tr>
      <w:tr w:rsidR="0022463D" w:rsidRPr="005F529A" w:rsidTr="00ED11C9">
        <w:tc>
          <w:tcPr>
            <w:tcW w:w="861" w:type="dxa"/>
            <w:tcBorders>
              <w:top w:val="nil"/>
              <w:bottom w:val="nil"/>
              <w:right w:val="nil"/>
            </w:tcBorders>
          </w:tcPr>
          <w:p w:rsidR="0022463D" w:rsidRPr="005F529A" w:rsidRDefault="0022463D" w:rsidP="0022463D">
            <w:pPr>
              <w:spacing w:line="240" w:lineRule="auto"/>
              <w:rPr>
                <w:i/>
                <w:iCs/>
                <w:sz w:val="20"/>
                <w:szCs w:val="20"/>
              </w:rPr>
            </w:pPr>
            <w:r w:rsidRPr="005F529A">
              <w:rPr>
                <w:i/>
                <w:iCs/>
                <w:sz w:val="20"/>
                <w:szCs w:val="20"/>
              </w:rPr>
              <w:t>T</w:t>
            </w:r>
            <w:r w:rsidRPr="005F529A">
              <w:rPr>
                <w:i/>
                <w:iCs/>
                <w:sz w:val="20"/>
                <w:szCs w:val="20"/>
                <w:vertAlign w:val="subscript"/>
              </w:rPr>
              <w:t>ref</w:t>
            </w:r>
          </w:p>
        </w:tc>
        <w:tc>
          <w:tcPr>
            <w:tcW w:w="2114"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Reference temperature</w:t>
            </w:r>
          </w:p>
        </w:tc>
        <w:tc>
          <w:tcPr>
            <w:tcW w:w="1955"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288.15</w:t>
            </w:r>
          </w:p>
        </w:tc>
        <w:tc>
          <w:tcPr>
            <w:tcW w:w="1096" w:type="dxa"/>
            <w:tcBorders>
              <w:top w:val="nil"/>
              <w:left w:val="nil"/>
              <w:bottom w:val="nil"/>
              <w:right w:val="nil"/>
            </w:tcBorders>
          </w:tcPr>
          <w:p w:rsidR="0022463D" w:rsidRPr="005F529A" w:rsidRDefault="0022463D" w:rsidP="0022463D">
            <w:pPr>
              <w:spacing w:line="240" w:lineRule="auto"/>
              <w:rPr>
                <w:sz w:val="20"/>
                <w:szCs w:val="20"/>
              </w:rPr>
            </w:pPr>
            <w:r w:rsidRPr="005F529A">
              <w:rPr>
                <w:sz w:val="20"/>
                <w:szCs w:val="20"/>
              </w:rPr>
              <w:t>kelvin</w:t>
            </w:r>
          </w:p>
        </w:tc>
        <w:tc>
          <w:tcPr>
            <w:tcW w:w="1966" w:type="dxa"/>
            <w:vMerge w:val="restart"/>
            <w:tcBorders>
              <w:top w:val="nil"/>
              <w:left w:val="nil"/>
              <w:right w:val="nil"/>
            </w:tcBorders>
          </w:tcPr>
          <w:p w:rsidR="0022463D" w:rsidRPr="005F529A" w:rsidRDefault="0022463D" w:rsidP="0022463D">
            <w:pPr>
              <w:spacing w:line="240" w:lineRule="auto"/>
              <w:rPr>
                <w:sz w:val="20"/>
                <w:szCs w:val="20"/>
              </w:rPr>
            </w:pPr>
            <w:r w:rsidRPr="005F529A">
              <w:rPr>
                <w:sz w:val="20"/>
                <w:szCs w:val="20"/>
              </w:rPr>
              <w:t>Eriksen-Hamel and Whalen (2006)</w:t>
            </w:r>
          </w:p>
        </w:tc>
        <w:tc>
          <w:tcPr>
            <w:tcW w:w="2215" w:type="dxa"/>
            <w:tcBorders>
              <w:top w:val="nil"/>
              <w:left w:val="nil"/>
              <w:bottom w:val="nil"/>
            </w:tcBorders>
          </w:tcPr>
          <w:p w:rsidR="0022463D" w:rsidRPr="005F529A" w:rsidRDefault="0022463D" w:rsidP="0022463D">
            <w:pPr>
              <w:spacing w:line="240" w:lineRule="auto"/>
              <w:rPr>
                <w:sz w:val="20"/>
                <w:szCs w:val="20"/>
              </w:rPr>
            </w:pPr>
            <w:r w:rsidRPr="005F529A">
              <w:rPr>
                <w:sz w:val="20"/>
                <w:szCs w:val="20"/>
              </w:rPr>
              <w:t>Figure 1, p. 211</w:t>
            </w:r>
          </w:p>
        </w:tc>
      </w:tr>
      <w:tr w:rsidR="0022463D" w:rsidRPr="005F529A" w:rsidTr="00ED11C9">
        <w:tc>
          <w:tcPr>
            <w:tcW w:w="861" w:type="dxa"/>
            <w:tcBorders>
              <w:top w:val="nil"/>
              <w:bottom w:val="single" w:sz="4" w:space="0" w:color="auto"/>
              <w:right w:val="nil"/>
            </w:tcBorders>
          </w:tcPr>
          <w:p w:rsidR="0022463D" w:rsidRPr="005F529A" w:rsidRDefault="0022463D" w:rsidP="0022463D">
            <w:pPr>
              <w:spacing w:line="240" w:lineRule="auto"/>
              <w:rPr>
                <w:i/>
                <w:iCs/>
                <w:sz w:val="20"/>
              </w:rPr>
            </w:pPr>
          </w:p>
        </w:tc>
        <w:tc>
          <w:tcPr>
            <w:tcW w:w="2114" w:type="dxa"/>
            <w:tcBorders>
              <w:top w:val="nil"/>
              <w:left w:val="nil"/>
              <w:bottom w:val="single" w:sz="4" w:space="0" w:color="auto"/>
              <w:right w:val="nil"/>
            </w:tcBorders>
          </w:tcPr>
          <w:p w:rsidR="0022463D" w:rsidRPr="005F529A" w:rsidRDefault="0022463D" w:rsidP="0022463D">
            <w:pPr>
              <w:spacing w:line="240" w:lineRule="auto"/>
              <w:rPr>
                <w:sz w:val="20"/>
              </w:rPr>
            </w:pPr>
            <w:r w:rsidRPr="005F529A">
              <w:rPr>
                <w:sz w:val="20"/>
              </w:rPr>
              <w:t>Background mortality rate</w:t>
            </w:r>
          </w:p>
        </w:tc>
        <w:tc>
          <w:tcPr>
            <w:tcW w:w="1955" w:type="dxa"/>
            <w:tcBorders>
              <w:top w:val="nil"/>
              <w:left w:val="nil"/>
              <w:bottom w:val="single" w:sz="4" w:space="0" w:color="auto"/>
              <w:right w:val="nil"/>
            </w:tcBorders>
          </w:tcPr>
          <w:p w:rsidR="0022463D" w:rsidRPr="005F529A" w:rsidRDefault="0022463D" w:rsidP="0022463D">
            <w:pPr>
              <w:spacing w:line="240" w:lineRule="auto"/>
              <w:rPr>
                <w:sz w:val="20"/>
              </w:rPr>
            </w:pPr>
            <w:r w:rsidRPr="005F529A">
              <w:rPr>
                <w:sz w:val="20"/>
              </w:rPr>
              <w:t>0.14</w:t>
            </w:r>
          </w:p>
        </w:tc>
        <w:tc>
          <w:tcPr>
            <w:tcW w:w="1096" w:type="dxa"/>
            <w:tcBorders>
              <w:top w:val="nil"/>
              <w:left w:val="nil"/>
              <w:bottom w:val="single" w:sz="4" w:space="0" w:color="auto"/>
              <w:right w:val="nil"/>
            </w:tcBorders>
          </w:tcPr>
          <w:p w:rsidR="0022463D" w:rsidRPr="005F529A" w:rsidRDefault="0022463D" w:rsidP="0022463D">
            <w:pPr>
              <w:spacing w:line="240" w:lineRule="auto"/>
              <w:rPr>
                <w:sz w:val="20"/>
              </w:rPr>
            </w:pPr>
            <w:r w:rsidRPr="005F529A">
              <w:rPr>
                <w:sz w:val="20"/>
              </w:rPr>
              <w:t>%/day</w:t>
            </w:r>
          </w:p>
        </w:tc>
        <w:tc>
          <w:tcPr>
            <w:tcW w:w="1966" w:type="dxa"/>
            <w:vMerge/>
            <w:tcBorders>
              <w:left w:val="nil"/>
              <w:bottom w:val="single" w:sz="4" w:space="0" w:color="auto"/>
              <w:right w:val="nil"/>
            </w:tcBorders>
          </w:tcPr>
          <w:p w:rsidR="0022463D" w:rsidRPr="005F529A" w:rsidRDefault="0022463D" w:rsidP="0022463D">
            <w:pPr>
              <w:spacing w:line="240" w:lineRule="auto"/>
              <w:rPr>
                <w:sz w:val="20"/>
              </w:rPr>
            </w:pPr>
          </w:p>
        </w:tc>
        <w:tc>
          <w:tcPr>
            <w:tcW w:w="2215" w:type="dxa"/>
            <w:tcBorders>
              <w:top w:val="nil"/>
              <w:left w:val="nil"/>
              <w:bottom w:val="single" w:sz="4" w:space="0" w:color="auto"/>
            </w:tcBorders>
          </w:tcPr>
          <w:p w:rsidR="0022463D" w:rsidRPr="005F529A" w:rsidRDefault="0022463D" w:rsidP="0022463D">
            <w:pPr>
              <w:spacing w:line="240" w:lineRule="auto"/>
              <w:rPr>
                <w:sz w:val="20"/>
              </w:rPr>
            </w:pPr>
            <w:r w:rsidRPr="005F529A">
              <w:rPr>
                <w:sz w:val="20"/>
              </w:rPr>
              <w:t>p. 210</w:t>
            </w:r>
          </w:p>
        </w:tc>
      </w:tr>
    </w:tbl>
    <w:p w:rsidR="0022463D" w:rsidRDefault="0022463D" w:rsidP="0022463D">
      <w:pPr>
        <w:tabs>
          <w:tab w:val="left" w:pos="1916"/>
        </w:tabs>
        <w:spacing w:line="240" w:lineRule="auto"/>
        <w:rPr>
          <w:i/>
          <w:szCs w:val="24"/>
        </w:rPr>
      </w:pPr>
    </w:p>
    <w:p w:rsidR="0022463D" w:rsidRDefault="0022463D" w:rsidP="0022463D">
      <w:pPr>
        <w:tabs>
          <w:tab w:val="left" w:pos="1916"/>
        </w:tabs>
        <w:spacing w:line="240" w:lineRule="auto"/>
        <w:rPr>
          <w:i/>
          <w:szCs w:val="24"/>
        </w:rPr>
      </w:pPr>
    </w:p>
    <w:p w:rsidR="00326F15" w:rsidRPr="0022463D" w:rsidRDefault="00326F15" w:rsidP="0022463D">
      <w:pPr>
        <w:tabs>
          <w:tab w:val="left" w:pos="1916"/>
        </w:tabs>
        <w:spacing w:line="240" w:lineRule="auto"/>
        <w:rPr>
          <w:szCs w:val="24"/>
        </w:rPr>
      </w:pPr>
      <w:r w:rsidRPr="000F3F54">
        <w:rPr>
          <w:i/>
          <w:szCs w:val="24"/>
        </w:rPr>
        <w:t>Maintenance</w:t>
      </w:r>
    </w:p>
    <w:p w:rsidR="00326F15" w:rsidRPr="000F3F54" w:rsidRDefault="00326F15" w:rsidP="0022463D">
      <w:pPr>
        <w:spacing w:line="240" w:lineRule="auto"/>
        <w:rPr>
          <w:szCs w:val="24"/>
        </w:rPr>
      </w:pPr>
      <w:r w:rsidRPr="000F3F54">
        <w:rPr>
          <w:szCs w:val="24"/>
        </w:rPr>
        <w:t>The basal metabolic rate (</w:t>
      </w:r>
      <w:r w:rsidRPr="000F3F54">
        <w:rPr>
          <w:i/>
          <w:szCs w:val="24"/>
        </w:rPr>
        <w:t>B</w:t>
      </w:r>
      <w:r w:rsidRPr="000F3F54">
        <w:rPr>
          <w:szCs w:val="24"/>
        </w:rPr>
        <w:t xml:space="preserve">) is the level of metabolism below which </w:t>
      </w:r>
      <w:r w:rsidR="00C95D64">
        <w:rPr>
          <w:szCs w:val="24"/>
        </w:rPr>
        <w:t>an organism cannot survive (Fry</w:t>
      </w:r>
      <w:r w:rsidR="00310E5C">
        <w:rPr>
          <w:szCs w:val="24"/>
        </w:rPr>
        <w:t>,</w:t>
      </w:r>
      <w:r w:rsidRPr="000F3F54">
        <w:rPr>
          <w:szCs w:val="24"/>
        </w:rPr>
        <w:t xml:space="preserve"> 1971), and is used here as a measure of maintenance costs. Costs of movement, small in earthworms, are here included in maintenance. </w:t>
      </w:r>
      <w:r w:rsidRPr="000F3F54">
        <w:rPr>
          <w:i/>
          <w:szCs w:val="24"/>
        </w:rPr>
        <w:t>B</w:t>
      </w:r>
      <w:r w:rsidRPr="000F3F54">
        <w:rPr>
          <w:szCs w:val="24"/>
        </w:rPr>
        <w:t xml:space="preserve"> </w:t>
      </w:r>
      <w:r>
        <w:rPr>
          <w:szCs w:val="24"/>
        </w:rPr>
        <w:t xml:space="preserve">(kJ/day) </w:t>
      </w:r>
      <w:r w:rsidRPr="000F3F54">
        <w:rPr>
          <w:szCs w:val="24"/>
        </w:rPr>
        <w:t>is known to scale with body mass (</w:t>
      </w:r>
      <w:r w:rsidRPr="000F3F54">
        <w:rPr>
          <w:i/>
          <w:szCs w:val="24"/>
        </w:rPr>
        <w:t>M</w:t>
      </w:r>
      <w:r w:rsidRPr="000F3F54">
        <w:rPr>
          <w:szCs w:val="24"/>
        </w:rPr>
        <w:t>) as a power law and temperature (</w:t>
      </w:r>
      <w:r w:rsidRPr="000F3F54">
        <w:rPr>
          <w:i/>
          <w:szCs w:val="24"/>
        </w:rPr>
        <w:t>T</w:t>
      </w:r>
      <w:r w:rsidRPr="000F3F54">
        <w:rPr>
          <w:szCs w:val="24"/>
        </w:rPr>
        <w:t xml:space="preserve">), measured in grams and kelvins respectively, according to the equation: </w:t>
      </w:r>
    </w:p>
    <w:p w:rsidR="00326F15" w:rsidRPr="000F3F54" w:rsidRDefault="00326F15" w:rsidP="0022463D">
      <w:pPr>
        <w:spacing w:line="240" w:lineRule="auto"/>
        <w:rPr>
          <w:szCs w:val="24"/>
        </w:rPr>
      </w:pPr>
    </w:p>
    <w:p w:rsidR="00326F15" w:rsidRPr="000F3F54" w:rsidRDefault="005836CC" w:rsidP="0022463D">
      <w:pPr>
        <w:spacing w:line="240" w:lineRule="auto"/>
        <w:ind w:left="720" w:firstLine="720"/>
        <w:jc w:val="right"/>
        <w:rPr>
          <w:szCs w:val="24"/>
        </w:rPr>
      </w:pPr>
      <w:r w:rsidRPr="005836CC">
        <w:rPr>
          <w:szCs w:val="24"/>
        </w:rPr>
        <w:fldChar w:fldCharType="begin"/>
      </w:r>
      <w:r w:rsidRPr="005836CC">
        <w:rPr>
          <w:szCs w:val="24"/>
        </w:rPr>
        <w:instrText xml:space="preserve"> QUOTE </w:instrText>
      </w:r>
      <m:oMath>
        <m:sSup>
          <m:sSupPr>
            <m:ctrlPr>
              <w:rPr>
                <w:rFonts w:ascii="Cambria Math" w:eastAsia="Times New Roman" w:hAnsi="Cambria Math"/>
                <w:i/>
                <w:color w:val="000000"/>
                <w:szCs w:val="24"/>
              </w:rPr>
            </m:ctrlPr>
          </m:sSupPr>
          <m:e>
            <m:r>
              <m:rPr>
                <m:sty m:val="p"/>
              </m:rPr>
              <w:rPr>
                <w:rFonts w:ascii="Cambria Math" w:hAnsi="Cambria Math"/>
                <w:szCs w:val="24"/>
              </w:rPr>
              <m:t xml:space="preserve"> B=</m:t>
            </m:r>
            <m:sSub>
              <m:sSubPr>
                <m:ctrlPr>
                  <w:rPr>
                    <w:rFonts w:ascii="Cambria Math" w:hAnsi="Cambria Math"/>
                    <w:i/>
                    <w:szCs w:val="24"/>
                  </w:rPr>
                </m:ctrlPr>
              </m:sSubPr>
              <m:e>
                <m:r>
                  <m:rPr>
                    <m:sty m:val="p"/>
                  </m:rPr>
                  <w:rPr>
                    <w:rFonts w:ascii="Cambria Math" w:hAnsi="Cambria Math"/>
                    <w:szCs w:val="24"/>
                  </w:rPr>
                  <m:t>B</m:t>
                </m:r>
              </m:e>
              <m:sub>
                <m:r>
                  <m:rPr>
                    <m:sty m:val="p"/>
                  </m:rPr>
                  <w:rPr>
                    <w:rFonts w:ascii="Cambria Math" w:hAnsi="Cambria Math"/>
                    <w:szCs w:val="24"/>
                  </w:rPr>
                  <m:t>0</m:t>
                </m:r>
              </m:sub>
            </m:sSub>
            <m:sSup>
              <m:sSupPr>
                <m:ctrlPr>
                  <w:rPr>
                    <w:rFonts w:ascii="Cambria Math" w:hAnsi="Cambria Math"/>
                    <w:i/>
                    <w:szCs w:val="24"/>
                  </w:rPr>
                </m:ctrlPr>
              </m:sSupPr>
              <m:e>
                <m:r>
                  <m:rPr>
                    <m:sty m:val="p"/>
                  </m:rPr>
                  <w:rPr>
                    <w:rFonts w:ascii="Cambria Math" w:hAnsi="Cambria Math"/>
                    <w:szCs w:val="24"/>
                  </w:rPr>
                  <m:t>M</m:t>
                </m:r>
              </m:e>
              <m:sup>
                <m:r>
                  <m:rPr>
                    <m:sty m:val="p"/>
                  </m:rPr>
                  <w:rPr>
                    <w:rFonts w:ascii="Cambria Math" w:hAnsi="Cambria Math"/>
                    <w:szCs w:val="24"/>
                  </w:rPr>
                  <m:t>3/4</m:t>
                </m:r>
              </m:sup>
            </m:sSup>
            <m:sSup>
              <m:sSupPr>
                <m:ctrlPr>
                  <w:rPr>
                    <w:rFonts w:ascii="Cambria Math" w:eastAsia="Times New Roman" w:hAnsi="Cambria Math"/>
                    <w:color w:val="000000"/>
                    <w:szCs w:val="24"/>
                  </w:rPr>
                </m:ctrlPr>
              </m:sSupPr>
              <m:e>
                <m:r>
                  <m:rPr>
                    <m:sty m:val="p"/>
                  </m:rPr>
                  <w:rPr>
                    <w:rFonts w:ascii="Cambria Math" w:eastAsia="Times New Roman" w:hAnsi="Cambria Math"/>
                    <w:color w:val="000000"/>
                    <w:szCs w:val="24"/>
                  </w:rPr>
                  <m:t>e</m:t>
                </m:r>
              </m:e>
              <m:sup>
                <m:f>
                  <m:fPr>
                    <m:type m:val="lin"/>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-E</m:t>
                    </m:r>
                  </m:num>
                  <m:den>
                    <m:r>
                      <m:rPr>
                        <m:sty m:val="p"/>
                      </m:rPr>
                      <w:rPr>
                        <w:rFonts w:ascii="Cambria Math" w:eastAsia="Times New Roman" w:hAnsi="Cambria Math"/>
                        <w:color w:val="000000"/>
                        <w:szCs w:val="24"/>
                      </w:rPr>
                      <m:t>kT</m:t>
                    </m:r>
                  </m:den>
                </m:f>
              </m:sup>
            </m:sSup>
          </m:e>
          <m:sup>
            <m:r>
              <m:rPr>
                <m:sty m:val="p"/>
              </m:rPr>
              <w:rPr>
                <w:rFonts w:ascii="Cambria Math" w:eastAsia="Times New Roman" w:hAnsi="Cambria Math"/>
                <w:color w:val="000000"/>
                <w:szCs w:val="24"/>
              </w:rPr>
              <m:t xml:space="preserve"> </m:t>
            </m:r>
          </m:sup>
        </m:sSup>
      </m:oMath>
      <w:r w:rsidRPr="005836CC">
        <w:rPr>
          <w:szCs w:val="24"/>
        </w:rPr>
        <w:instrText xml:space="preserve"> </w:instrText>
      </w:r>
      <w:r w:rsidRPr="005836CC">
        <w:rPr>
          <w:szCs w:val="24"/>
        </w:rPr>
        <w:fldChar w:fldCharType="separate"/>
      </w:r>
      <m:oMath>
        <m:sSup>
          <m:sSupPr>
            <m:ctrlPr>
              <w:rPr>
                <w:rFonts w:ascii="Cambria Math" w:eastAsia="Times New Roman" w:hAnsi="Cambria Math"/>
                <w:i/>
                <w:color w:val="000000"/>
                <w:szCs w:val="24"/>
              </w:rPr>
            </m:ctrlPr>
          </m:sSupPr>
          <m:e>
            <m:r>
              <m:rPr>
                <m:sty m:val="p"/>
              </m:rPr>
              <w:rPr>
                <w:rFonts w:ascii="Cambria Math" w:hAnsi="Cambria Math"/>
                <w:szCs w:val="24"/>
              </w:rPr>
              <m:t xml:space="preserve"> B=</m:t>
            </m:r>
            <m:sSub>
              <m:sSubPr>
                <m:ctrlPr>
                  <w:rPr>
                    <w:rFonts w:ascii="Cambria Math" w:hAnsi="Cambria Math"/>
                    <w:i/>
                    <w:szCs w:val="24"/>
                  </w:rPr>
                </m:ctrlPr>
              </m:sSubPr>
              <m:e>
                <m:r>
                  <m:rPr>
                    <m:sty m:val="p"/>
                  </m:rPr>
                  <w:rPr>
                    <w:rFonts w:ascii="Cambria Math" w:hAnsi="Cambria Math"/>
                    <w:szCs w:val="24"/>
                  </w:rPr>
                  <m:t>B</m:t>
                </m:r>
              </m:e>
              <m:sub>
                <m:r>
                  <m:rPr>
                    <m:sty m:val="p"/>
                  </m:rPr>
                  <w:rPr>
                    <w:rFonts w:ascii="Cambria Math" w:hAnsi="Cambria Math"/>
                    <w:szCs w:val="24"/>
                  </w:rPr>
                  <m:t>0</m:t>
                </m:r>
              </m:sub>
            </m:sSub>
            <m:sSup>
              <m:sSupPr>
                <m:ctrlPr>
                  <w:rPr>
                    <w:rFonts w:ascii="Cambria Math" w:hAnsi="Cambria Math"/>
                    <w:i/>
                    <w:szCs w:val="24"/>
                  </w:rPr>
                </m:ctrlPr>
              </m:sSupPr>
              <m:e>
                <m:r>
                  <m:rPr>
                    <m:sty m:val="p"/>
                  </m:rPr>
                  <w:rPr>
                    <w:rFonts w:ascii="Cambria Math" w:hAnsi="Cambria Math"/>
                    <w:szCs w:val="24"/>
                  </w:rPr>
                  <m:t>M</m:t>
                </m:r>
              </m:e>
              <m:sup>
                <m:r>
                  <m:rPr>
                    <m:sty m:val="p"/>
                  </m:rPr>
                  <w:rPr>
                    <w:rFonts w:ascii="Cambria Math" w:hAnsi="Cambria Math"/>
                    <w:szCs w:val="24"/>
                  </w:rPr>
                  <m:t>3/4</m:t>
                </m:r>
              </m:sup>
            </m:sSup>
            <m:sSup>
              <m:sSupPr>
                <m:ctrlPr>
                  <w:rPr>
                    <w:rFonts w:ascii="Cambria Math" w:eastAsia="Times New Roman" w:hAnsi="Cambria Math"/>
                    <w:color w:val="000000"/>
                    <w:szCs w:val="24"/>
                  </w:rPr>
                </m:ctrlPr>
              </m:sSupPr>
              <m:e>
                <m:r>
                  <m:rPr>
                    <m:sty m:val="p"/>
                  </m:rPr>
                  <w:rPr>
                    <w:rFonts w:ascii="Cambria Math" w:eastAsia="Times New Roman" w:hAnsi="Cambria Math"/>
                    <w:color w:val="000000"/>
                    <w:szCs w:val="24"/>
                  </w:rPr>
                  <m:t>e</m:t>
                </m:r>
              </m:e>
              <m:sup>
                <m:f>
                  <m:fPr>
                    <m:type m:val="lin"/>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-E</m:t>
                    </m:r>
                  </m:num>
                  <m:den>
                    <m:r>
                      <m:rPr>
                        <m:sty m:val="p"/>
                      </m:rPr>
                      <w:rPr>
                        <w:rFonts w:ascii="Cambria Math" w:eastAsia="Times New Roman" w:hAnsi="Cambria Math"/>
                        <w:color w:val="000000"/>
                        <w:szCs w:val="24"/>
                      </w:rPr>
                      <m:t>kT</m:t>
                    </m:r>
                  </m:den>
                </m:f>
              </m:sup>
            </m:sSup>
          </m:e>
          <m:sup>
            <m:r>
              <m:rPr>
                <m:sty m:val="p"/>
              </m:rPr>
              <w:rPr>
                <w:rFonts w:ascii="Cambria Math" w:eastAsia="Times New Roman" w:hAnsi="Cambria Math"/>
                <w:color w:val="000000"/>
                <w:szCs w:val="24"/>
              </w:rPr>
              <m:t xml:space="preserve"> </m:t>
            </m:r>
          </m:sup>
        </m:sSup>
      </m:oMath>
      <w:r w:rsidR="00C95D64" w:rsidRPr="00240447">
        <w:rPr>
          <w:szCs w:val="24"/>
        </w:rPr>
        <w:t xml:space="preserve">  </w:t>
      </w:r>
      <w:r w:rsidRPr="005836CC">
        <w:rPr>
          <w:szCs w:val="24"/>
        </w:rPr>
        <w:fldChar w:fldCharType="end"/>
      </w:r>
      <w:r w:rsidR="00326F15">
        <w:rPr>
          <w:szCs w:val="24"/>
        </w:rPr>
        <w:t xml:space="preserve">                   </w:t>
      </w:r>
      <w:r w:rsidR="00326F15" w:rsidRPr="000F3F54">
        <w:rPr>
          <w:szCs w:val="24"/>
        </w:rPr>
        <w:t xml:space="preserve">    </w:t>
      </w:r>
      <w:r w:rsidR="00C95D64">
        <w:rPr>
          <w:szCs w:val="24"/>
        </w:rPr>
        <w:t xml:space="preserve">                           Eq. A</w:t>
      </w:r>
      <w:r w:rsidR="00C84BBA">
        <w:rPr>
          <w:szCs w:val="24"/>
        </w:rPr>
        <w:t>.</w:t>
      </w:r>
      <w:r w:rsidR="00C95D64">
        <w:rPr>
          <w:szCs w:val="24"/>
        </w:rPr>
        <w:t>1</w:t>
      </w:r>
    </w:p>
    <w:p w:rsidR="00326F15" w:rsidRPr="000F3F54" w:rsidRDefault="00326F15" w:rsidP="0022463D">
      <w:pPr>
        <w:spacing w:line="240" w:lineRule="auto"/>
        <w:rPr>
          <w:szCs w:val="24"/>
        </w:rPr>
      </w:pPr>
    </w:p>
    <w:p w:rsidR="00326F15" w:rsidRPr="000F3F54" w:rsidRDefault="00326F15" w:rsidP="0022463D">
      <w:pPr>
        <w:spacing w:line="240" w:lineRule="auto"/>
        <w:rPr>
          <w:szCs w:val="24"/>
        </w:rPr>
      </w:pPr>
      <w:r w:rsidRPr="000F3F54">
        <w:rPr>
          <w:szCs w:val="24"/>
        </w:rPr>
        <w:t xml:space="preserve">where </w:t>
      </w:r>
      <w:r w:rsidRPr="000F3F54">
        <w:rPr>
          <w:i/>
          <w:iCs/>
          <w:szCs w:val="24"/>
        </w:rPr>
        <w:t>B</w:t>
      </w:r>
      <w:r w:rsidRPr="000F3F54">
        <w:rPr>
          <w:szCs w:val="24"/>
          <w:vertAlign w:val="subscript"/>
        </w:rPr>
        <w:t>o</w:t>
      </w:r>
      <w:r w:rsidRPr="000F3F54">
        <w:rPr>
          <w:i/>
          <w:iCs/>
          <w:szCs w:val="24"/>
        </w:rPr>
        <w:t xml:space="preserve"> </w:t>
      </w:r>
      <w:r w:rsidRPr="000F3F54">
        <w:rPr>
          <w:szCs w:val="24"/>
        </w:rPr>
        <w:t xml:space="preserve">is a taxon-specific normalization constant, </w:t>
      </w:r>
      <w:r w:rsidRPr="000F3F54">
        <w:rPr>
          <w:i/>
          <w:szCs w:val="24"/>
        </w:rPr>
        <w:t>M</w:t>
      </w:r>
      <w:r w:rsidRPr="000F3F54">
        <w:rPr>
          <w:i/>
          <w:szCs w:val="24"/>
          <w:vertAlign w:val="superscript"/>
        </w:rPr>
        <w:t>3/4</w:t>
      </w:r>
      <w:r w:rsidRPr="000F3F54">
        <w:rPr>
          <w:i/>
          <w:szCs w:val="24"/>
        </w:rPr>
        <w:t xml:space="preserve"> </w:t>
      </w:r>
      <w:r w:rsidRPr="000F3F54">
        <w:rPr>
          <w:szCs w:val="24"/>
        </w:rPr>
        <w:t xml:space="preserve">is the scaling with body mass, </w:t>
      </w:r>
      <w:r w:rsidRPr="000F3F54">
        <w:rPr>
          <w:i/>
          <w:szCs w:val="24"/>
        </w:rPr>
        <w:t>e</w:t>
      </w:r>
      <w:r w:rsidRPr="000F3F54">
        <w:rPr>
          <w:i/>
          <w:szCs w:val="24"/>
          <w:vertAlign w:val="superscript"/>
        </w:rPr>
        <w:t>-E/κT</w:t>
      </w:r>
      <w:r w:rsidRPr="000F3F54">
        <w:rPr>
          <w:szCs w:val="24"/>
        </w:rPr>
        <w:t xml:space="preserve"> is the exponential Arrhenius function, </w:t>
      </w:r>
      <w:r w:rsidRPr="000F3F54">
        <w:rPr>
          <w:i/>
          <w:szCs w:val="24"/>
        </w:rPr>
        <w:t>E</w:t>
      </w:r>
      <w:r w:rsidRPr="000F3F54">
        <w:rPr>
          <w:szCs w:val="24"/>
        </w:rPr>
        <w:t xml:space="preserve"> is the activation energy, </w:t>
      </w:r>
      <w:r w:rsidRPr="000F3F54">
        <w:rPr>
          <w:i/>
          <w:szCs w:val="24"/>
        </w:rPr>
        <w:t>κ</w:t>
      </w:r>
      <w:r w:rsidRPr="000F3F54">
        <w:rPr>
          <w:szCs w:val="24"/>
        </w:rPr>
        <w:t xml:space="preserve"> is the Boltzmann’s constant  (</w:t>
      </w:r>
      <w:r w:rsidRPr="000F3F54">
        <w:rPr>
          <w:szCs w:val="24"/>
          <w:lang w:val="en-US"/>
        </w:rPr>
        <w:t>8.62 x 10</w:t>
      </w:r>
      <w:r w:rsidRPr="000F3F54">
        <w:rPr>
          <w:szCs w:val="24"/>
          <w:vertAlign w:val="superscript"/>
          <w:lang w:val="en-US"/>
        </w:rPr>
        <w:t>-5</w:t>
      </w:r>
      <w:r w:rsidRPr="000F3F54">
        <w:rPr>
          <w:szCs w:val="24"/>
          <w:lang w:val="en-US"/>
        </w:rPr>
        <w:t xml:space="preserve"> eV K</w:t>
      </w:r>
      <w:r w:rsidRPr="000F3F54">
        <w:rPr>
          <w:szCs w:val="24"/>
          <w:vertAlign w:val="superscript"/>
          <w:lang w:val="en-US"/>
        </w:rPr>
        <w:t>-1</w:t>
      </w:r>
      <w:r w:rsidR="00993247">
        <w:rPr>
          <w:szCs w:val="24"/>
        </w:rPr>
        <w:t>) (Table A</w:t>
      </w:r>
      <w:r w:rsidR="00C84BBA">
        <w:rPr>
          <w:szCs w:val="24"/>
        </w:rPr>
        <w:t>.</w:t>
      </w:r>
      <w:r w:rsidR="00C95D64">
        <w:rPr>
          <w:szCs w:val="24"/>
        </w:rPr>
        <w:t>1) (Peters</w:t>
      </w:r>
      <w:r w:rsidR="00310E5C">
        <w:rPr>
          <w:szCs w:val="24"/>
        </w:rPr>
        <w:t>,</w:t>
      </w:r>
      <w:r w:rsidR="00C95D64">
        <w:rPr>
          <w:szCs w:val="24"/>
        </w:rPr>
        <w:t xml:space="preserve"> 1983, Gillooly et al.</w:t>
      </w:r>
      <w:r w:rsidR="00310E5C">
        <w:rPr>
          <w:szCs w:val="24"/>
        </w:rPr>
        <w:t>,</w:t>
      </w:r>
      <w:r w:rsidR="00C95D64">
        <w:rPr>
          <w:szCs w:val="24"/>
        </w:rPr>
        <w:t xml:space="preserve"> 2001,</w:t>
      </w:r>
      <w:r w:rsidRPr="000F3F54">
        <w:rPr>
          <w:szCs w:val="24"/>
        </w:rPr>
        <w:t xml:space="preserve"> Brown </w:t>
      </w:r>
      <w:r w:rsidR="00C95D64">
        <w:rPr>
          <w:szCs w:val="24"/>
        </w:rPr>
        <w:t>and Sibly</w:t>
      </w:r>
      <w:r w:rsidR="00310E5C">
        <w:rPr>
          <w:szCs w:val="24"/>
        </w:rPr>
        <w:t>,</w:t>
      </w:r>
      <w:r w:rsidRPr="000F3F54">
        <w:rPr>
          <w:szCs w:val="24"/>
        </w:rPr>
        <w:t xml:space="preserve"> 2012). In what follows it is sometimes convenient to consider effects of temperature relative to a reference temperature, T</w:t>
      </w:r>
      <w:r w:rsidRPr="000F3F54">
        <w:rPr>
          <w:szCs w:val="24"/>
          <w:vertAlign w:val="subscript"/>
        </w:rPr>
        <w:t>ref</w:t>
      </w:r>
      <w:r w:rsidRPr="000F3F54">
        <w:rPr>
          <w:szCs w:val="24"/>
        </w:rPr>
        <w:t xml:space="preserve">. The effect </w:t>
      </w:r>
      <w:r w:rsidR="00C95D64">
        <w:rPr>
          <w:szCs w:val="24"/>
        </w:rPr>
        <w:t xml:space="preserve">of temperature is then given by </w:t>
      </w:r>
      <m:oMath>
        <m:sSup>
          <m:sSupPr>
            <m:ctrlPr>
              <w:rPr>
                <w:rFonts w:ascii="Cambria Math" w:eastAsia="Times New Roman" w:hAnsi="Cambria Math"/>
                <w:i/>
                <w:color w:val="000000"/>
                <w:szCs w:val="24"/>
              </w:rPr>
            </m:ctrlPr>
          </m:sSupPr>
          <m:e>
            <m:r>
              <w:rPr>
                <w:rFonts w:ascii="Cambria Math" w:eastAsia="Times New Roman" w:hAnsi="Cambria Math"/>
                <w:color w:val="000000"/>
                <w:szCs w:val="24"/>
              </w:rPr>
              <m:t>e</m:t>
            </m:r>
          </m:e>
          <m:sup>
            <m:f>
              <m:fPr>
                <m:ctrlPr>
                  <w:rPr>
                    <w:rFonts w:ascii="Cambria Math" w:eastAsia="Times New Roman" w:hAnsi="Cambria Math"/>
                    <w:i/>
                    <w:color w:val="000000"/>
                    <w:szCs w:val="24"/>
                  </w:rPr>
                </m:ctrlPr>
              </m:fPr>
              <m:num>
                <m:r>
                  <w:rPr>
                    <w:rFonts w:ascii="Cambria Math" w:eastAsia="Times New Roman" w:hAnsi="Cambria Math"/>
                    <w:color w:val="000000"/>
                    <w:szCs w:val="24"/>
                  </w:rPr>
                  <m:t>-E</m:t>
                </m:r>
              </m:num>
              <m:den>
                <m:r>
                  <w:rPr>
                    <w:rFonts w:ascii="Cambria Math" w:eastAsia="Times New Roman" w:hAnsi="Cambria Math"/>
                    <w:color w:val="000000"/>
                    <w:szCs w:val="24"/>
                  </w:rPr>
                  <m:t>κ</m:t>
                </m:r>
              </m:den>
            </m:f>
            <m:r>
              <w:rPr>
                <w:rFonts w:ascii="Cambria Math" w:eastAsia="Times New Roman" w:hAnsi="Cambria Math"/>
                <w:color w:val="000000"/>
                <w:szCs w:val="24"/>
              </w:rPr>
              <m:t xml:space="preserve"> </m:t>
            </m:r>
            <m:d>
              <m:dPr>
                <m:ctrlPr>
                  <w:rPr>
                    <w:rFonts w:ascii="Cambria Math" w:eastAsia="Times New Roman" w:hAnsi="Cambria Math"/>
                    <w:i/>
                    <w:color w:val="000000"/>
                    <w:szCs w:val="24"/>
                  </w:rPr>
                </m:ctrlPr>
              </m:dPr>
              <m:e>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r>
                      <w:rPr>
                        <w:rFonts w:ascii="Cambria Math" w:eastAsia="Times New Roman" w:hAnsi="Cambria Math"/>
                        <w:color w:val="000000"/>
                        <w:szCs w:val="24"/>
                      </w:rPr>
                      <m:t>T</m:t>
                    </m:r>
                  </m:den>
                </m:f>
                <m:r>
                  <w:rPr>
                    <w:rFonts w:ascii="Cambria Math" w:eastAsia="Times New Roman" w:hAnsi="Cambria Math"/>
                    <w:color w:val="000000"/>
                    <w:szCs w:val="24"/>
                  </w:rPr>
                  <m:t>-</m:t>
                </m:r>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ref</m:t>
                        </m:r>
                      </m:sub>
                    </m:sSub>
                  </m:den>
                </m:f>
              </m:e>
            </m:d>
          </m:sup>
        </m:sSup>
      </m:oMath>
      <w:r w:rsidR="005836CC" w:rsidRPr="005836CC">
        <w:rPr>
          <w:szCs w:val="24"/>
        </w:rPr>
        <w:fldChar w:fldCharType="begin"/>
      </w:r>
      <w:r w:rsidR="005836CC" w:rsidRPr="005836CC">
        <w:rPr>
          <w:szCs w:val="24"/>
        </w:rPr>
        <w:instrText xml:space="preserve"> QUOTE </w:instrText>
      </w:r>
      <m:oMath>
        <m:sSup>
          <m:sSupPr>
            <m:ctrlPr>
              <w:rPr>
                <w:rFonts w:ascii="Cambria Math" w:eastAsia="Times New Roman" w:hAnsi="Cambria Math"/>
                <w:i/>
                <w:color w:val="000000"/>
                <w:szCs w:val="24"/>
              </w:rPr>
            </m:ctrlPr>
          </m:sSupPr>
          <m:e>
            <m:r>
              <m:rPr>
                <m:sty m:val="p"/>
              </m:rPr>
              <w:rPr>
                <w:rFonts w:ascii="Cambria Math" w:eastAsia="Times New Roman" w:hAnsi="Cambria Math"/>
                <w:color w:val="000000"/>
                <w:szCs w:val="24"/>
              </w:rPr>
              <m:t>e</m:t>
            </m:r>
          </m:e>
          <m:sup>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-E</m:t>
                </m:r>
              </m:num>
              <m:den>
                <m:r>
                  <m:rPr>
                    <m:sty m:val="p"/>
                  </m:rPr>
                  <w:rPr>
                    <w:rFonts w:ascii="Cambria Math" w:eastAsia="Times New Roman" w:hAnsi="Cambria Math"/>
                    <w:color w:val="000000"/>
                    <w:szCs w:val="24"/>
                  </w:rPr>
                  <m:t>κ</m:t>
                </m:r>
              </m:den>
            </m:f>
            <m:r>
              <m:rPr>
                <m:sty m:val="p"/>
              </m:rPr>
              <w:rPr>
                <w:rFonts w:ascii="Cambria Math" w:eastAsia="Times New Roman" w:hAnsi="Cambria Math"/>
                <w:color w:val="000000"/>
                <w:szCs w:val="24"/>
              </w:rPr>
              <m:t xml:space="preserve"> </m:t>
            </m:r>
            <m:d>
              <m:dPr>
                <m:ctrlPr>
                  <w:rPr>
                    <w:rFonts w:ascii="Cambria Math" w:eastAsia="Times New Roman" w:hAnsi="Cambria Math"/>
                    <w:i/>
                    <w:color w:val="000000"/>
                    <w:szCs w:val="24"/>
                  </w:rPr>
                </m:ctrlPr>
              </m:dPr>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1</m:t>
                    </m:r>
                  </m:num>
                  <m:den>
                    <m:r>
                      <m:rPr>
                        <m:sty m:val="p"/>
                      </m:rPr>
                      <w:rPr>
                        <w:rFonts w:ascii="Cambria Math" w:eastAsia="Times New Roman" w:hAnsi="Cambria Math"/>
                        <w:color w:val="000000"/>
                        <w:szCs w:val="24"/>
                      </w:rPr>
                      <m:t>T</m:t>
                    </m:r>
                  </m:den>
                </m:f>
                <m:r>
                  <m:rPr>
                    <m:sty m:val="p"/>
                  </m:rPr>
                  <w:rPr>
                    <w:rFonts w:ascii="Cambria Math" w:eastAsia="Times New Roman" w:hAnsi="Cambria Math"/>
                    <w:color w:val="000000"/>
                    <w:szCs w:val="24"/>
                  </w:rPr>
                  <m:t>-</m:t>
                </m:r>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1</m:t>
                    </m:r>
                  </m:num>
                  <m:den>
                    <m:sSub>
                      <m:sSubPr>
                        <m:ctrlPr>
                          <w:rPr>
                            <w:rFonts w:ascii="Cambria Math" w:eastAsia="Times New Roman" w:hAnsi="Cambria Math"/>
                            <w:i/>
                            <w:color w:val="000000"/>
                            <w:szCs w:val="24"/>
                          </w:rPr>
                        </m:ctrlPr>
                      </m:sSubPr>
                      <m:e>
                        <m:r>
                          <m:rPr>
                            <m:sty m:val="p"/>
                          </m:rPr>
                          <w:rPr>
                            <w:rFonts w:ascii="Cambria Math" w:eastAsia="Times New Roman" w:hAnsi="Cambria Math"/>
                            <w:color w:val="000000"/>
                            <w:szCs w:val="24"/>
                          </w:rPr>
                          <m:t>T</m:t>
                        </m:r>
                      </m:e>
                      <m:sub>
                        <m:r>
                          <m:rPr>
                            <m:sty m:val="p"/>
                          </m:rPr>
                          <w:rPr>
                            <w:rFonts w:ascii="Cambria Math" w:eastAsia="Times New Roman" w:hAnsi="Cambria Math"/>
                            <w:color w:val="000000"/>
                            <w:szCs w:val="24"/>
                          </w:rPr>
                          <m:t>ref</m:t>
                        </m:r>
                      </m:sub>
                    </m:sSub>
                  </m:den>
                </m:f>
              </m:e>
            </m:d>
          </m:sup>
        </m:sSup>
      </m:oMath>
      <w:r w:rsidR="005836CC" w:rsidRPr="005836CC">
        <w:rPr>
          <w:szCs w:val="24"/>
        </w:rPr>
        <w:instrText xml:space="preserve"> </w:instrText>
      </w:r>
      <w:r w:rsidR="005836CC" w:rsidRPr="005836CC">
        <w:rPr>
          <w:szCs w:val="24"/>
        </w:rPr>
        <w:fldChar w:fldCharType="end"/>
      </w:r>
      <w:r w:rsidRPr="000F3F54">
        <w:rPr>
          <w:szCs w:val="24"/>
        </w:rPr>
        <w:t>.</w:t>
      </w:r>
    </w:p>
    <w:p w:rsidR="00326F15" w:rsidRPr="000F3F54" w:rsidRDefault="00326F15" w:rsidP="0022463D">
      <w:pPr>
        <w:spacing w:line="240" w:lineRule="auto"/>
        <w:rPr>
          <w:szCs w:val="24"/>
        </w:rPr>
      </w:pPr>
      <w:bookmarkStart w:id="0" w:name="_GoBack"/>
      <w:bookmarkEnd w:id="0"/>
    </w:p>
    <w:p w:rsidR="00326F15" w:rsidRPr="000F3F54" w:rsidRDefault="00326F15" w:rsidP="0022463D">
      <w:pPr>
        <w:spacing w:line="240" w:lineRule="auto"/>
        <w:rPr>
          <w:i/>
          <w:szCs w:val="24"/>
        </w:rPr>
      </w:pPr>
      <w:r w:rsidRPr="000F3F54">
        <w:rPr>
          <w:i/>
          <w:szCs w:val="24"/>
        </w:rPr>
        <w:t>Ingestion and energy uptake</w:t>
      </w:r>
    </w:p>
    <w:p w:rsidR="00326F15" w:rsidRPr="000F3F54" w:rsidRDefault="00326F15" w:rsidP="0022463D">
      <w:pPr>
        <w:spacing w:line="240" w:lineRule="auto"/>
        <w:rPr>
          <w:szCs w:val="24"/>
        </w:rPr>
      </w:pPr>
      <w:r w:rsidRPr="000F3F54">
        <w:rPr>
          <w:szCs w:val="24"/>
        </w:rPr>
        <w:t>Ingestion rate is proportional to the surface area (</w:t>
      </w:r>
      <w:r w:rsidRPr="000F3F54">
        <w:rPr>
          <w:i/>
          <w:szCs w:val="24"/>
        </w:rPr>
        <w:t>M</w:t>
      </w:r>
      <w:r w:rsidRPr="000F3F54">
        <w:rPr>
          <w:szCs w:val="24"/>
          <w:vertAlign w:val="superscript"/>
        </w:rPr>
        <w:t>2/3</w:t>
      </w:r>
      <w:r w:rsidRPr="000F3F54">
        <w:rPr>
          <w:szCs w:val="24"/>
        </w:rPr>
        <w:t xml:space="preserve">) of an individual as the search rate depends on the food gathering apparatus (Kooijman </w:t>
      </w:r>
      <w:r w:rsidR="00C95D64">
        <w:rPr>
          <w:szCs w:val="24"/>
        </w:rPr>
        <w:t>and Metz</w:t>
      </w:r>
      <w:r w:rsidR="00310E5C">
        <w:rPr>
          <w:szCs w:val="24"/>
        </w:rPr>
        <w:t>,</w:t>
      </w:r>
      <w:r w:rsidRPr="000F3F54">
        <w:rPr>
          <w:szCs w:val="24"/>
        </w:rPr>
        <w:t xml:space="preserve"> 1984) and to temperature, giving:</w:t>
      </w:r>
    </w:p>
    <w:p w:rsidR="00326F15" w:rsidRPr="000F3F54" w:rsidRDefault="00C95D64" w:rsidP="0022463D">
      <w:pPr>
        <w:spacing w:before="240" w:line="240" w:lineRule="auto"/>
        <w:jc w:val="right"/>
        <w:rPr>
          <w:szCs w:val="24"/>
        </w:rPr>
      </w:pPr>
      <w:r w:rsidRPr="00240447">
        <w:rPr>
          <w:szCs w:val="24"/>
        </w:rPr>
        <w:t>Ingestion rate</w:t>
      </w:r>
      <w:r>
        <w:rPr>
          <w:szCs w:val="24"/>
        </w:rPr>
        <w:t xml:space="preserve"> = </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IG</m:t>
            </m:r>
          </m:e>
          <m:sub>
            <m:r>
              <w:rPr>
                <w:rFonts w:ascii="Cambria Math" w:hAnsi="Cambria Math"/>
                <w:szCs w:val="24"/>
              </w:rPr>
              <m:t>max</m:t>
            </m:r>
          </m:sub>
        </m:sSub>
        <m:r>
          <w:rPr>
            <w:rFonts w:ascii="Cambria Math" w:hAnsi="Cambria Math"/>
            <w:szCs w:val="24"/>
          </w:rPr>
          <m:t xml:space="preserve"> </m:t>
        </m:r>
        <m:sSup>
          <m:sSupPr>
            <m:ctrlPr>
              <w:rPr>
                <w:rFonts w:ascii="Cambria Math" w:eastAsia="Times New Roman" w:hAnsi="Cambria Math"/>
                <w:i/>
                <w:color w:val="000000"/>
                <w:szCs w:val="24"/>
              </w:rPr>
            </m:ctrlPr>
          </m:sSupPr>
          <m:e>
            <m:r>
              <w:rPr>
                <w:rFonts w:ascii="Cambria Math" w:eastAsia="Times New Roman" w:hAnsi="Cambria Math"/>
                <w:color w:val="000000"/>
                <w:szCs w:val="24"/>
              </w:rPr>
              <m:t>e</m:t>
            </m:r>
          </m:e>
          <m:sup>
            <m:f>
              <m:fPr>
                <m:ctrlPr>
                  <w:rPr>
                    <w:rFonts w:ascii="Cambria Math" w:eastAsia="Times New Roman" w:hAnsi="Cambria Math"/>
                    <w:i/>
                    <w:color w:val="000000"/>
                    <w:szCs w:val="24"/>
                  </w:rPr>
                </m:ctrlPr>
              </m:fPr>
              <m:num>
                <m:r>
                  <w:rPr>
                    <w:rFonts w:ascii="Cambria Math" w:eastAsia="Times New Roman" w:hAnsi="Cambria Math"/>
                    <w:color w:val="000000"/>
                    <w:szCs w:val="24"/>
                  </w:rPr>
                  <m:t>-E</m:t>
                </m:r>
              </m:num>
              <m:den>
                <m:r>
                  <w:rPr>
                    <w:rFonts w:ascii="Cambria Math" w:eastAsia="Times New Roman" w:hAnsi="Cambria Math"/>
                    <w:color w:val="000000"/>
                    <w:szCs w:val="24"/>
                  </w:rPr>
                  <m:t>κ</m:t>
                </m:r>
              </m:den>
            </m:f>
            <m:r>
              <w:rPr>
                <w:rFonts w:ascii="Cambria Math" w:eastAsia="Times New Roman" w:hAnsi="Cambria Math"/>
                <w:color w:val="000000"/>
                <w:szCs w:val="24"/>
              </w:rPr>
              <m:t xml:space="preserve"> </m:t>
            </m:r>
            <m:d>
              <m:dPr>
                <m:ctrlPr>
                  <w:rPr>
                    <w:rFonts w:ascii="Cambria Math" w:eastAsia="Times New Roman" w:hAnsi="Cambria Math"/>
                    <w:i/>
                    <w:color w:val="000000"/>
                    <w:szCs w:val="24"/>
                  </w:rPr>
                </m:ctrlPr>
              </m:dPr>
              <m:e>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r>
                      <w:rPr>
                        <w:rFonts w:ascii="Cambria Math" w:eastAsia="Times New Roman" w:hAnsi="Cambria Math"/>
                        <w:color w:val="000000"/>
                        <w:szCs w:val="24"/>
                      </w:rPr>
                      <m:t>T</m:t>
                    </m:r>
                  </m:den>
                </m:f>
                <m:r>
                  <w:rPr>
                    <w:rFonts w:ascii="Cambria Math" w:eastAsia="Times New Roman" w:hAnsi="Cambria Math"/>
                    <w:color w:val="000000"/>
                    <w:szCs w:val="24"/>
                  </w:rPr>
                  <m:t>-</m:t>
                </m:r>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ref</m:t>
                        </m:r>
                      </m:sub>
                    </m:sSub>
                  </m:den>
                </m:f>
              </m:e>
            </m:d>
          </m:sup>
        </m:sSup>
        <m:sSup>
          <m:sSupPr>
            <m:ctrlPr>
              <w:rPr>
                <w:rFonts w:ascii="Cambria Math" w:hAnsi="Cambria Math"/>
                <w:i/>
                <w:szCs w:val="24"/>
              </w:rPr>
            </m:ctrlPr>
          </m:sSupPr>
          <m:e>
            <m:r>
              <w:rPr>
                <w:rFonts w:ascii="Cambria Math" w:hAnsi="Cambria Math"/>
                <w:szCs w:val="24"/>
              </w:rPr>
              <m:t>M</m:t>
            </m:r>
          </m:e>
          <m:sup>
            <m:r>
              <w:rPr>
                <w:rFonts w:ascii="Cambria Math" w:hAnsi="Cambria Math"/>
                <w:szCs w:val="24"/>
              </w:rPr>
              <m:t>2/3</m:t>
            </m:r>
          </m:sup>
        </m:sSup>
      </m:oMath>
      <w:r w:rsidRPr="00240447">
        <w:rPr>
          <w:szCs w:val="24"/>
        </w:rPr>
        <w:t xml:space="preserve">                           </w:t>
      </w:r>
      <w:r>
        <w:rPr>
          <w:szCs w:val="24"/>
        </w:rPr>
        <w:t>Eq. A</w:t>
      </w:r>
      <w:r w:rsidR="00C84BBA">
        <w:rPr>
          <w:szCs w:val="24"/>
        </w:rPr>
        <w:t>.</w:t>
      </w:r>
      <w:r w:rsidR="00677C92">
        <w:rPr>
          <w:szCs w:val="24"/>
        </w:rPr>
        <w:t>2</w:t>
      </w:r>
    </w:p>
    <w:p w:rsidR="00326F15" w:rsidRPr="000F3F54" w:rsidRDefault="00326F15" w:rsidP="0022463D">
      <w:pPr>
        <w:spacing w:before="240" w:line="240" w:lineRule="auto"/>
        <w:rPr>
          <w:szCs w:val="24"/>
        </w:rPr>
      </w:pPr>
    </w:p>
    <w:p w:rsidR="00326F15" w:rsidRPr="000F3F54" w:rsidRDefault="00326F15" w:rsidP="0022463D">
      <w:pPr>
        <w:spacing w:line="240" w:lineRule="auto"/>
        <w:rPr>
          <w:szCs w:val="24"/>
        </w:rPr>
      </w:pPr>
      <w:r w:rsidRPr="000F3F54">
        <w:rPr>
          <w:szCs w:val="24"/>
        </w:rPr>
        <w:t xml:space="preserve">where </w:t>
      </w:r>
      <w:r w:rsidRPr="00C52927">
        <w:rPr>
          <w:i/>
          <w:iCs/>
          <w:szCs w:val="24"/>
        </w:rPr>
        <w:t>IG</w:t>
      </w:r>
      <w:r w:rsidRPr="00C52927">
        <w:rPr>
          <w:i/>
          <w:szCs w:val="24"/>
          <w:vertAlign w:val="subscript"/>
        </w:rPr>
        <w:t>max</w:t>
      </w:r>
      <w:r w:rsidRPr="000F3F54">
        <w:rPr>
          <w:szCs w:val="24"/>
        </w:rPr>
        <w:t xml:space="preserve"> is the maximum ingestion rate recorded of a 1 g individual</w:t>
      </w:r>
      <w:r w:rsidRPr="000F3F54">
        <w:rPr>
          <w:i/>
          <w:szCs w:val="24"/>
        </w:rPr>
        <w:t xml:space="preserve"> </w:t>
      </w:r>
      <w:r w:rsidRPr="000F3F54">
        <w:rPr>
          <w:szCs w:val="24"/>
        </w:rPr>
        <w:t>under optimal feeding conditions (g/day/g</w:t>
      </w:r>
      <w:r w:rsidRPr="000F3F54">
        <w:rPr>
          <w:szCs w:val="24"/>
          <w:vertAlign w:val="superscript"/>
        </w:rPr>
        <w:t>2/3</w:t>
      </w:r>
      <w:r w:rsidR="00677C92">
        <w:rPr>
          <w:szCs w:val="24"/>
        </w:rPr>
        <w:t>) (Table A</w:t>
      </w:r>
      <w:r w:rsidR="00C84BBA">
        <w:rPr>
          <w:szCs w:val="24"/>
        </w:rPr>
        <w:t>.</w:t>
      </w:r>
      <w:r w:rsidRPr="000F3F54">
        <w:rPr>
          <w:szCs w:val="24"/>
        </w:rPr>
        <w:t>1). Ingestion rate is measured in g/day and this is converted into kJ/day depending on the energy content of the food (</w:t>
      </w:r>
      <w:r>
        <w:rPr>
          <w:i/>
          <w:szCs w:val="24"/>
        </w:rPr>
        <w:t>E</w:t>
      </w:r>
      <w:r>
        <w:rPr>
          <w:i/>
          <w:szCs w:val="24"/>
          <w:vertAlign w:val="subscript"/>
        </w:rPr>
        <w:t>x</w:t>
      </w:r>
      <w:r w:rsidRPr="000F3F54">
        <w:rPr>
          <w:szCs w:val="24"/>
        </w:rPr>
        <w:t>). After ingestion, food is processed by the digestive system and a proportion, assimilation efficiency, becomes available for allocation to the var</w:t>
      </w:r>
      <w:r w:rsidR="00677C92">
        <w:rPr>
          <w:szCs w:val="24"/>
        </w:rPr>
        <w:t>ious functions shown in Fig. A</w:t>
      </w:r>
      <w:r w:rsidR="00C84BBA">
        <w:rPr>
          <w:szCs w:val="24"/>
        </w:rPr>
        <w:t>.</w:t>
      </w:r>
      <w:r w:rsidR="00677C92">
        <w:rPr>
          <w:szCs w:val="24"/>
        </w:rPr>
        <w:t>1</w:t>
      </w:r>
      <w:r w:rsidRPr="000F3F54">
        <w:rPr>
          <w:szCs w:val="24"/>
        </w:rPr>
        <w:t>. The value of the assimilation efficiency (</w:t>
      </w:r>
      <w:r w:rsidRPr="000F3F54">
        <w:rPr>
          <w:i/>
          <w:iCs/>
          <w:szCs w:val="24"/>
        </w:rPr>
        <w:t>A</w:t>
      </w:r>
      <w:r w:rsidRPr="000F3F54">
        <w:rPr>
          <w:szCs w:val="24"/>
          <w:vertAlign w:val="subscript"/>
        </w:rPr>
        <w:t>e</w:t>
      </w:r>
      <w:r w:rsidR="00677C92">
        <w:rPr>
          <w:szCs w:val="24"/>
        </w:rPr>
        <w:t>) (Table A</w:t>
      </w:r>
      <w:r w:rsidR="00C84BBA">
        <w:rPr>
          <w:szCs w:val="24"/>
        </w:rPr>
        <w:t>.</w:t>
      </w:r>
      <w:r w:rsidRPr="000F3F54">
        <w:rPr>
          <w:szCs w:val="24"/>
        </w:rPr>
        <w:t>1) depends on diet</w:t>
      </w:r>
      <w:r w:rsidRPr="000F3F54">
        <w:rPr>
          <w:bCs/>
          <w:szCs w:val="24"/>
          <w:lang w:eastAsia="en-GB"/>
        </w:rPr>
        <w:t xml:space="preserve"> but not body mass </w:t>
      </w:r>
      <w:r w:rsidRPr="000F3F54">
        <w:rPr>
          <w:bCs/>
          <w:noProof/>
          <w:szCs w:val="24"/>
          <w:lang w:eastAsia="en-GB"/>
        </w:rPr>
        <w:t>(Hendriks, 1999)</w:t>
      </w:r>
      <w:r w:rsidRPr="000F3F54">
        <w:rPr>
          <w:bCs/>
          <w:szCs w:val="24"/>
          <w:lang w:eastAsia="en-GB"/>
        </w:rPr>
        <w:t xml:space="preserve">. </w:t>
      </w:r>
    </w:p>
    <w:p w:rsidR="00326F15" w:rsidRPr="000F3F54" w:rsidRDefault="00326F15" w:rsidP="0022463D">
      <w:pPr>
        <w:spacing w:line="240" w:lineRule="auto"/>
        <w:rPr>
          <w:szCs w:val="24"/>
        </w:rPr>
      </w:pPr>
    </w:p>
    <w:p w:rsidR="00326F15" w:rsidRPr="000F3F54" w:rsidRDefault="00326F15" w:rsidP="0022463D">
      <w:pPr>
        <w:spacing w:line="240" w:lineRule="auto"/>
        <w:rPr>
          <w:i/>
          <w:szCs w:val="24"/>
        </w:rPr>
      </w:pPr>
      <w:r w:rsidRPr="000F3F54">
        <w:rPr>
          <w:i/>
          <w:szCs w:val="24"/>
        </w:rPr>
        <w:t>Growth</w:t>
      </w:r>
    </w:p>
    <w:p w:rsidR="00326F15" w:rsidRPr="000F3F54" w:rsidRDefault="00326F15" w:rsidP="0022463D">
      <w:pPr>
        <w:spacing w:line="240" w:lineRule="auto"/>
        <w:rPr>
          <w:szCs w:val="24"/>
        </w:rPr>
      </w:pPr>
      <w:r w:rsidRPr="000F3F54">
        <w:rPr>
          <w:szCs w:val="24"/>
        </w:rPr>
        <w:t>After expenditure to maintenance and, at the adult stage, to reproduction, individuals allocate remaining energy to somatic growth. The maximum growth rate of an individual under optimal conditions is assumed to follow the von Bertalanffy (1957) growth equation:</w:t>
      </w:r>
    </w:p>
    <w:p w:rsidR="00326F15" w:rsidRPr="000F3F54" w:rsidRDefault="00326F15" w:rsidP="0022463D">
      <w:pPr>
        <w:spacing w:line="240" w:lineRule="auto"/>
        <w:rPr>
          <w:i/>
          <w:szCs w:val="24"/>
        </w:rPr>
      </w:pPr>
    </w:p>
    <w:p w:rsidR="00326F15" w:rsidRPr="000F3F54" w:rsidRDefault="002E45FD" w:rsidP="0022463D">
      <w:pPr>
        <w:spacing w:line="240" w:lineRule="auto"/>
        <w:jc w:val="right"/>
        <w:rPr>
          <w:szCs w:val="24"/>
          <w:lang w:val="en-US"/>
        </w:rPr>
      </w:pPr>
      <m:oMath>
        <m:sSup>
          <m:sSupPr>
            <m:ctrlPr>
              <w:rPr>
                <w:rFonts w:ascii="Cambria Math" w:hAnsi="Cambria Math"/>
                <w:i/>
                <w:szCs w:val="24"/>
                <w:lang w:val="en-US"/>
              </w:rPr>
            </m:ctrlPr>
          </m:sSupPr>
          <m:e>
            <m:r>
              <w:rPr>
                <w:rFonts w:ascii="Cambria Math" w:hAnsi="Cambria Math"/>
                <w:szCs w:val="24"/>
                <w:lang w:val="en-US"/>
              </w:rPr>
              <m:t>M=</m:t>
            </m:r>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m</m:t>
                </m:r>
              </m:sub>
            </m:sSub>
            <m:r>
              <w:rPr>
                <w:rFonts w:ascii="Cambria Math" w:hAnsi="Cambria Math"/>
                <w:szCs w:val="24"/>
                <w:lang w:val="en-US"/>
              </w:rPr>
              <m:t>(1-(1-</m:t>
            </m:r>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b</m:t>
                        </m:r>
                      </m:sub>
                    </m:sSub>
                  </m:num>
                  <m:den>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m</m:t>
                        </m:r>
                      </m:sub>
                    </m:sSub>
                  </m:den>
                </m:f>
              </m:e>
            </m:d>
          </m:e>
          <m:sup>
            <m:r>
              <w:rPr>
                <w:rFonts w:ascii="Cambria Math" w:hAnsi="Cambria Math"/>
                <w:szCs w:val="24"/>
                <w:lang w:val="en-US"/>
              </w:rPr>
              <m:t>1/3</m:t>
            </m:r>
          </m:sup>
        </m:sSup>
        <m:r>
          <w:rPr>
            <w:rFonts w:ascii="Cambria Math" w:hAnsi="Cambria Math"/>
            <w:szCs w:val="24"/>
            <w:lang w:val="en-US"/>
          </w:rPr>
          <m:t xml:space="preserve">) </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B</m:t>
                </m:r>
              </m:sub>
            </m:sSub>
            <m:r>
              <w:rPr>
                <w:rFonts w:ascii="Cambria Math" w:hAnsi="Cambria Math"/>
                <w:szCs w:val="24"/>
                <w:lang w:val="en-US"/>
              </w:rPr>
              <m:t>t/3</m:t>
            </m:r>
          </m:sup>
        </m:sSup>
        <m:sSup>
          <m:sSupPr>
            <m:ctrlPr>
              <w:rPr>
                <w:rFonts w:ascii="Cambria Math" w:hAnsi="Cambria Math"/>
                <w:i/>
                <w:szCs w:val="24"/>
                <w:lang w:val="en-US"/>
              </w:rPr>
            </m:ctrlPr>
          </m:sSupPr>
          <m:e>
            <m:r>
              <w:rPr>
                <w:rFonts w:ascii="Cambria Math" w:hAnsi="Cambria Math"/>
                <w:szCs w:val="24"/>
                <w:lang w:val="en-US"/>
              </w:rPr>
              <m:t>)</m:t>
            </m:r>
          </m:e>
          <m:sup>
            <m:r>
              <w:rPr>
                <w:rFonts w:ascii="Cambria Math" w:hAnsi="Cambria Math"/>
                <w:szCs w:val="24"/>
                <w:lang w:val="en-US"/>
              </w:rPr>
              <m:t>3</m:t>
            </m:r>
          </m:sup>
        </m:sSup>
      </m:oMath>
      <w:r w:rsidR="00326F15" w:rsidRPr="000F3F54">
        <w:rPr>
          <w:szCs w:val="24"/>
          <w:lang w:val="en-US"/>
        </w:rPr>
        <w:t xml:space="preserve">                                   </w:t>
      </w:r>
      <w:r w:rsidR="00677C92">
        <w:rPr>
          <w:szCs w:val="24"/>
          <w:lang w:val="en-US"/>
        </w:rPr>
        <w:t>Eq. A</w:t>
      </w:r>
      <w:r w:rsidR="00C84BBA">
        <w:rPr>
          <w:szCs w:val="24"/>
          <w:lang w:val="en-US"/>
        </w:rPr>
        <w:t>.</w:t>
      </w:r>
      <w:r w:rsidR="00677C92">
        <w:rPr>
          <w:szCs w:val="24"/>
          <w:lang w:val="en-US"/>
        </w:rPr>
        <w:t>3</w:t>
      </w:r>
    </w:p>
    <w:p w:rsidR="00326F15" w:rsidRPr="000F3F54" w:rsidRDefault="00326F15" w:rsidP="0022463D">
      <w:pPr>
        <w:spacing w:line="240" w:lineRule="auto"/>
        <w:rPr>
          <w:szCs w:val="24"/>
        </w:rPr>
      </w:pPr>
    </w:p>
    <w:p w:rsidR="00326F15" w:rsidRPr="000F3F54" w:rsidRDefault="00326F15" w:rsidP="0022463D">
      <w:pPr>
        <w:spacing w:line="240" w:lineRule="auto"/>
        <w:rPr>
          <w:szCs w:val="24"/>
          <w:lang w:val="en-US"/>
        </w:rPr>
      </w:pPr>
      <w:r w:rsidRPr="000F3F54">
        <w:rPr>
          <w:szCs w:val="24"/>
        </w:rPr>
        <w:t xml:space="preserve">where </w:t>
      </w:r>
      <w:r w:rsidRPr="00C52927">
        <w:rPr>
          <w:i/>
          <w:iCs/>
          <w:szCs w:val="24"/>
        </w:rPr>
        <w:t>M</w:t>
      </w:r>
      <w:r w:rsidRPr="00C52927">
        <w:rPr>
          <w:i/>
          <w:szCs w:val="24"/>
          <w:vertAlign w:val="subscript"/>
        </w:rPr>
        <w:t>b</w:t>
      </w:r>
      <w:r w:rsidRPr="000F3F54">
        <w:rPr>
          <w:szCs w:val="24"/>
        </w:rPr>
        <w:t xml:space="preserve"> and </w:t>
      </w:r>
      <w:r w:rsidRPr="000F3F54">
        <w:rPr>
          <w:i/>
          <w:iCs/>
          <w:szCs w:val="24"/>
        </w:rPr>
        <w:t>M</w:t>
      </w:r>
      <w:r w:rsidRPr="000F3F54">
        <w:rPr>
          <w:szCs w:val="24"/>
          <w:vertAlign w:val="subscript"/>
        </w:rPr>
        <w:t>m</w:t>
      </w:r>
      <w:r w:rsidRPr="000F3F54">
        <w:rPr>
          <w:szCs w:val="24"/>
          <w:lang w:val="en-US"/>
        </w:rPr>
        <w:t xml:space="preserve"> denote mass at birth and maximum mass respectively and </w:t>
      </w:r>
      <w:r>
        <w:rPr>
          <w:i/>
          <w:szCs w:val="24"/>
          <w:lang w:val="en-US"/>
        </w:rPr>
        <w:t>r</w:t>
      </w:r>
      <w:r>
        <w:rPr>
          <w:i/>
          <w:szCs w:val="24"/>
          <w:vertAlign w:val="subscript"/>
          <w:lang w:val="en-US"/>
        </w:rPr>
        <w:t>B</w:t>
      </w:r>
      <w:r w:rsidRPr="000F3F54">
        <w:rPr>
          <w:szCs w:val="24"/>
          <w:lang w:val="en-US"/>
        </w:rPr>
        <w:t xml:space="preserve"> is the Bertalanffy growth const</w:t>
      </w:r>
      <w:r w:rsidR="00677C92">
        <w:rPr>
          <w:szCs w:val="24"/>
          <w:lang w:val="en-US"/>
        </w:rPr>
        <w:t>ant, obtained by fitting Eq. A</w:t>
      </w:r>
      <w:r w:rsidR="00C84BBA">
        <w:rPr>
          <w:szCs w:val="24"/>
          <w:lang w:val="en-US"/>
        </w:rPr>
        <w:t>.</w:t>
      </w:r>
      <w:r w:rsidR="00677C92">
        <w:rPr>
          <w:szCs w:val="24"/>
          <w:lang w:val="en-US"/>
        </w:rPr>
        <w:t>3</w:t>
      </w:r>
      <w:r w:rsidRPr="000F3F54">
        <w:rPr>
          <w:szCs w:val="24"/>
          <w:lang w:val="en-US"/>
        </w:rPr>
        <w:t xml:space="preserve"> to data recording the increase in individual biomass over time under optimal conditions. The maximum growth rate per time-step (</w:t>
      </w:r>
      <w:r w:rsidRPr="00C52927">
        <w:rPr>
          <w:i/>
          <w:szCs w:val="24"/>
        </w:rPr>
        <w:sym w:font="Symbol" w:char="F044"/>
      </w:r>
      <w:r w:rsidRPr="00C52927">
        <w:rPr>
          <w:i/>
          <w:szCs w:val="24"/>
        </w:rPr>
        <w:t>M</w:t>
      </w:r>
      <w:r w:rsidRPr="000F3F54">
        <w:rPr>
          <w:szCs w:val="24"/>
        </w:rPr>
        <w:t xml:space="preserve">, change in mass per unit time) </w:t>
      </w:r>
      <w:r w:rsidRPr="000F3F54">
        <w:rPr>
          <w:szCs w:val="24"/>
          <w:lang w:val="en-US"/>
        </w:rPr>
        <w:t>is obtained from:</w:t>
      </w:r>
    </w:p>
    <w:p w:rsidR="00326F15" w:rsidRPr="000F3F54" w:rsidRDefault="00C95D64" w:rsidP="0022463D">
      <w:pPr>
        <w:tabs>
          <w:tab w:val="left" w:pos="7852"/>
        </w:tabs>
        <w:spacing w:before="240" w:line="240" w:lineRule="auto"/>
        <w:jc w:val="right"/>
        <w:rPr>
          <w:szCs w:val="24"/>
          <w:lang w:val="en-US"/>
        </w:rPr>
      </w:pPr>
      <m:oMath>
        <m:r>
          <w:rPr>
            <w:rFonts w:ascii="Cambria Math" w:hAnsi="Cambria Math"/>
            <w:szCs w:val="24"/>
            <w:lang w:val="en-US"/>
          </w:rPr>
          <m:t xml:space="preserve">∆M= </m:t>
        </m:r>
        <m:sSub>
          <m:sSubPr>
            <m:ctrlPr>
              <w:rPr>
                <w:rFonts w:ascii="Cambria Math" w:hAnsi="Cambria Math"/>
                <w:i/>
                <w:szCs w:val="24"/>
                <w:lang w:val="en-US"/>
              </w:rPr>
            </m:ctrlPr>
          </m:sSubPr>
          <m:e>
            <m:r>
              <w:rPr>
                <w:rFonts w:ascii="Cambria Math" w:hAnsi="Cambria Math"/>
                <w:szCs w:val="24"/>
                <w:lang w:val="en-US"/>
              </w:rPr>
              <m:t>r</m:t>
            </m:r>
          </m:e>
          <m:sub>
            <m:r>
              <w:rPr>
                <w:rFonts w:ascii="Cambria Math" w:hAnsi="Cambria Math"/>
                <w:szCs w:val="24"/>
                <w:lang w:val="en-US"/>
              </w:rPr>
              <m:t>B</m:t>
            </m:r>
          </m:sub>
        </m:sSub>
        <m:sSup>
          <m:sSupPr>
            <m:ctrlPr>
              <w:rPr>
                <w:rFonts w:ascii="Cambria Math" w:eastAsia="Times New Roman" w:hAnsi="Cambria Math"/>
                <w:i/>
                <w:color w:val="000000"/>
                <w:szCs w:val="24"/>
              </w:rPr>
            </m:ctrlPr>
          </m:sSupPr>
          <m:e>
            <m:r>
              <w:rPr>
                <w:rFonts w:ascii="Cambria Math" w:eastAsia="Times New Roman" w:hAnsi="Cambria Math"/>
                <w:color w:val="000000"/>
                <w:szCs w:val="24"/>
              </w:rPr>
              <m:t>e</m:t>
            </m:r>
          </m:e>
          <m:sup>
            <m:f>
              <m:fPr>
                <m:ctrlPr>
                  <w:rPr>
                    <w:rFonts w:ascii="Cambria Math" w:eastAsia="Times New Roman" w:hAnsi="Cambria Math"/>
                    <w:i/>
                    <w:color w:val="000000"/>
                    <w:szCs w:val="24"/>
                  </w:rPr>
                </m:ctrlPr>
              </m:fPr>
              <m:num>
                <m:r>
                  <w:rPr>
                    <w:rFonts w:ascii="Cambria Math" w:eastAsia="Times New Roman" w:hAnsi="Cambria Math"/>
                    <w:color w:val="000000"/>
                    <w:szCs w:val="24"/>
                  </w:rPr>
                  <m:t>-E</m:t>
                </m:r>
              </m:num>
              <m:den>
                <m:r>
                  <w:rPr>
                    <w:rFonts w:ascii="Cambria Math" w:eastAsia="Times New Roman" w:hAnsi="Cambria Math"/>
                    <w:color w:val="000000"/>
                    <w:szCs w:val="24"/>
                  </w:rPr>
                  <m:t>κ</m:t>
                </m:r>
              </m:den>
            </m:f>
            <m:r>
              <w:rPr>
                <w:rFonts w:ascii="Cambria Math" w:eastAsia="Times New Roman" w:hAnsi="Cambria Math"/>
                <w:color w:val="000000"/>
                <w:szCs w:val="24"/>
              </w:rPr>
              <m:t xml:space="preserve"> </m:t>
            </m:r>
            <m:d>
              <m:dPr>
                <m:ctrlPr>
                  <w:rPr>
                    <w:rFonts w:ascii="Cambria Math" w:eastAsia="Times New Roman" w:hAnsi="Cambria Math"/>
                    <w:i/>
                    <w:color w:val="000000"/>
                    <w:szCs w:val="24"/>
                  </w:rPr>
                </m:ctrlPr>
              </m:dPr>
              <m:e>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r>
                      <w:rPr>
                        <w:rFonts w:ascii="Cambria Math" w:eastAsia="Times New Roman" w:hAnsi="Cambria Math"/>
                        <w:color w:val="000000"/>
                        <w:szCs w:val="24"/>
                      </w:rPr>
                      <m:t>T</m:t>
                    </m:r>
                  </m:den>
                </m:f>
                <m:r>
                  <w:rPr>
                    <w:rFonts w:ascii="Cambria Math" w:eastAsia="Times New Roman" w:hAnsi="Cambria Math"/>
                    <w:color w:val="000000"/>
                    <w:szCs w:val="24"/>
                  </w:rPr>
                  <m:t>-</m:t>
                </m:r>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ref</m:t>
                        </m:r>
                      </m:sub>
                    </m:sSub>
                  </m:den>
                </m:f>
              </m:e>
            </m:d>
          </m:sup>
        </m:sSup>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M</m:t>
            </m:r>
          </m:e>
          <m:sub>
            <m:r>
              <w:rPr>
                <w:rFonts w:ascii="Cambria Math" w:eastAsia="Times New Roman" w:hAnsi="Cambria Math"/>
                <w:color w:val="000000"/>
                <w:szCs w:val="24"/>
              </w:rPr>
              <m:t>m</m:t>
            </m:r>
          </m:sub>
          <m:sup>
            <m:r>
              <w:rPr>
                <w:rFonts w:ascii="Cambria Math" w:eastAsia="Times New Roman" w:hAnsi="Cambria Math"/>
                <w:color w:val="000000"/>
                <w:szCs w:val="24"/>
              </w:rPr>
              <m:t>1/3</m:t>
            </m:r>
          </m:sup>
        </m:sSubSup>
        <m:r>
          <w:rPr>
            <w:rFonts w:ascii="Cambria Math" w:eastAsia="Times New Roman" w:hAnsi="Cambria Math"/>
            <w:color w:val="000000"/>
            <w:szCs w:val="24"/>
          </w:rPr>
          <m:t xml:space="preserve"> </m:t>
        </m:r>
        <m:sSup>
          <m:sSupPr>
            <m:ctrlPr>
              <w:rPr>
                <w:rFonts w:ascii="Cambria Math" w:hAnsi="Cambria Math"/>
                <w:i/>
                <w:szCs w:val="24"/>
                <w:lang w:val="en-US"/>
              </w:rPr>
            </m:ctrlPr>
          </m:sSupPr>
          <m:e>
            <m:r>
              <w:rPr>
                <w:rFonts w:ascii="Cambria Math" w:hAnsi="Cambria Math"/>
                <w:szCs w:val="24"/>
                <w:lang w:val="en-US"/>
              </w:rPr>
              <m:t>M</m:t>
            </m:r>
          </m:e>
          <m:sup>
            <m:r>
              <w:rPr>
                <w:rFonts w:ascii="Cambria Math" w:hAnsi="Cambria Math"/>
                <w:szCs w:val="24"/>
                <w:lang w:val="en-US"/>
              </w:rPr>
              <m:t>2/3</m:t>
            </m:r>
          </m:sup>
        </m:sSup>
        <m:r>
          <w:rPr>
            <w:rFonts w:ascii="Cambria Math" w:hAnsi="Cambria Math"/>
            <w:szCs w:val="24"/>
            <w:lang w:val="en-US"/>
          </w:rPr>
          <m:t>-M)</m:t>
        </m:r>
      </m:oMath>
      <w:r w:rsidR="00326F15" w:rsidRPr="000F3F54">
        <w:rPr>
          <w:szCs w:val="24"/>
          <w:lang w:val="en-US"/>
        </w:rPr>
        <w:t xml:space="preserve">                                      </w:t>
      </w:r>
      <w:r w:rsidR="00677C92">
        <w:rPr>
          <w:szCs w:val="24"/>
          <w:lang w:val="en-US"/>
        </w:rPr>
        <w:t>Eq. A</w:t>
      </w:r>
      <w:r w:rsidR="00C84BBA">
        <w:rPr>
          <w:szCs w:val="24"/>
          <w:lang w:val="en-US"/>
        </w:rPr>
        <w:t>.</w:t>
      </w:r>
      <w:r w:rsidR="00677C92">
        <w:rPr>
          <w:szCs w:val="24"/>
          <w:lang w:val="en-US"/>
        </w:rPr>
        <w:t>4</w:t>
      </w:r>
    </w:p>
    <w:p w:rsidR="00326F15" w:rsidRPr="000F3F54" w:rsidRDefault="00677C92" w:rsidP="0022463D">
      <w:pPr>
        <w:spacing w:before="240" w:line="240" w:lineRule="auto"/>
        <w:rPr>
          <w:szCs w:val="24"/>
          <w:lang w:val="en-US"/>
        </w:rPr>
      </w:pPr>
      <w:r>
        <w:rPr>
          <w:szCs w:val="24"/>
          <w:lang w:val="en-US"/>
        </w:rPr>
        <w:t>(Sibly et al.</w:t>
      </w:r>
      <w:r w:rsidR="00310E5C">
        <w:rPr>
          <w:szCs w:val="24"/>
          <w:lang w:val="en-US"/>
        </w:rPr>
        <w:t>,</w:t>
      </w:r>
      <w:r w:rsidR="00326F15" w:rsidRPr="000F3F54">
        <w:rPr>
          <w:szCs w:val="24"/>
          <w:lang w:val="en-US"/>
        </w:rPr>
        <w:t xml:space="preserve">  2013). The energy costs of growth are determined from the new mass calculated from Eq. </w:t>
      </w:r>
      <w:r>
        <w:rPr>
          <w:szCs w:val="24"/>
          <w:lang w:val="en-US"/>
        </w:rPr>
        <w:t>A</w:t>
      </w:r>
      <w:r w:rsidR="00C84BBA">
        <w:rPr>
          <w:szCs w:val="24"/>
          <w:lang w:val="en-US"/>
        </w:rPr>
        <w:t>.</w:t>
      </w:r>
      <w:r>
        <w:rPr>
          <w:szCs w:val="24"/>
          <w:lang w:val="en-US"/>
        </w:rPr>
        <w:t>4</w:t>
      </w:r>
      <w:r w:rsidR="00326F15" w:rsidRPr="000F3F54">
        <w:rPr>
          <w:szCs w:val="24"/>
          <w:lang w:val="en-US"/>
        </w:rPr>
        <w:t xml:space="preserve"> and the energy costs of production (</w:t>
      </w:r>
      <w:r w:rsidR="00326F15" w:rsidRPr="000F3F54">
        <w:rPr>
          <w:i/>
          <w:iCs/>
          <w:szCs w:val="24"/>
          <w:lang w:val="en-US"/>
        </w:rPr>
        <w:t>E</w:t>
      </w:r>
      <w:r w:rsidR="00326F15" w:rsidRPr="000F3F54">
        <w:rPr>
          <w:szCs w:val="24"/>
          <w:vertAlign w:val="subscript"/>
          <w:lang w:val="en-US"/>
        </w:rPr>
        <w:t>c</w:t>
      </w:r>
      <w:r w:rsidR="00326F15" w:rsidRPr="000F3F54">
        <w:rPr>
          <w:szCs w:val="24"/>
          <w:lang w:val="en-US"/>
        </w:rPr>
        <w:t xml:space="preserve"> + </w:t>
      </w:r>
      <w:r w:rsidR="00326F15" w:rsidRPr="000F3F54">
        <w:rPr>
          <w:i/>
          <w:iCs/>
          <w:szCs w:val="24"/>
          <w:lang w:val="en-US"/>
        </w:rPr>
        <w:t>E</w:t>
      </w:r>
      <w:r w:rsidR="00326F15" w:rsidRPr="000F3F54">
        <w:rPr>
          <w:szCs w:val="24"/>
          <w:vertAlign w:val="subscript"/>
          <w:lang w:val="en-US"/>
        </w:rPr>
        <w:t>s</w:t>
      </w:r>
      <w:r w:rsidR="00326F15" w:rsidRPr="000F3F54">
        <w:rPr>
          <w:szCs w:val="24"/>
          <w:lang w:val="en-US"/>
        </w:rPr>
        <w:t>)</w:t>
      </w:r>
      <w:r w:rsidR="00326F15" w:rsidRPr="000F3F54">
        <w:rPr>
          <w:szCs w:val="24"/>
          <w:lang w:val="en-US"/>
        </w:rPr>
        <w:fldChar w:fldCharType="begin"/>
      </w:r>
      <w:r w:rsidR="00326F15" w:rsidRPr="000F3F54">
        <w:rPr>
          <w:szCs w:val="24"/>
          <w:lang w:val="en-US"/>
        </w:rPr>
        <w:instrText xml:space="preserve"> QUOTE </w:instrText>
      </w:r>
      <m:oMath>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c</m:t>
            </m:r>
          </m:sub>
        </m:sSub>
        <m:r>
          <m:rPr>
            <m:sty m:val="p"/>
          </m:rPr>
          <w:rPr>
            <w:rFonts w:ascii="Cambria Math" w:hAnsi="Cambria Math"/>
            <w:szCs w:val="24"/>
            <w:lang w:val="en-US"/>
          </w:rPr>
          <m:t>+</m:t>
        </m:r>
        <m:sSub>
          <m:sSubPr>
            <m:ctrlPr>
              <w:rPr>
                <w:rFonts w:ascii="Cambria Math" w:hAnsi="Cambria Math"/>
                <w:i/>
                <w:szCs w:val="24"/>
                <w:lang w:val="en-US"/>
              </w:rPr>
            </m:ctrlPr>
          </m:sSubPr>
          <m:e>
            <m:r>
              <m:rPr>
                <m:sty m:val="p"/>
              </m:rPr>
              <w:rPr>
                <w:rFonts w:ascii="Cambria Math" w:hAnsi="Cambria Math"/>
                <w:szCs w:val="24"/>
                <w:lang w:val="en-US"/>
              </w:rPr>
              <m:t>E</m:t>
            </m:r>
          </m:e>
          <m:sub>
            <m:r>
              <m:rPr>
                <m:sty m:val="p"/>
              </m:rPr>
              <w:rPr>
                <w:rFonts w:ascii="Cambria Math" w:hAnsi="Cambria Math"/>
                <w:szCs w:val="24"/>
                <w:lang w:val="en-US"/>
              </w:rPr>
              <m:t>s</m:t>
            </m:r>
          </m:sub>
        </m:sSub>
        <m:r>
          <m:rPr>
            <m:sty m:val="p"/>
          </m:rPr>
          <w:rPr>
            <w:rFonts w:ascii="Cambria Math" w:hAnsi="Cambria Math"/>
            <w:szCs w:val="24"/>
            <w:lang w:val="en-US"/>
          </w:rPr>
          <m:t>)</m:t>
        </m:r>
      </m:oMath>
      <w:r w:rsidR="00326F15" w:rsidRPr="000F3F54">
        <w:rPr>
          <w:szCs w:val="24"/>
          <w:lang w:val="en-US"/>
        </w:rPr>
        <w:instrText xml:space="preserve"> </w:instrText>
      </w:r>
      <w:r w:rsidR="00326F15" w:rsidRPr="000F3F54">
        <w:rPr>
          <w:szCs w:val="24"/>
          <w:lang w:val="en-US"/>
        </w:rPr>
        <w:fldChar w:fldCharType="end"/>
      </w:r>
      <w:r w:rsidR="00326F15" w:rsidRPr="000F3F54">
        <w:rPr>
          <w:szCs w:val="24"/>
          <w:lang w:val="en-US"/>
        </w:rPr>
        <w:t xml:space="preserve"> (Table A</w:t>
      </w:r>
      <w:r w:rsidR="00C84BBA">
        <w:rPr>
          <w:szCs w:val="24"/>
          <w:lang w:val="en-US"/>
        </w:rPr>
        <w:t>.</w:t>
      </w:r>
      <w:r w:rsidR="00326F15" w:rsidRPr="000F3F54">
        <w:rPr>
          <w:szCs w:val="24"/>
          <w:lang w:val="en-US"/>
        </w:rPr>
        <w:t xml:space="preserve">1). Eq. </w:t>
      </w:r>
      <w:r>
        <w:rPr>
          <w:szCs w:val="24"/>
          <w:lang w:val="en-US"/>
        </w:rPr>
        <w:t>A</w:t>
      </w:r>
      <w:r w:rsidR="00C84BBA">
        <w:rPr>
          <w:szCs w:val="24"/>
          <w:lang w:val="en-US"/>
        </w:rPr>
        <w:t>.</w:t>
      </w:r>
      <w:r>
        <w:rPr>
          <w:szCs w:val="24"/>
          <w:lang w:val="en-US"/>
        </w:rPr>
        <w:t>4</w:t>
      </w:r>
      <w:r w:rsidR="00326F15" w:rsidRPr="000F3F54">
        <w:rPr>
          <w:szCs w:val="24"/>
          <w:lang w:val="en-US"/>
        </w:rPr>
        <w:t xml:space="preserve"> shows how the maximum rate at which resources can be allocated to growth changes as an individual increases in mass. If insufficient energy is available to support maximal growth, growth rate is reduced accordingly. </w:t>
      </w:r>
    </w:p>
    <w:p w:rsidR="00326F15" w:rsidRPr="000F3F54" w:rsidRDefault="00326F15" w:rsidP="0022463D">
      <w:pPr>
        <w:spacing w:line="240" w:lineRule="auto"/>
        <w:rPr>
          <w:i/>
          <w:szCs w:val="24"/>
          <w:lang w:val="en-US"/>
        </w:rPr>
      </w:pPr>
    </w:p>
    <w:p w:rsidR="00326F15" w:rsidRPr="000F3F54" w:rsidRDefault="00326F15" w:rsidP="0022463D">
      <w:pPr>
        <w:spacing w:line="240" w:lineRule="auto"/>
        <w:rPr>
          <w:i/>
          <w:szCs w:val="24"/>
          <w:lang w:val="en-US"/>
        </w:rPr>
      </w:pPr>
      <w:r w:rsidRPr="000F3F54">
        <w:rPr>
          <w:i/>
          <w:szCs w:val="24"/>
          <w:lang w:val="en-US"/>
        </w:rPr>
        <w:t>Reproduction</w:t>
      </w:r>
    </w:p>
    <w:p w:rsidR="00326F15" w:rsidRPr="000F3F54" w:rsidRDefault="00326F15" w:rsidP="0022463D">
      <w:pPr>
        <w:spacing w:line="240" w:lineRule="auto"/>
        <w:rPr>
          <w:rFonts w:eastAsia="Times New Roman"/>
          <w:szCs w:val="24"/>
        </w:rPr>
      </w:pPr>
      <w:r w:rsidRPr="000F3F54">
        <w:rPr>
          <w:szCs w:val="24"/>
        </w:rPr>
        <w:t>Reproduction is assumed to take priority over growth in adults, because in the absence of a sexual partner, earthworms grow larger (</w:t>
      </w:r>
      <w:r w:rsidR="007977FD" w:rsidRPr="00FC16CB">
        <w:rPr>
          <w:lang w:eastAsia="en-GB"/>
        </w:rPr>
        <w:t>N</w:t>
      </w:r>
      <w:r w:rsidR="00677C92">
        <w:rPr>
          <w:lang w:eastAsia="en-GB"/>
        </w:rPr>
        <w:t>euhauser et al.</w:t>
      </w:r>
      <w:r w:rsidR="00310E5C">
        <w:rPr>
          <w:lang w:eastAsia="en-GB"/>
        </w:rPr>
        <w:t>,</w:t>
      </w:r>
      <w:r w:rsidR="00677C92">
        <w:rPr>
          <w:lang w:eastAsia="en-GB"/>
        </w:rPr>
        <w:t xml:space="preserve"> </w:t>
      </w:r>
      <w:r w:rsidRPr="000F3F54">
        <w:rPr>
          <w:szCs w:val="24"/>
        </w:rPr>
        <w:t>1980).</w:t>
      </w:r>
      <w:r w:rsidRPr="000F3F54">
        <w:rPr>
          <w:rFonts w:eastAsia="Times New Roman"/>
          <w:szCs w:val="24"/>
        </w:rPr>
        <w:t xml:space="preserve"> </w:t>
      </w:r>
      <w:r w:rsidRPr="000F3F54">
        <w:rPr>
          <w:szCs w:val="24"/>
          <w:lang w:val="en-US"/>
        </w:rPr>
        <w:t>Energy allocated to reproduction by adults goes directly to the production of an egg until oviposition inside a cocoon (note this is a slight simplification since earthworms</w:t>
      </w:r>
      <w:r w:rsidRPr="000F3F54">
        <w:rPr>
          <w:i/>
          <w:szCs w:val="24"/>
          <w:lang w:val="en-US"/>
        </w:rPr>
        <w:t xml:space="preserve"> </w:t>
      </w:r>
      <w:r w:rsidRPr="000F3F54">
        <w:rPr>
          <w:szCs w:val="24"/>
          <w:lang w:val="en-US"/>
        </w:rPr>
        <w:t>can insert more than one egg into a cocoon). The maximum reproduction rate (</w:t>
      </w:r>
      <w:r w:rsidRPr="00C52927">
        <w:rPr>
          <w:i/>
          <w:szCs w:val="24"/>
        </w:rPr>
        <w:sym w:font="Symbol" w:char="F044"/>
      </w:r>
      <w:r w:rsidRPr="00C52927">
        <w:rPr>
          <w:i/>
          <w:szCs w:val="24"/>
        </w:rPr>
        <w:t>R</w:t>
      </w:r>
      <w:r w:rsidRPr="000F3F54">
        <w:rPr>
          <w:szCs w:val="24"/>
        </w:rPr>
        <w:t xml:space="preserve">, change in energy available for reproduction per unit time) </w:t>
      </w:r>
      <w:r w:rsidRPr="000F3F54">
        <w:rPr>
          <w:szCs w:val="24"/>
          <w:lang w:val="en-US"/>
        </w:rPr>
        <w:t xml:space="preserve">increases linearly with adult mass </w:t>
      </w:r>
      <w:r w:rsidRPr="000F3F54">
        <w:rPr>
          <w:color w:val="000000"/>
          <w:szCs w:val="24"/>
        </w:rPr>
        <w:t>(</w:t>
      </w:r>
      <w:r w:rsidR="007977FD">
        <w:rPr>
          <w:rStyle w:val="apple-converted-space"/>
        </w:rPr>
        <w:t>Mulder</w:t>
      </w:r>
      <w:r w:rsidR="00677C92">
        <w:rPr>
          <w:rStyle w:val="apple-converted-space"/>
        </w:rPr>
        <w:t xml:space="preserve"> et al.</w:t>
      </w:r>
      <w:r w:rsidR="00310E5C">
        <w:rPr>
          <w:rStyle w:val="apple-converted-space"/>
        </w:rPr>
        <w:t>,</w:t>
      </w:r>
      <w:r w:rsidR="007977FD" w:rsidRPr="000F3F54">
        <w:rPr>
          <w:color w:val="000000"/>
          <w:szCs w:val="24"/>
        </w:rPr>
        <w:t xml:space="preserve"> </w:t>
      </w:r>
      <w:r w:rsidRPr="000F3F54">
        <w:rPr>
          <w:color w:val="000000"/>
          <w:szCs w:val="24"/>
        </w:rPr>
        <w:t>2007)</w:t>
      </w:r>
      <w:r w:rsidRPr="000F3F54">
        <w:rPr>
          <w:szCs w:val="24"/>
          <w:lang w:val="en-US"/>
        </w:rPr>
        <w:t xml:space="preserve">: </w:t>
      </w:r>
    </w:p>
    <w:p w:rsidR="00326F15" w:rsidRPr="000F3F54" w:rsidRDefault="00326F15" w:rsidP="0022463D">
      <w:pPr>
        <w:spacing w:line="240" w:lineRule="auto"/>
        <w:rPr>
          <w:szCs w:val="24"/>
        </w:rPr>
      </w:pPr>
    </w:p>
    <w:p w:rsidR="00326F15" w:rsidRPr="000F3F54" w:rsidRDefault="00C95D64" w:rsidP="0022463D">
      <w:pPr>
        <w:spacing w:line="240" w:lineRule="auto"/>
        <w:jc w:val="right"/>
        <w:rPr>
          <w:color w:val="000000"/>
          <w:szCs w:val="24"/>
        </w:rPr>
      </w:pPr>
      <m:oMath>
        <m:r>
          <w:rPr>
            <w:rFonts w:ascii="Cambria Math" w:hAnsi="Cambria Math"/>
            <w:szCs w:val="24"/>
            <w:lang w:val="en-US"/>
          </w:rPr>
          <m:t>∆R</m:t>
        </m:r>
        <m:r>
          <w:rPr>
            <w:rFonts w:ascii="Cambria Math" w:eastAsia="Times New Roman" w:hAnsi="Cambria Math"/>
            <w:color w:val="000000"/>
            <w:szCs w:val="24"/>
          </w:rPr>
          <m:t xml:space="preserve">= </m:t>
        </m:r>
        <m:sSub>
          <m:sSubPr>
            <m:ctrlPr>
              <w:rPr>
                <w:rFonts w:ascii="Cambria Math" w:eastAsia="Times New Roman" w:hAnsi="Cambria Math"/>
                <w:i/>
                <w:color w:val="000000"/>
                <w:szCs w:val="24"/>
              </w:rPr>
            </m:ctrlPr>
          </m:sSubPr>
          <m:e>
            <m:r>
              <w:rPr>
                <w:rFonts w:ascii="Cambria Math" w:eastAsia="Times New Roman" w:hAnsi="Cambria Math"/>
                <w:color w:val="000000"/>
                <w:szCs w:val="24"/>
              </w:rPr>
              <m:t>r</m:t>
            </m:r>
          </m:e>
          <m:sub>
            <m:r>
              <w:rPr>
                <w:rFonts w:ascii="Cambria Math" w:eastAsia="Times New Roman" w:hAnsi="Cambria Math"/>
                <w:color w:val="000000"/>
                <w:szCs w:val="24"/>
              </w:rPr>
              <m:t>m</m:t>
            </m:r>
          </m:sub>
        </m:sSub>
        <m:sSup>
          <m:sSupPr>
            <m:ctrlPr>
              <w:rPr>
                <w:rFonts w:ascii="Cambria Math" w:eastAsia="Times New Roman" w:hAnsi="Cambria Math"/>
                <w:i/>
                <w:color w:val="000000"/>
                <w:szCs w:val="24"/>
              </w:rPr>
            </m:ctrlPr>
          </m:sSupPr>
          <m:e>
            <m:r>
              <w:rPr>
                <w:rFonts w:ascii="Cambria Math" w:eastAsia="Times New Roman" w:hAnsi="Cambria Math"/>
                <w:color w:val="000000"/>
                <w:szCs w:val="24"/>
              </w:rPr>
              <m:t>e</m:t>
            </m:r>
          </m:e>
          <m:sup>
            <m:f>
              <m:fPr>
                <m:ctrlPr>
                  <w:rPr>
                    <w:rFonts w:ascii="Cambria Math" w:eastAsia="Times New Roman" w:hAnsi="Cambria Math"/>
                    <w:i/>
                    <w:color w:val="000000"/>
                    <w:szCs w:val="24"/>
                  </w:rPr>
                </m:ctrlPr>
              </m:fPr>
              <m:num>
                <m:r>
                  <w:rPr>
                    <w:rFonts w:ascii="Cambria Math" w:eastAsia="Times New Roman" w:hAnsi="Cambria Math"/>
                    <w:color w:val="000000"/>
                    <w:szCs w:val="24"/>
                  </w:rPr>
                  <m:t>-E</m:t>
                </m:r>
              </m:num>
              <m:den>
                <m:r>
                  <w:rPr>
                    <w:rFonts w:ascii="Cambria Math" w:eastAsia="Times New Roman" w:hAnsi="Cambria Math"/>
                    <w:color w:val="000000"/>
                    <w:szCs w:val="24"/>
                  </w:rPr>
                  <m:t>κ</m:t>
                </m:r>
              </m:den>
            </m:f>
            <m:r>
              <w:rPr>
                <w:rFonts w:ascii="Cambria Math" w:eastAsia="Times New Roman" w:hAnsi="Cambria Math"/>
                <w:color w:val="000000"/>
                <w:szCs w:val="24"/>
              </w:rPr>
              <m:t xml:space="preserve"> </m:t>
            </m:r>
            <m:d>
              <m:dPr>
                <m:ctrlPr>
                  <w:rPr>
                    <w:rFonts w:ascii="Cambria Math" w:eastAsia="Times New Roman" w:hAnsi="Cambria Math"/>
                    <w:i/>
                    <w:color w:val="000000"/>
                    <w:szCs w:val="24"/>
                  </w:rPr>
                </m:ctrlPr>
              </m:dPr>
              <m:e>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r>
                      <w:rPr>
                        <w:rFonts w:ascii="Cambria Math" w:eastAsia="Times New Roman" w:hAnsi="Cambria Math"/>
                        <w:color w:val="000000"/>
                        <w:szCs w:val="24"/>
                      </w:rPr>
                      <m:t>T</m:t>
                    </m:r>
                  </m:den>
                </m:f>
                <m:r>
                  <w:rPr>
                    <w:rFonts w:ascii="Cambria Math" w:eastAsia="Times New Roman" w:hAnsi="Cambria Math"/>
                    <w:color w:val="000000"/>
                    <w:szCs w:val="24"/>
                  </w:rPr>
                  <m:t>-</m:t>
                </m:r>
                <m:f>
                  <m:fPr>
                    <m:ctrlPr>
                      <w:rPr>
                        <w:rFonts w:ascii="Cambria Math" w:eastAsia="Times New Roman" w:hAnsi="Cambria Math"/>
                        <w:i/>
                        <w:color w:val="000000"/>
                        <w:szCs w:val="24"/>
                      </w:rPr>
                    </m:ctrlPr>
                  </m:fPr>
                  <m:num>
                    <m:r>
                      <w:rPr>
                        <w:rFonts w:ascii="Cambria Math" w:eastAsia="Times New Roman" w:hAnsi="Cambria Math"/>
                        <w:color w:val="000000"/>
                        <w:szCs w:val="24"/>
                      </w:rPr>
                      <m:t>1</m:t>
                    </m:r>
                  </m:num>
                  <m:den>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ref</m:t>
                        </m:r>
                      </m:sub>
                    </m:sSub>
                  </m:den>
                </m:f>
              </m:e>
            </m:d>
          </m:sup>
        </m:sSup>
        <m:r>
          <w:rPr>
            <w:rFonts w:ascii="Cambria Math" w:eastAsia="Times New Roman" w:hAnsi="Cambria Math"/>
            <w:color w:val="000000"/>
            <w:szCs w:val="24"/>
          </w:rPr>
          <m:t>M</m:t>
        </m:r>
      </m:oMath>
      <w:r w:rsidR="00326F15" w:rsidRPr="000F3F54">
        <w:rPr>
          <w:color w:val="000000"/>
          <w:szCs w:val="24"/>
        </w:rPr>
        <w:t xml:space="preserve">                                                      Eq. </w:t>
      </w:r>
      <w:r w:rsidR="00677C92">
        <w:rPr>
          <w:color w:val="000000"/>
          <w:szCs w:val="24"/>
        </w:rPr>
        <w:t>A</w:t>
      </w:r>
      <w:r w:rsidR="00C84BBA">
        <w:rPr>
          <w:color w:val="000000"/>
          <w:szCs w:val="24"/>
        </w:rPr>
        <w:t>.</w:t>
      </w:r>
      <w:r w:rsidR="00677C92">
        <w:rPr>
          <w:color w:val="000000"/>
          <w:szCs w:val="24"/>
        </w:rPr>
        <w:t>5</w:t>
      </w:r>
    </w:p>
    <w:p w:rsidR="00326F15" w:rsidRPr="000F3F54" w:rsidRDefault="00326F15" w:rsidP="0022463D">
      <w:pPr>
        <w:spacing w:line="240" w:lineRule="auto"/>
        <w:rPr>
          <w:color w:val="000000"/>
          <w:szCs w:val="24"/>
        </w:rPr>
      </w:pPr>
    </w:p>
    <w:p w:rsidR="00326F15" w:rsidRPr="000F3F54" w:rsidRDefault="00326F15" w:rsidP="0022463D">
      <w:pPr>
        <w:spacing w:line="240" w:lineRule="auto"/>
        <w:rPr>
          <w:color w:val="000000"/>
          <w:szCs w:val="24"/>
        </w:rPr>
      </w:pPr>
      <w:r w:rsidRPr="000F3F54">
        <w:rPr>
          <w:color w:val="000000"/>
          <w:szCs w:val="24"/>
        </w:rPr>
        <w:t xml:space="preserve">where </w:t>
      </w:r>
      <w:r w:rsidRPr="000F3F54">
        <w:rPr>
          <w:i/>
          <w:iCs/>
          <w:color w:val="000000"/>
          <w:szCs w:val="24"/>
        </w:rPr>
        <w:t>r</w:t>
      </w:r>
      <w:r w:rsidRPr="000F3F54">
        <w:rPr>
          <w:color w:val="000000"/>
          <w:szCs w:val="24"/>
          <w:vertAlign w:val="subscript"/>
        </w:rPr>
        <w:t>m</w:t>
      </w:r>
      <w:r w:rsidRPr="000F3F54">
        <w:rPr>
          <w:color w:val="000000"/>
          <w:szCs w:val="24"/>
        </w:rPr>
        <w:t xml:space="preserve"> is the maximum rate of energy allocation to reproduction per unit of adult mass (kJ/g/day). </w:t>
      </w:r>
      <w:r w:rsidRPr="000F3F54">
        <w:rPr>
          <w:szCs w:val="24"/>
          <w:lang w:val="en-US"/>
        </w:rPr>
        <w:t>The energy cost of producing a hatchling depends on the mass of cocoon (</w:t>
      </w:r>
      <w:r w:rsidRPr="000F3F54">
        <w:rPr>
          <w:i/>
          <w:iCs/>
          <w:szCs w:val="24"/>
          <w:lang w:val="en-US"/>
        </w:rPr>
        <w:t>M</w:t>
      </w:r>
      <w:r w:rsidRPr="000F3F54">
        <w:rPr>
          <w:szCs w:val="24"/>
          <w:vertAlign w:val="subscript"/>
          <w:lang w:val="en-US"/>
        </w:rPr>
        <w:t xml:space="preserve">c </w:t>
      </w:r>
      <w:r w:rsidRPr="000F3F54">
        <w:rPr>
          <w:szCs w:val="24"/>
          <w:lang w:val="en-US"/>
        </w:rPr>
        <w:t xml:space="preserve">): </w:t>
      </w:r>
      <w:r w:rsidRPr="000F3F54">
        <w:rPr>
          <w:i/>
          <w:iCs/>
          <w:szCs w:val="24"/>
          <w:lang w:val="en-US"/>
        </w:rPr>
        <w:t>M</w:t>
      </w:r>
      <w:r w:rsidRPr="000F3F54">
        <w:rPr>
          <w:szCs w:val="24"/>
          <w:vertAlign w:val="subscript"/>
          <w:lang w:val="en-US"/>
        </w:rPr>
        <w:t xml:space="preserve">c </w:t>
      </w:r>
      <w:r w:rsidRPr="000F3F54">
        <w:rPr>
          <w:szCs w:val="24"/>
          <w:lang w:val="en-US"/>
        </w:rPr>
        <w:t>(</w:t>
      </w:r>
      <w:r w:rsidRPr="000F3F54">
        <w:rPr>
          <w:i/>
          <w:iCs/>
          <w:szCs w:val="24"/>
          <w:lang w:val="en-US"/>
        </w:rPr>
        <w:t>E</w:t>
      </w:r>
      <w:r w:rsidRPr="000F3F54">
        <w:rPr>
          <w:szCs w:val="24"/>
          <w:vertAlign w:val="subscript"/>
          <w:lang w:val="en-US"/>
        </w:rPr>
        <w:t>c</w:t>
      </w:r>
      <w:r w:rsidRPr="000F3F54">
        <w:rPr>
          <w:szCs w:val="24"/>
          <w:lang w:val="en-US"/>
        </w:rPr>
        <w:t xml:space="preserve"> + </w:t>
      </w:r>
      <w:r w:rsidRPr="000F3F54">
        <w:rPr>
          <w:i/>
          <w:iCs/>
          <w:szCs w:val="24"/>
          <w:lang w:val="en-US"/>
        </w:rPr>
        <w:t>E</w:t>
      </w:r>
      <w:r w:rsidRPr="000F3F54">
        <w:rPr>
          <w:szCs w:val="24"/>
          <w:vertAlign w:val="subscript"/>
          <w:lang w:val="en-US"/>
        </w:rPr>
        <w:t>s</w:t>
      </w:r>
      <w:r w:rsidRPr="000F3F54">
        <w:rPr>
          <w:szCs w:val="24"/>
          <w:lang w:val="en-US"/>
        </w:rPr>
        <w:t xml:space="preserve">) and the hatchling’s energy reserve content is initially </w:t>
      </w:r>
      <w:r w:rsidRPr="000F3F54">
        <w:rPr>
          <w:i/>
          <w:iCs/>
          <w:szCs w:val="24"/>
          <w:lang w:val="en-US"/>
        </w:rPr>
        <w:t>M</w:t>
      </w:r>
      <w:r w:rsidRPr="000F3F54">
        <w:rPr>
          <w:szCs w:val="24"/>
          <w:vertAlign w:val="subscript"/>
          <w:lang w:val="en-US"/>
        </w:rPr>
        <w:t>c</w:t>
      </w:r>
      <w:r>
        <w:rPr>
          <w:szCs w:val="24"/>
          <w:vertAlign w:val="subscript"/>
          <w:lang w:val="en-US"/>
        </w:rPr>
        <w:t xml:space="preserve"> </w:t>
      </w:r>
      <w:r w:rsidRPr="000F3F54">
        <w:rPr>
          <w:i/>
          <w:iCs/>
          <w:szCs w:val="24"/>
          <w:lang w:val="en-US"/>
        </w:rPr>
        <w:t>E</w:t>
      </w:r>
      <w:r w:rsidRPr="000F3F54">
        <w:rPr>
          <w:szCs w:val="24"/>
          <w:vertAlign w:val="subscript"/>
          <w:lang w:val="en-US"/>
        </w:rPr>
        <w:t>c</w:t>
      </w:r>
      <w:r w:rsidRPr="000F3F54">
        <w:rPr>
          <w:color w:val="000000"/>
          <w:szCs w:val="24"/>
        </w:rPr>
        <w:t>, which is utilized for maintenance during the incubation period.</w:t>
      </w:r>
    </w:p>
    <w:p w:rsidR="00326F15" w:rsidRPr="000F3F54" w:rsidRDefault="00326F15" w:rsidP="0022463D">
      <w:pPr>
        <w:tabs>
          <w:tab w:val="left" w:pos="6902"/>
        </w:tabs>
        <w:spacing w:line="240" w:lineRule="auto"/>
        <w:rPr>
          <w:color w:val="000000"/>
          <w:szCs w:val="24"/>
        </w:rPr>
      </w:pPr>
      <w:r w:rsidRPr="000F3F54">
        <w:rPr>
          <w:color w:val="000000"/>
          <w:szCs w:val="24"/>
        </w:rPr>
        <w:tab/>
      </w:r>
    </w:p>
    <w:p w:rsidR="00326F15" w:rsidRPr="000F3F54" w:rsidRDefault="00326F15" w:rsidP="0022463D">
      <w:pPr>
        <w:spacing w:line="240" w:lineRule="auto"/>
        <w:rPr>
          <w:i/>
          <w:color w:val="000000"/>
          <w:szCs w:val="24"/>
        </w:rPr>
      </w:pPr>
      <w:r w:rsidRPr="000F3F54">
        <w:rPr>
          <w:i/>
          <w:color w:val="000000"/>
          <w:szCs w:val="24"/>
        </w:rPr>
        <w:t>Energy reserves and starvation</w:t>
      </w:r>
    </w:p>
    <w:p w:rsidR="00326F15" w:rsidRPr="000F3F54" w:rsidRDefault="00326F15" w:rsidP="0022463D">
      <w:pPr>
        <w:spacing w:line="240" w:lineRule="auto"/>
        <w:rPr>
          <w:szCs w:val="24"/>
        </w:rPr>
      </w:pPr>
      <w:r w:rsidRPr="000F3F54">
        <w:rPr>
          <w:color w:val="000000"/>
          <w:szCs w:val="24"/>
        </w:rPr>
        <w:t>If any assimilated energy remains after expenditure on relevant life processes (Fig. A</w:t>
      </w:r>
      <w:r w:rsidR="00C84BBA">
        <w:rPr>
          <w:color w:val="000000"/>
          <w:szCs w:val="24"/>
        </w:rPr>
        <w:t>.</w:t>
      </w:r>
      <w:r w:rsidRPr="000F3F54">
        <w:rPr>
          <w:color w:val="000000"/>
          <w:szCs w:val="24"/>
        </w:rPr>
        <w:t xml:space="preserve">1) it is stored in an individual’s energy reserves. </w:t>
      </w:r>
      <w:r w:rsidRPr="000F3F54">
        <w:rPr>
          <w:szCs w:val="24"/>
        </w:rPr>
        <w:t>Energ</w:t>
      </w:r>
      <w:r w:rsidR="00677C92">
        <w:rPr>
          <w:szCs w:val="24"/>
        </w:rPr>
        <w:t>y is stored as glycogen (Byzova</w:t>
      </w:r>
      <w:r w:rsidR="00310E5C">
        <w:rPr>
          <w:szCs w:val="24"/>
        </w:rPr>
        <w:t>,</w:t>
      </w:r>
      <w:r w:rsidRPr="000F3F54">
        <w:rPr>
          <w:szCs w:val="24"/>
        </w:rPr>
        <w:t xml:space="preserve"> 1977), costing </w:t>
      </w:r>
      <w:r w:rsidRPr="000F3F54">
        <w:rPr>
          <w:i/>
          <w:iCs/>
          <w:szCs w:val="24"/>
        </w:rPr>
        <w:t>E</w:t>
      </w:r>
      <w:r w:rsidRPr="000F3F54">
        <w:rPr>
          <w:szCs w:val="24"/>
          <w:vertAlign w:val="subscript"/>
        </w:rPr>
        <w:t>s</w:t>
      </w:r>
      <w:r w:rsidRPr="000F3F54">
        <w:rPr>
          <w:szCs w:val="24"/>
        </w:rPr>
        <w:t xml:space="preserve"> = 3.6 kJ to store 1g with an energy content of </w:t>
      </w:r>
      <w:r w:rsidRPr="000F3F54">
        <w:rPr>
          <w:i/>
          <w:iCs/>
          <w:szCs w:val="24"/>
        </w:rPr>
        <w:t>E</w:t>
      </w:r>
      <w:r w:rsidRPr="000F3F54">
        <w:rPr>
          <w:szCs w:val="24"/>
          <w:vertAlign w:val="subscript"/>
        </w:rPr>
        <w:t>c</w:t>
      </w:r>
      <w:r w:rsidRPr="000F3F54">
        <w:rPr>
          <w:szCs w:val="24"/>
        </w:rPr>
        <w:t xml:space="preserve"> = 7 kJ (Sibly </w:t>
      </w:r>
      <w:r w:rsidR="00677C92">
        <w:rPr>
          <w:szCs w:val="24"/>
        </w:rPr>
        <w:t>and Calow</w:t>
      </w:r>
      <w:r w:rsidR="00310E5C">
        <w:rPr>
          <w:szCs w:val="24"/>
        </w:rPr>
        <w:t>,</w:t>
      </w:r>
      <w:r w:rsidRPr="000F3F54">
        <w:rPr>
          <w:szCs w:val="24"/>
        </w:rPr>
        <w:t xml:space="preserve"> 19</w:t>
      </w:r>
      <w:r w:rsidR="00677C92">
        <w:rPr>
          <w:szCs w:val="24"/>
        </w:rPr>
        <w:t>86, Peters</w:t>
      </w:r>
      <w:r w:rsidR="00310E5C">
        <w:rPr>
          <w:szCs w:val="24"/>
        </w:rPr>
        <w:t>,</w:t>
      </w:r>
      <w:r w:rsidRPr="000F3F54">
        <w:rPr>
          <w:szCs w:val="24"/>
        </w:rPr>
        <w:t xml:space="preserve"> 1983). When energy is not available from ingested material, maintenance costs are taken from energy reserves, allowing individuals to survive for some tim</w:t>
      </w:r>
      <w:r w:rsidR="00677C92">
        <w:rPr>
          <w:szCs w:val="24"/>
        </w:rPr>
        <w:t>e under starvation (Sousa et al</w:t>
      </w:r>
      <w:r w:rsidR="00310E5C">
        <w:rPr>
          <w:szCs w:val="24"/>
        </w:rPr>
        <w:t>.,</w:t>
      </w:r>
      <w:r w:rsidR="00677C92">
        <w:rPr>
          <w:szCs w:val="24"/>
        </w:rPr>
        <w:t xml:space="preserve"> 2010,</w:t>
      </w:r>
      <w:r w:rsidRPr="000F3F54">
        <w:rPr>
          <w:szCs w:val="24"/>
        </w:rPr>
        <w:t xml:space="preserve"> Gunadi</w:t>
      </w:r>
      <w:r w:rsidR="00677C92">
        <w:rPr>
          <w:szCs w:val="24"/>
        </w:rPr>
        <w:t xml:space="preserve"> et al.</w:t>
      </w:r>
      <w:r w:rsidR="00310E5C">
        <w:rPr>
          <w:szCs w:val="24"/>
        </w:rPr>
        <w:t>,</w:t>
      </w:r>
      <w:r w:rsidRPr="000F3F54">
        <w:rPr>
          <w:szCs w:val="24"/>
        </w:rPr>
        <w:t xml:space="preserve"> 2002). Furthermore, as evidence supports the assumption that reproduction continues even when food is limiting (Reinecke </w:t>
      </w:r>
      <w:r w:rsidR="00677C92">
        <w:rPr>
          <w:szCs w:val="24"/>
        </w:rPr>
        <w:t>and Viljoen</w:t>
      </w:r>
      <w:r w:rsidR="00310E5C">
        <w:rPr>
          <w:szCs w:val="24"/>
        </w:rPr>
        <w:t>,</w:t>
      </w:r>
      <w:r w:rsidRPr="000F3F54">
        <w:rPr>
          <w:szCs w:val="24"/>
        </w:rPr>
        <w:t xml:space="preserve"> 1990), the energy reserves are assumed to be utilized for reproduction above a threshold of 50% of an individual’s maximum energy reserves, </w:t>
      </w:r>
      <w:r w:rsidRPr="000F3F54">
        <w:rPr>
          <w:rFonts w:eastAsia="Caecilia-Roman"/>
          <w:szCs w:val="24"/>
        </w:rPr>
        <w:t xml:space="preserve">taken as </w:t>
      </w:r>
      <w:r>
        <w:rPr>
          <w:rFonts w:eastAsia="Caecilia-Roman"/>
          <w:i/>
          <w:szCs w:val="24"/>
        </w:rPr>
        <w:t>M</w:t>
      </w:r>
      <w:r>
        <w:rPr>
          <w:rFonts w:eastAsia="Caecilia-Roman"/>
          <w:szCs w:val="24"/>
        </w:rPr>
        <w:t>/2 (</w:t>
      </w:r>
      <w:r>
        <w:rPr>
          <w:rFonts w:eastAsia="Caecilia-Roman"/>
          <w:i/>
          <w:szCs w:val="24"/>
        </w:rPr>
        <w:t>E</w:t>
      </w:r>
      <w:r>
        <w:rPr>
          <w:rFonts w:eastAsia="Caecilia-Roman"/>
          <w:i/>
          <w:szCs w:val="24"/>
          <w:vertAlign w:val="subscript"/>
        </w:rPr>
        <w:t>c</w:t>
      </w:r>
      <w:r>
        <w:rPr>
          <w:rFonts w:eastAsia="Caecilia-Roman"/>
          <w:szCs w:val="24"/>
        </w:rPr>
        <w:t>)</w:t>
      </w:r>
      <w:r w:rsidR="00677C92">
        <w:rPr>
          <w:rFonts w:eastAsia="Caecilia-Roman"/>
          <w:szCs w:val="24"/>
        </w:rPr>
        <w:t xml:space="preserve"> (e.g. Peters</w:t>
      </w:r>
      <w:r w:rsidR="00310E5C">
        <w:rPr>
          <w:rFonts w:eastAsia="Caecilia-Roman"/>
          <w:szCs w:val="24"/>
        </w:rPr>
        <w:t>,</w:t>
      </w:r>
      <w:r w:rsidRPr="000F3F54">
        <w:rPr>
          <w:rFonts w:eastAsia="Caecilia-Roman"/>
          <w:szCs w:val="24"/>
        </w:rPr>
        <w:t xml:space="preserve"> 1983)</w:t>
      </w:r>
      <w:r w:rsidRPr="000F3F54">
        <w:rPr>
          <w:szCs w:val="24"/>
        </w:rPr>
        <w:t xml:space="preserve">. If food limitation continues and the energy reserves decline below 50% of an individual’s maximum energy reserves, individuals are considered to be in a state of starvation. </w:t>
      </w:r>
      <w:r w:rsidRPr="000F3F54">
        <w:rPr>
          <w:rFonts w:eastAsia="Caecilia-Roman"/>
          <w:szCs w:val="24"/>
        </w:rPr>
        <w:t xml:space="preserve">Under these conditions tissue is catabolised to cover maintenance costs, resulting in net weight loss (Gunadi </w:t>
      </w:r>
      <w:r w:rsidR="00677C92">
        <w:rPr>
          <w:rFonts w:eastAsia="Caecilia-Roman"/>
          <w:szCs w:val="24"/>
        </w:rPr>
        <w:t>and Edwards</w:t>
      </w:r>
      <w:r w:rsidR="00310E5C">
        <w:rPr>
          <w:rFonts w:eastAsia="Caecilia-Roman"/>
          <w:szCs w:val="24"/>
        </w:rPr>
        <w:t>,</w:t>
      </w:r>
      <w:r w:rsidRPr="000F3F54">
        <w:rPr>
          <w:rFonts w:eastAsia="Caecilia-Roman"/>
          <w:szCs w:val="24"/>
        </w:rPr>
        <w:t xml:space="preserve"> 2003); individuals die if their mass falls to that at birth (</w:t>
      </w:r>
      <w:r w:rsidRPr="000F3F54">
        <w:rPr>
          <w:rFonts w:eastAsia="Caecilia-Roman"/>
          <w:i/>
          <w:iCs/>
          <w:szCs w:val="24"/>
        </w:rPr>
        <w:t>M</w:t>
      </w:r>
      <w:r w:rsidRPr="00C52927">
        <w:rPr>
          <w:rFonts w:eastAsia="Caecilia-Roman"/>
          <w:i/>
          <w:szCs w:val="24"/>
          <w:vertAlign w:val="subscript"/>
        </w:rPr>
        <w:t>b</w:t>
      </w:r>
      <w:r w:rsidRPr="000F3F54">
        <w:rPr>
          <w:rFonts w:eastAsia="Caecilia-Roman"/>
          <w:szCs w:val="24"/>
        </w:rPr>
        <w:t xml:space="preserve">) following Reinecke </w:t>
      </w:r>
      <w:r w:rsidR="00677C92">
        <w:rPr>
          <w:rFonts w:eastAsia="Caecilia-Roman"/>
          <w:szCs w:val="24"/>
        </w:rPr>
        <w:t>and</w:t>
      </w:r>
      <w:r w:rsidRPr="000F3F54">
        <w:rPr>
          <w:rFonts w:eastAsia="Caecilia-Roman"/>
          <w:szCs w:val="24"/>
        </w:rPr>
        <w:t xml:space="preserve"> Viljoen (1990).</w:t>
      </w:r>
    </w:p>
    <w:p w:rsidR="00326F15" w:rsidRPr="000F3F54" w:rsidRDefault="00326F15" w:rsidP="0022463D">
      <w:pPr>
        <w:spacing w:line="240" w:lineRule="auto"/>
        <w:rPr>
          <w:color w:val="000000"/>
          <w:szCs w:val="24"/>
        </w:rPr>
      </w:pPr>
    </w:p>
    <w:p w:rsidR="00326F15" w:rsidRPr="000F3F54" w:rsidRDefault="00326F15" w:rsidP="0022463D">
      <w:pPr>
        <w:spacing w:line="240" w:lineRule="auto"/>
        <w:rPr>
          <w:i/>
          <w:szCs w:val="24"/>
        </w:rPr>
      </w:pPr>
      <w:r w:rsidRPr="000F3F54">
        <w:rPr>
          <w:i/>
          <w:szCs w:val="24"/>
        </w:rPr>
        <w:t>Soil water potential</w:t>
      </w:r>
    </w:p>
    <w:p w:rsidR="00326F15" w:rsidRPr="000F3F54" w:rsidRDefault="00326F15" w:rsidP="0022463D">
      <w:pPr>
        <w:spacing w:line="240" w:lineRule="auto"/>
        <w:rPr>
          <w:szCs w:val="24"/>
        </w:rPr>
      </w:pPr>
      <w:r w:rsidRPr="000F3F54">
        <w:rPr>
          <w:szCs w:val="24"/>
        </w:rPr>
        <w:t>Soil moisture is a major driver of earthworm population dynamics and</w:t>
      </w:r>
      <w:r w:rsidR="00B93866">
        <w:rPr>
          <w:szCs w:val="24"/>
        </w:rPr>
        <w:t xml:space="preserve"> distribution in the field (Lee</w:t>
      </w:r>
      <w:r w:rsidR="00310E5C">
        <w:rPr>
          <w:szCs w:val="24"/>
        </w:rPr>
        <w:t>,</w:t>
      </w:r>
      <w:r w:rsidRPr="000F3F54">
        <w:rPr>
          <w:szCs w:val="24"/>
        </w:rPr>
        <w:t xml:space="preserve"> 1985). Holmstrup (2001) found decreasing soil water potentials to have a negative effect on individual </w:t>
      </w:r>
      <w:r w:rsidRPr="000F3F54">
        <w:rPr>
          <w:i/>
          <w:szCs w:val="24"/>
        </w:rPr>
        <w:t xml:space="preserve">A. caliginosa </w:t>
      </w:r>
      <w:r w:rsidRPr="000F3F54">
        <w:rPr>
          <w:szCs w:val="24"/>
        </w:rPr>
        <w:t xml:space="preserve">life cycle traits, as shown in Fig. </w:t>
      </w:r>
      <w:r w:rsidR="00B93866">
        <w:rPr>
          <w:szCs w:val="24"/>
        </w:rPr>
        <w:t>A</w:t>
      </w:r>
      <w:r w:rsidR="00C84BBA">
        <w:rPr>
          <w:szCs w:val="24"/>
        </w:rPr>
        <w:t>.</w:t>
      </w:r>
      <w:r w:rsidR="00B93866">
        <w:rPr>
          <w:szCs w:val="24"/>
        </w:rPr>
        <w:t>3</w:t>
      </w:r>
      <w:r w:rsidRPr="000F3F54">
        <w:rPr>
          <w:szCs w:val="24"/>
        </w:rPr>
        <w:t>. Here we suppose soil water potential (</w:t>
      </w:r>
      <w:r w:rsidRPr="000F3F54">
        <w:rPr>
          <w:i/>
          <w:szCs w:val="24"/>
        </w:rPr>
        <w:t>ψ</w:t>
      </w:r>
      <w:r w:rsidRPr="000F3F54">
        <w:rPr>
          <w:szCs w:val="24"/>
        </w:rPr>
        <w:t>) reduces the ingestion rate parameter (</w:t>
      </w:r>
      <w:r w:rsidRPr="00C52927">
        <w:rPr>
          <w:i/>
          <w:szCs w:val="24"/>
        </w:rPr>
        <w:t>IG</w:t>
      </w:r>
      <w:r w:rsidRPr="00C52927">
        <w:rPr>
          <w:i/>
          <w:szCs w:val="24"/>
          <w:vertAlign w:val="subscript"/>
        </w:rPr>
        <w:t>max</w:t>
      </w:r>
      <w:r w:rsidRPr="000F3F54">
        <w:rPr>
          <w:szCs w:val="24"/>
        </w:rPr>
        <w:t>) as:</w:t>
      </w:r>
    </w:p>
    <w:p w:rsidR="00326F15" w:rsidRPr="000F3F54" w:rsidRDefault="00326F15" w:rsidP="0022463D">
      <w:pPr>
        <w:spacing w:line="240" w:lineRule="auto"/>
        <w:rPr>
          <w:szCs w:val="24"/>
        </w:rPr>
      </w:pPr>
      <w:r w:rsidRPr="000F3F54">
        <w:rPr>
          <w:szCs w:val="24"/>
        </w:rPr>
        <w:t xml:space="preserve">    </w:t>
      </w:r>
    </w:p>
    <w:p w:rsidR="00326F15" w:rsidRPr="000F3F54" w:rsidRDefault="002E45FD" w:rsidP="0022463D">
      <w:pPr>
        <w:spacing w:line="240" w:lineRule="auto"/>
        <w:jc w:val="right"/>
        <w:rPr>
          <w:szCs w:val="24"/>
        </w:rPr>
      </w:pPr>
      <m:oMath>
        <m:sSub>
          <m:sSubPr>
            <m:ctrlPr>
              <w:rPr>
                <w:rFonts w:ascii="Cambria Math" w:hAnsi="Cambria Math"/>
                <w:i/>
                <w:szCs w:val="24"/>
              </w:rPr>
            </m:ctrlPr>
          </m:sSubPr>
          <m:e>
            <m:r>
              <w:rPr>
                <w:rFonts w:ascii="Cambria Math" w:hAnsi="Cambria Math"/>
                <w:szCs w:val="24"/>
              </w:rPr>
              <m:t>IG</m:t>
            </m:r>
          </m:e>
          <m:sub>
            <m:r>
              <w:rPr>
                <w:rFonts w:ascii="Cambria Math" w:hAnsi="Cambria Math"/>
                <w:szCs w:val="24"/>
              </w:rPr>
              <m:t>max</m:t>
            </m:r>
          </m:sub>
        </m:sSub>
        <m:d>
          <m:dPr>
            <m:ctrlPr>
              <w:rPr>
                <w:rFonts w:ascii="Cambria Math" w:hAnsi="Cambria Math"/>
                <w:i/>
                <w:szCs w:val="24"/>
              </w:rPr>
            </m:ctrlPr>
          </m:dPr>
          <m:e>
            <m:r>
              <w:rPr>
                <w:rFonts w:ascii="Cambria Math" w:hAnsi="Cambria Math"/>
                <w:szCs w:val="24"/>
              </w:rPr>
              <m:t>ψ</m:t>
            </m:r>
          </m:e>
        </m:d>
        <m:r>
          <w:rPr>
            <w:rFonts w:ascii="Cambria Math" w:hAnsi="Cambria Math"/>
            <w:szCs w:val="24"/>
          </w:rPr>
          <m:t>=(</m:t>
        </m:r>
        <m:sSub>
          <m:sSubPr>
            <m:ctrlPr>
              <w:rPr>
                <w:rFonts w:ascii="Cambria Math" w:hAnsi="Cambria Math"/>
                <w:i/>
                <w:szCs w:val="24"/>
              </w:rPr>
            </m:ctrlPr>
          </m:sSubPr>
          <m:e>
            <m:r>
              <w:rPr>
                <w:rFonts w:ascii="Cambria Math" w:hAnsi="Cambria Math"/>
                <w:szCs w:val="24"/>
              </w:rPr>
              <m:t>IG</m:t>
            </m:r>
          </m:e>
          <m:sub>
            <m:r>
              <w:rPr>
                <w:rFonts w:ascii="Cambria Math" w:hAnsi="Cambria Math"/>
                <w:szCs w:val="24"/>
              </w:rPr>
              <m:t>max</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 e</m:t>
            </m:r>
          </m:e>
          <m:sup>
            <m:r>
              <w:rPr>
                <w:rFonts w:ascii="Cambria Math" w:hAnsi="Cambria Math"/>
                <w:szCs w:val="24"/>
              </w:rPr>
              <m:t>kψ</m:t>
            </m:r>
          </m:sup>
        </m:sSup>
      </m:oMath>
      <w:r w:rsidR="00326F15" w:rsidRPr="00176EA0">
        <w:rPr>
          <w:rFonts w:eastAsia="Times New Roman"/>
          <w:szCs w:val="24"/>
        </w:rPr>
        <w:t xml:space="preserve">      </w:t>
      </w:r>
      <w:r w:rsidR="00326F15">
        <w:rPr>
          <w:rFonts w:eastAsia="Times New Roman"/>
          <w:szCs w:val="24"/>
        </w:rPr>
        <w:t xml:space="preserve">         </w:t>
      </w:r>
      <w:r w:rsidR="00326F15">
        <w:rPr>
          <w:rFonts w:eastAsia="Times New Roman"/>
          <w:szCs w:val="24"/>
        </w:rPr>
        <w:tab/>
        <w:t xml:space="preserve">                   </w:t>
      </w:r>
      <w:r w:rsidR="00326F15" w:rsidRPr="00176EA0">
        <w:rPr>
          <w:rFonts w:eastAsia="Times New Roman"/>
          <w:szCs w:val="24"/>
        </w:rPr>
        <w:t xml:space="preserve">  </w:t>
      </w:r>
      <w:r w:rsidR="00326F15" w:rsidRPr="00176EA0">
        <w:rPr>
          <w:rFonts w:eastAsia="Times New Roman"/>
          <w:szCs w:val="24"/>
        </w:rPr>
        <w:tab/>
      </w:r>
      <w:r w:rsidR="00B93866">
        <w:rPr>
          <w:rFonts w:eastAsia="Times New Roman"/>
          <w:szCs w:val="24"/>
        </w:rPr>
        <w:t>Eq. A</w:t>
      </w:r>
      <w:r w:rsidR="00C84BBA">
        <w:rPr>
          <w:rFonts w:eastAsia="Times New Roman"/>
          <w:szCs w:val="24"/>
        </w:rPr>
        <w:t>.</w:t>
      </w:r>
      <w:r w:rsidR="00B93866">
        <w:rPr>
          <w:rFonts w:eastAsia="Times New Roman"/>
          <w:szCs w:val="24"/>
        </w:rPr>
        <w:t>6</w:t>
      </w:r>
    </w:p>
    <w:p w:rsidR="00326F15" w:rsidRPr="000F3F54" w:rsidRDefault="00326F15" w:rsidP="0022463D">
      <w:pPr>
        <w:spacing w:line="240" w:lineRule="auto"/>
        <w:rPr>
          <w:szCs w:val="24"/>
        </w:rPr>
      </w:pPr>
    </w:p>
    <w:p w:rsidR="00326F15" w:rsidRPr="000F3F54" w:rsidRDefault="00326F15" w:rsidP="0022463D">
      <w:pPr>
        <w:spacing w:line="240" w:lineRule="auto"/>
        <w:rPr>
          <w:szCs w:val="24"/>
        </w:rPr>
      </w:pPr>
      <w:r w:rsidRPr="000F3F54">
        <w:rPr>
          <w:szCs w:val="24"/>
        </w:rPr>
        <w:t xml:space="preserve">where </w:t>
      </w:r>
      <m:oMath>
        <m:sSub>
          <m:sSubPr>
            <m:ctrlPr>
              <w:rPr>
                <w:rFonts w:ascii="Cambria Math" w:hAnsi="Cambria Math"/>
                <w:i/>
                <w:szCs w:val="24"/>
              </w:rPr>
            </m:ctrlPr>
          </m:sSubPr>
          <m:e>
            <m:r>
              <w:rPr>
                <w:rFonts w:ascii="Cambria Math" w:hAnsi="Cambria Math"/>
                <w:szCs w:val="24"/>
              </w:rPr>
              <m:t>IG</m:t>
            </m:r>
          </m:e>
          <m:sub>
            <m:r>
              <w:rPr>
                <w:rFonts w:ascii="Cambria Math" w:hAnsi="Cambria Math"/>
                <w:szCs w:val="24"/>
              </w:rPr>
              <m:t>max</m:t>
            </m:r>
          </m:sub>
        </m:sSub>
      </m:oMath>
      <w:r w:rsidRPr="000F3F54">
        <w:rPr>
          <w:szCs w:val="24"/>
        </w:rPr>
        <w:t xml:space="preserve">is the parameter value at a soil water potential of -2 kPa (Table </w:t>
      </w:r>
      <w:r w:rsidR="00B93866">
        <w:rPr>
          <w:szCs w:val="24"/>
        </w:rPr>
        <w:t>A</w:t>
      </w:r>
      <w:r w:rsidR="00C84BBA">
        <w:rPr>
          <w:szCs w:val="24"/>
        </w:rPr>
        <w:t>.</w:t>
      </w:r>
      <w:r w:rsidRPr="000F3F54">
        <w:rPr>
          <w:szCs w:val="24"/>
        </w:rPr>
        <w:t xml:space="preserve">1) and </w:t>
      </w:r>
      <w:r w:rsidRPr="000F3F54">
        <w:rPr>
          <w:i/>
          <w:szCs w:val="24"/>
        </w:rPr>
        <w:t xml:space="preserve">k </w:t>
      </w:r>
      <w:r w:rsidRPr="000F3F54">
        <w:rPr>
          <w:szCs w:val="24"/>
        </w:rPr>
        <w:t xml:space="preserve">takes the value 0.040. This results in less energy being available for allocation to growth or reproduction, than under optimal conditions of soil water potential (-2 kPa). Fig. </w:t>
      </w:r>
      <w:r w:rsidR="00B93866">
        <w:rPr>
          <w:szCs w:val="24"/>
        </w:rPr>
        <w:t>A</w:t>
      </w:r>
      <w:r w:rsidR="00C84BBA">
        <w:rPr>
          <w:szCs w:val="24"/>
        </w:rPr>
        <w:t>.</w:t>
      </w:r>
      <w:r w:rsidR="00B93866">
        <w:rPr>
          <w:szCs w:val="24"/>
        </w:rPr>
        <w:t>3</w:t>
      </w:r>
      <w:r w:rsidRPr="000F3F54">
        <w:rPr>
          <w:szCs w:val="24"/>
        </w:rPr>
        <w:t xml:space="preserve"> presents model results when the model was set up as in Holmstrup (2001). </w:t>
      </w:r>
    </w:p>
    <w:p w:rsidR="00326F15" w:rsidRPr="0063103D" w:rsidRDefault="00326F15" w:rsidP="0022463D">
      <w:pPr>
        <w:spacing w:line="240" w:lineRule="auto"/>
        <w:rPr>
          <w:szCs w:val="24"/>
        </w:rPr>
      </w:pPr>
    </w:p>
    <w:p w:rsidR="00326F15" w:rsidRPr="0063103D" w:rsidRDefault="00C95D64" w:rsidP="0022463D">
      <w:pPr>
        <w:spacing w:line="240" w:lineRule="auto"/>
        <w:jc w:val="center"/>
        <w:rPr>
          <w:szCs w:val="24"/>
        </w:rPr>
      </w:pPr>
      <w:r>
        <w:rPr>
          <w:noProof/>
          <w:szCs w:val="24"/>
          <w:lang w:eastAsia="en-GB"/>
        </w:rPr>
        <w:drawing>
          <wp:inline distT="0" distB="0" distL="0" distR="0" wp14:anchorId="2A85AE60" wp14:editId="657F599C">
            <wp:extent cx="3761105" cy="2488565"/>
            <wp:effectExtent l="0" t="0" r="0" b="698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1105" cy="2488565"/>
                    </a:xfrm>
                    <a:prstGeom prst="rect">
                      <a:avLst/>
                    </a:prstGeom>
                    <a:noFill/>
                    <a:ln>
                      <a:noFill/>
                    </a:ln>
                  </pic:spPr>
                </pic:pic>
              </a:graphicData>
            </a:graphic>
          </wp:inline>
        </w:drawing>
      </w:r>
    </w:p>
    <w:p w:rsidR="00326F15" w:rsidRPr="0063103D" w:rsidRDefault="00326F15" w:rsidP="0022463D">
      <w:pPr>
        <w:spacing w:line="240" w:lineRule="auto"/>
        <w:rPr>
          <w:sz w:val="20"/>
          <w:szCs w:val="24"/>
        </w:rPr>
      </w:pPr>
      <w:r>
        <w:rPr>
          <w:b/>
          <w:sz w:val="20"/>
          <w:szCs w:val="24"/>
        </w:rPr>
        <w:t xml:space="preserve">Fig. </w:t>
      </w:r>
      <w:r w:rsidR="00B93866">
        <w:rPr>
          <w:b/>
          <w:sz w:val="20"/>
          <w:szCs w:val="24"/>
        </w:rPr>
        <w:t>A</w:t>
      </w:r>
      <w:r w:rsidR="00C84BBA">
        <w:rPr>
          <w:b/>
          <w:sz w:val="20"/>
          <w:szCs w:val="24"/>
        </w:rPr>
        <w:t>.</w:t>
      </w:r>
      <w:r w:rsidR="00B93866">
        <w:rPr>
          <w:b/>
          <w:sz w:val="20"/>
          <w:szCs w:val="24"/>
        </w:rPr>
        <w:t>3</w:t>
      </w:r>
      <w:r w:rsidRPr="0063103D">
        <w:rPr>
          <w:b/>
          <w:sz w:val="20"/>
          <w:szCs w:val="24"/>
        </w:rPr>
        <w:t>.</w:t>
      </w:r>
      <w:r w:rsidRPr="0063103D">
        <w:rPr>
          <w:sz w:val="20"/>
          <w:szCs w:val="24"/>
        </w:rPr>
        <w:t xml:space="preserve"> The effects of soil water potential (&lt; -2 kPa) on growth and reproduction. Data (points) from Holmstrup (2001) together with result of our model simulations (lines) for reproduction (dashed) and growth (solid). </w:t>
      </w:r>
    </w:p>
    <w:p w:rsidR="00326F15" w:rsidRPr="0063103D" w:rsidRDefault="00326F15" w:rsidP="0022463D">
      <w:pPr>
        <w:spacing w:line="240" w:lineRule="auto"/>
        <w:rPr>
          <w:szCs w:val="24"/>
        </w:rPr>
      </w:pPr>
    </w:p>
    <w:p w:rsidR="00326F15" w:rsidRPr="0063103D" w:rsidRDefault="00326F15" w:rsidP="0022463D">
      <w:pPr>
        <w:spacing w:line="240" w:lineRule="auto"/>
        <w:rPr>
          <w:szCs w:val="24"/>
        </w:rPr>
      </w:pPr>
      <w:r w:rsidRPr="0063103D">
        <w:rPr>
          <w:i/>
          <w:szCs w:val="24"/>
        </w:rPr>
        <w:t>Aestivation</w:t>
      </w:r>
    </w:p>
    <w:p w:rsidR="00326F15" w:rsidRPr="0063103D" w:rsidRDefault="00326F15" w:rsidP="0022463D">
      <w:pPr>
        <w:spacing w:line="240" w:lineRule="auto"/>
        <w:rPr>
          <w:szCs w:val="24"/>
        </w:rPr>
      </w:pPr>
      <w:r w:rsidRPr="0063103D">
        <w:rPr>
          <w:szCs w:val="24"/>
        </w:rPr>
        <w:t xml:space="preserve">Holmstrup (2001) reported aestivation in </w:t>
      </w:r>
      <w:r w:rsidRPr="0063103D">
        <w:rPr>
          <w:i/>
          <w:szCs w:val="24"/>
        </w:rPr>
        <w:t xml:space="preserve">A. caliginosa </w:t>
      </w:r>
      <w:r w:rsidRPr="0063103D">
        <w:rPr>
          <w:szCs w:val="24"/>
        </w:rPr>
        <w:t xml:space="preserve">to be induced at soil water potentials in the range -19 to -29 kPa at a constant temperature of 15 °C, whilst </w:t>
      </w:r>
      <w:r w:rsidRPr="0063103D">
        <w:rPr>
          <w:rFonts w:eastAsia="Times New Roman"/>
          <w:szCs w:val="24"/>
          <w:lang w:eastAsia="en-GB"/>
        </w:rPr>
        <w:t xml:space="preserve">Doube </w:t>
      </w:r>
      <w:r w:rsidR="00B93866">
        <w:rPr>
          <w:rFonts w:eastAsia="Times New Roman"/>
          <w:szCs w:val="24"/>
          <w:lang w:eastAsia="en-GB"/>
        </w:rPr>
        <w:t>and</w:t>
      </w:r>
      <w:r w:rsidRPr="0063103D">
        <w:rPr>
          <w:rFonts w:eastAsia="Times New Roman"/>
          <w:szCs w:val="24"/>
          <w:lang w:eastAsia="en-GB"/>
        </w:rPr>
        <w:t xml:space="preserve"> Styan (1996) found the closely related species </w:t>
      </w:r>
      <w:r w:rsidRPr="0063103D">
        <w:rPr>
          <w:rFonts w:eastAsia="Times New Roman"/>
          <w:i/>
          <w:szCs w:val="24"/>
          <w:lang w:eastAsia="en-GB"/>
        </w:rPr>
        <w:t xml:space="preserve">A. trapezoides </w:t>
      </w:r>
      <w:r w:rsidRPr="0063103D">
        <w:rPr>
          <w:rFonts w:eastAsia="Times New Roman"/>
          <w:szCs w:val="24"/>
          <w:lang w:eastAsia="en-GB"/>
        </w:rPr>
        <w:t xml:space="preserve">to avoid soil water potentials below -25 kPa. </w:t>
      </w:r>
      <w:r w:rsidRPr="0063103D">
        <w:rPr>
          <w:szCs w:val="24"/>
        </w:rPr>
        <w:t>Here, we assumed a soil water potential of -25 kPa triggers aestivation, independen</w:t>
      </w:r>
      <w:r w:rsidR="00B93866">
        <w:rPr>
          <w:szCs w:val="24"/>
        </w:rPr>
        <w:t>t of temperature (e.g. Laverack</w:t>
      </w:r>
      <w:r w:rsidR="00310E5C">
        <w:rPr>
          <w:szCs w:val="24"/>
        </w:rPr>
        <w:t>, 1963;</w:t>
      </w:r>
      <w:r w:rsidRPr="0063103D">
        <w:rPr>
          <w:szCs w:val="24"/>
        </w:rPr>
        <w:t xml:space="preserve"> Edwards </w:t>
      </w:r>
      <w:r w:rsidR="00B93866">
        <w:rPr>
          <w:szCs w:val="24"/>
        </w:rPr>
        <w:t>and Bohlen</w:t>
      </w:r>
      <w:r w:rsidR="00310E5C">
        <w:rPr>
          <w:szCs w:val="24"/>
        </w:rPr>
        <w:t>,</w:t>
      </w:r>
      <w:r w:rsidRPr="0063103D">
        <w:rPr>
          <w:szCs w:val="24"/>
        </w:rPr>
        <w:t xml:space="preserve"> 1996). As facultative diapause is a </w:t>
      </w:r>
      <w:r w:rsidRPr="0063103D">
        <w:rPr>
          <w:rFonts w:eastAsia="Times New Roman"/>
          <w:szCs w:val="24"/>
          <w:lang w:eastAsia="en-GB"/>
        </w:rPr>
        <w:t>condition that may terminate as soon as soil co</w:t>
      </w:r>
      <w:r w:rsidR="00B93866">
        <w:rPr>
          <w:rFonts w:eastAsia="Times New Roman"/>
          <w:szCs w:val="24"/>
          <w:lang w:eastAsia="en-GB"/>
        </w:rPr>
        <w:t>nditions become favourable (Lee</w:t>
      </w:r>
      <w:r w:rsidRPr="0063103D">
        <w:rPr>
          <w:rFonts w:eastAsia="Times New Roman"/>
          <w:szCs w:val="24"/>
          <w:lang w:eastAsia="en-GB"/>
        </w:rPr>
        <w:t xml:space="preserve"> 1985), we assumed a soil water potential of -20 kPa prompts the re-emergence of individuals from aestivation and that growth and reproduction then resume. </w:t>
      </w:r>
      <w:r w:rsidRPr="0063103D">
        <w:rPr>
          <w:szCs w:val="24"/>
        </w:rPr>
        <w:t xml:space="preserve">During the aestivation phase individuals utilize energy reserves to pay the energetic costs of maintenance. Bayley et al. (2010) found oxygen consumption and carbon dioxide release of </w:t>
      </w:r>
      <w:r w:rsidRPr="0063103D">
        <w:rPr>
          <w:i/>
          <w:szCs w:val="24"/>
        </w:rPr>
        <w:t>A. caliginosa</w:t>
      </w:r>
      <w:r w:rsidRPr="0063103D">
        <w:rPr>
          <w:szCs w:val="24"/>
        </w:rPr>
        <w:t xml:space="preserve"> to vary at different stages of aestivation. Here, we assume a proportional exponential decline in the maintenance parameter </w:t>
      </w:r>
      <w:r>
        <w:rPr>
          <w:i/>
          <w:szCs w:val="24"/>
        </w:rPr>
        <w:t>B</w:t>
      </w:r>
      <w:r>
        <w:rPr>
          <w:i/>
          <w:szCs w:val="24"/>
          <w:vertAlign w:val="subscript"/>
        </w:rPr>
        <w:t>0</w:t>
      </w:r>
      <w:r w:rsidRPr="0063103D">
        <w:rPr>
          <w:i/>
          <w:szCs w:val="24"/>
        </w:rPr>
        <w:t xml:space="preserve"> </w:t>
      </w:r>
      <w:r w:rsidRPr="0063103D">
        <w:rPr>
          <w:szCs w:val="24"/>
        </w:rPr>
        <w:t xml:space="preserve">during aestivation, for a maximum duration of 60 days, as in Fig. </w:t>
      </w:r>
      <w:r w:rsidR="00B93866">
        <w:rPr>
          <w:szCs w:val="24"/>
        </w:rPr>
        <w:t>A</w:t>
      </w:r>
      <w:r w:rsidR="00C84BBA">
        <w:rPr>
          <w:szCs w:val="24"/>
        </w:rPr>
        <w:t>.</w:t>
      </w:r>
      <w:r w:rsidR="00B93866">
        <w:rPr>
          <w:szCs w:val="24"/>
        </w:rPr>
        <w:t>4</w:t>
      </w:r>
      <w:r w:rsidRPr="0063103D">
        <w:rPr>
          <w:szCs w:val="24"/>
        </w:rPr>
        <w:t xml:space="preserve">. </w:t>
      </w:r>
    </w:p>
    <w:p w:rsidR="00326F15" w:rsidRPr="0063103D" w:rsidRDefault="00326F15" w:rsidP="0022463D">
      <w:pPr>
        <w:spacing w:line="240" w:lineRule="auto"/>
        <w:rPr>
          <w:sz w:val="20"/>
          <w:szCs w:val="24"/>
        </w:rPr>
      </w:pPr>
    </w:p>
    <w:p w:rsidR="00326F15" w:rsidRPr="0063103D" w:rsidRDefault="00C95D64" w:rsidP="0022463D">
      <w:pPr>
        <w:spacing w:line="240" w:lineRule="auto"/>
        <w:jc w:val="center"/>
        <w:rPr>
          <w:sz w:val="20"/>
          <w:szCs w:val="24"/>
        </w:rPr>
      </w:pPr>
      <w:r>
        <w:rPr>
          <w:noProof/>
          <w:sz w:val="20"/>
          <w:szCs w:val="24"/>
          <w:lang w:eastAsia="en-GB"/>
        </w:rPr>
        <w:drawing>
          <wp:inline distT="0" distB="0" distL="0" distR="0" wp14:anchorId="619DB37A" wp14:editId="79FB282F">
            <wp:extent cx="4142740" cy="236918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740" cy="2369185"/>
                    </a:xfrm>
                    <a:prstGeom prst="rect">
                      <a:avLst/>
                    </a:prstGeom>
                    <a:noFill/>
                    <a:ln>
                      <a:noFill/>
                    </a:ln>
                  </pic:spPr>
                </pic:pic>
              </a:graphicData>
            </a:graphic>
          </wp:inline>
        </w:drawing>
      </w:r>
    </w:p>
    <w:p w:rsidR="00326F15" w:rsidRPr="0063103D" w:rsidRDefault="00326F15" w:rsidP="0022463D">
      <w:pPr>
        <w:spacing w:line="240" w:lineRule="auto"/>
        <w:rPr>
          <w:sz w:val="20"/>
          <w:szCs w:val="24"/>
        </w:rPr>
      </w:pPr>
      <w:r w:rsidRPr="0063103D">
        <w:rPr>
          <w:b/>
          <w:sz w:val="20"/>
          <w:szCs w:val="24"/>
        </w:rPr>
        <w:t xml:space="preserve">Fig. </w:t>
      </w:r>
      <w:r w:rsidR="00B93866">
        <w:rPr>
          <w:b/>
          <w:sz w:val="20"/>
          <w:szCs w:val="24"/>
        </w:rPr>
        <w:t>A</w:t>
      </w:r>
      <w:r w:rsidR="00C84BBA">
        <w:rPr>
          <w:b/>
          <w:sz w:val="20"/>
          <w:szCs w:val="24"/>
        </w:rPr>
        <w:t>.</w:t>
      </w:r>
      <w:r w:rsidR="00B93866">
        <w:rPr>
          <w:b/>
          <w:sz w:val="20"/>
          <w:szCs w:val="24"/>
        </w:rPr>
        <w:t>4</w:t>
      </w:r>
      <w:r w:rsidRPr="0063103D">
        <w:rPr>
          <w:b/>
          <w:sz w:val="20"/>
          <w:szCs w:val="24"/>
        </w:rPr>
        <w:t xml:space="preserve">. </w:t>
      </w:r>
      <w:r w:rsidRPr="0063103D">
        <w:rPr>
          <w:sz w:val="20"/>
          <w:szCs w:val="24"/>
        </w:rPr>
        <w:t xml:space="preserve">Decline in maintenance rates of </w:t>
      </w:r>
      <w:r w:rsidRPr="0063103D">
        <w:rPr>
          <w:i/>
          <w:sz w:val="20"/>
          <w:szCs w:val="24"/>
        </w:rPr>
        <w:t xml:space="preserve">A. caliginosa </w:t>
      </w:r>
      <w:r w:rsidRPr="0063103D">
        <w:rPr>
          <w:sz w:val="20"/>
          <w:szCs w:val="24"/>
        </w:rPr>
        <w:t>with time aestivating as indicated by oxygen consumption and carbon dioxide release rates (points) from Bayley et al. (2010). Line indicates the fitted curve used in our model.</w:t>
      </w:r>
    </w:p>
    <w:p w:rsidR="00326F15" w:rsidRPr="0063103D" w:rsidRDefault="00326F15" w:rsidP="0022463D">
      <w:pPr>
        <w:spacing w:line="240" w:lineRule="auto"/>
        <w:rPr>
          <w:szCs w:val="24"/>
        </w:rPr>
      </w:pPr>
    </w:p>
    <w:p w:rsidR="00326F15" w:rsidRPr="0063103D" w:rsidRDefault="00326F15" w:rsidP="0022463D">
      <w:pPr>
        <w:spacing w:line="240" w:lineRule="auto"/>
        <w:rPr>
          <w:i/>
          <w:szCs w:val="24"/>
        </w:rPr>
      </w:pPr>
      <w:r w:rsidRPr="0063103D">
        <w:rPr>
          <w:i/>
          <w:szCs w:val="24"/>
        </w:rPr>
        <w:t>Movement</w:t>
      </w:r>
    </w:p>
    <w:p w:rsidR="00326F15" w:rsidRPr="0063103D" w:rsidRDefault="00326F15" w:rsidP="0022463D">
      <w:pPr>
        <w:spacing w:line="240" w:lineRule="auto"/>
        <w:rPr>
          <w:szCs w:val="24"/>
        </w:rPr>
      </w:pPr>
      <w:r w:rsidRPr="0063103D">
        <w:rPr>
          <w:szCs w:val="24"/>
        </w:rPr>
        <w:t xml:space="preserve">Major factors determining the movement of </w:t>
      </w:r>
      <w:r w:rsidRPr="0063103D">
        <w:rPr>
          <w:i/>
          <w:szCs w:val="24"/>
        </w:rPr>
        <w:t xml:space="preserve">A. caliginosa </w:t>
      </w:r>
      <w:r w:rsidRPr="0063103D">
        <w:rPr>
          <w:szCs w:val="24"/>
        </w:rPr>
        <w:t xml:space="preserve">in natural soil environments are soil water content and food quality. Understanding how these factors interact is essential in modelling representative field populations. As </w:t>
      </w:r>
      <w:r w:rsidRPr="0063103D">
        <w:rPr>
          <w:i/>
          <w:szCs w:val="24"/>
        </w:rPr>
        <w:t xml:space="preserve">A. caliginosa </w:t>
      </w:r>
      <w:r w:rsidRPr="0063103D">
        <w:rPr>
          <w:szCs w:val="24"/>
        </w:rPr>
        <w:t>is sensitive to decreasing soil water potentials, the movement of individuals along the soil profile is primarily driven by soil water gradients when sur</w:t>
      </w:r>
      <w:r w:rsidR="00B93866">
        <w:rPr>
          <w:szCs w:val="24"/>
        </w:rPr>
        <w:t>face conditions are dry (Gerard</w:t>
      </w:r>
      <w:r w:rsidR="00310E5C">
        <w:rPr>
          <w:szCs w:val="24"/>
        </w:rPr>
        <w:t>,</w:t>
      </w:r>
      <w:r w:rsidRPr="0063103D">
        <w:rPr>
          <w:szCs w:val="24"/>
        </w:rPr>
        <w:t xml:space="preserve"> 1967). Thus, we assume that under a sub-optimal soil water potential of -10 kPa individual movement is driven by the availability of higher soil water potentials in neighbouring patches in the model landscape (Fig. </w:t>
      </w:r>
      <w:r w:rsidR="00B93866">
        <w:rPr>
          <w:szCs w:val="24"/>
        </w:rPr>
        <w:t>A</w:t>
      </w:r>
      <w:r w:rsidR="00C84BBA">
        <w:rPr>
          <w:szCs w:val="24"/>
        </w:rPr>
        <w:t>.</w:t>
      </w:r>
      <w:r w:rsidR="00B93866">
        <w:rPr>
          <w:szCs w:val="24"/>
        </w:rPr>
        <w:t>5</w:t>
      </w:r>
      <w:r w:rsidRPr="0063103D">
        <w:rPr>
          <w:szCs w:val="24"/>
        </w:rPr>
        <w:t xml:space="preserve">). Burrowing activity of </w:t>
      </w:r>
      <w:r w:rsidRPr="0063103D">
        <w:rPr>
          <w:i/>
          <w:szCs w:val="24"/>
        </w:rPr>
        <w:t xml:space="preserve">A. caliginosa </w:t>
      </w:r>
      <w:r w:rsidRPr="0063103D">
        <w:rPr>
          <w:szCs w:val="24"/>
        </w:rPr>
        <w:t xml:space="preserve">in the top 10 cm of the soil profile is believed to reflect the presence of a higher organic matter content (McKenzie </w:t>
      </w:r>
      <w:r w:rsidR="00B93866">
        <w:rPr>
          <w:szCs w:val="24"/>
        </w:rPr>
        <w:t>and Dexter</w:t>
      </w:r>
      <w:r w:rsidR="00310E5C">
        <w:rPr>
          <w:szCs w:val="24"/>
        </w:rPr>
        <w:t>, 1993;</w:t>
      </w:r>
      <w:r w:rsidR="00B93866">
        <w:rPr>
          <w:szCs w:val="24"/>
        </w:rPr>
        <w:t xml:space="preserve"> Jégou et al.</w:t>
      </w:r>
      <w:r w:rsidR="00310E5C">
        <w:rPr>
          <w:szCs w:val="24"/>
        </w:rPr>
        <w:t>,</w:t>
      </w:r>
      <w:r w:rsidRPr="0063103D">
        <w:rPr>
          <w:szCs w:val="24"/>
        </w:rPr>
        <w:t xml:space="preserve"> 1998). The closely related species </w:t>
      </w:r>
      <w:r w:rsidRPr="0063103D">
        <w:rPr>
          <w:i/>
          <w:szCs w:val="24"/>
        </w:rPr>
        <w:t>A.</w:t>
      </w:r>
      <w:r w:rsidRPr="0063103D">
        <w:rPr>
          <w:szCs w:val="24"/>
        </w:rPr>
        <w:t xml:space="preserve"> </w:t>
      </w:r>
      <w:r w:rsidRPr="0063103D">
        <w:rPr>
          <w:i/>
          <w:szCs w:val="24"/>
        </w:rPr>
        <w:t xml:space="preserve">tuberculata </w:t>
      </w:r>
      <w:r w:rsidRPr="0063103D">
        <w:rPr>
          <w:szCs w:val="24"/>
        </w:rPr>
        <w:t xml:space="preserve">has also been observed to exhibit random movement until food is encountered, thereafter burrowing in the area of the food source (Cook </w:t>
      </w:r>
      <w:r w:rsidR="00B93866">
        <w:rPr>
          <w:szCs w:val="24"/>
        </w:rPr>
        <w:t>and Linden</w:t>
      </w:r>
      <w:r w:rsidR="00310E5C">
        <w:rPr>
          <w:szCs w:val="24"/>
        </w:rPr>
        <w:t>,</w:t>
      </w:r>
      <w:r w:rsidRPr="0063103D">
        <w:rPr>
          <w:szCs w:val="24"/>
        </w:rPr>
        <w:t xml:space="preserve"> 1996). Thus, if soil water conditions are non-limiting (&gt; -10 kPa) individuals preferentially move to patches of greater food quality, represented by the parameter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X</m:t>
            </m:r>
          </m:sub>
        </m:sSub>
      </m:oMath>
      <w:r w:rsidRPr="00207DDF">
        <w:rPr>
          <w:rFonts w:eastAsia="Times New Roman"/>
          <w:szCs w:val="24"/>
        </w:rPr>
        <w:t xml:space="preserve"> (Fig. </w:t>
      </w:r>
      <w:r w:rsidR="00B93866">
        <w:rPr>
          <w:rFonts w:eastAsia="Times New Roman"/>
          <w:szCs w:val="24"/>
        </w:rPr>
        <w:t>A</w:t>
      </w:r>
      <w:r w:rsidR="00C84BBA">
        <w:rPr>
          <w:rFonts w:eastAsia="Times New Roman"/>
          <w:szCs w:val="24"/>
        </w:rPr>
        <w:t>.</w:t>
      </w:r>
      <w:r w:rsidR="00B93866">
        <w:rPr>
          <w:rFonts w:eastAsia="Times New Roman"/>
          <w:szCs w:val="24"/>
        </w:rPr>
        <w:t>5</w:t>
      </w:r>
      <w:r w:rsidRPr="00207DDF">
        <w:rPr>
          <w:rFonts w:eastAsia="Times New Roman"/>
          <w:szCs w:val="24"/>
        </w:rPr>
        <w:t xml:space="preserve">). </w:t>
      </w:r>
    </w:p>
    <w:p w:rsidR="00326F15" w:rsidRPr="0063103D" w:rsidRDefault="00326F15" w:rsidP="0022463D">
      <w:pPr>
        <w:spacing w:line="240" w:lineRule="auto"/>
        <w:rPr>
          <w:szCs w:val="24"/>
        </w:rPr>
      </w:pPr>
    </w:p>
    <w:p w:rsidR="00326F15" w:rsidRPr="0063103D" w:rsidRDefault="00C95D64" w:rsidP="0022463D">
      <w:pPr>
        <w:spacing w:line="240" w:lineRule="auto"/>
        <w:jc w:val="center"/>
        <w:rPr>
          <w:szCs w:val="24"/>
        </w:rPr>
      </w:pPr>
      <w:r>
        <w:rPr>
          <w:noProof/>
          <w:szCs w:val="24"/>
          <w:lang w:eastAsia="en-GB"/>
        </w:rPr>
        <w:drawing>
          <wp:inline distT="0" distB="0" distL="0" distR="0" wp14:anchorId="33417D40" wp14:editId="726EC28F">
            <wp:extent cx="3840480" cy="3300095"/>
            <wp:effectExtent l="0" t="0" r="762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480" cy="3300095"/>
                    </a:xfrm>
                    <a:prstGeom prst="rect">
                      <a:avLst/>
                    </a:prstGeom>
                    <a:noFill/>
                    <a:ln>
                      <a:noFill/>
                    </a:ln>
                  </pic:spPr>
                </pic:pic>
              </a:graphicData>
            </a:graphic>
          </wp:inline>
        </w:drawing>
      </w:r>
    </w:p>
    <w:p w:rsidR="00326F15" w:rsidRPr="0063103D" w:rsidRDefault="00326F15" w:rsidP="0022463D">
      <w:pPr>
        <w:spacing w:line="240" w:lineRule="auto"/>
        <w:rPr>
          <w:i/>
          <w:szCs w:val="24"/>
        </w:rPr>
      </w:pPr>
      <w:r w:rsidRPr="0063103D">
        <w:rPr>
          <w:b/>
          <w:sz w:val="20"/>
          <w:szCs w:val="24"/>
        </w:rPr>
        <w:t xml:space="preserve">Fig. </w:t>
      </w:r>
      <w:r w:rsidR="00B93866">
        <w:rPr>
          <w:b/>
          <w:sz w:val="20"/>
          <w:szCs w:val="24"/>
        </w:rPr>
        <w:t>A</w:t>
      </w:r>
      <w:r w:rsidR="00C84BBA">
        <w:rPr>
          <w:b/>
          <w:sz w:val="20"/>
          <w:szCs w:val="24"/>
        </w:rPr>
        <w:t>.</w:t>
      </w:r>
      <w:r w:rsidR="00B93866">
        <w:rPr>
          <w:b/>
          <w:sz w:val="20"/>
          <w:szCs w:val="24"/>
        </w:rPr>
        <w:t>5</w:t>
      </w:r>
      <w:r w:rsidRPr="0063103D">
        <w:rPr>
          <w:b/>
          <w:sz w:val="20"/>
          <w:szCs w:val="24"/>
        </w:rPr>
        <w:t>.</w:t>
      </w:r>
      <w:r w:rsidRPr="0063103D">
        <w:rPr>
          <w:sz w:val="20"/>
          <w:szCs w:val="24"/>
        </w:rPr>
        <w:t xml:space="preserve"> Conceptual model of </w:t>
      </w:r>
      <w:r w:rsidRPr="0063103D">
        <w:rPr>
          <w:i/>
          <w:sz w:val="20"/>
          <w:szCs w:val="24"/>
        </w:rPr>
        <w:t xml:space="preserve">A. caliginosa </w:t>
      </w:r>
      <w:r w:rsidRPr="0063103D">
        <w:rPr>
          <w:sz w:val="20"/>
          <w:szCs w:val="24"/>
        </w:rPr>
        <w:t xml:space="preserve">movement in the ABM. </w:t>
      </w:r>
      <m:oMath>
        <m:r>
          <w:rPr>
            <w:rFonts w:ascii="Cambria Math" w:hAnsi="Cambria Math"/>
            <w:sz w:val="20"/>
            <w:szCs w:val="20"/>
          </w:rPr>
          <m:t>ψ</m:t>
        </m:r>
      </m:oMath>
      <w:r w:rsidRPr="0063103D">
        <w:rPr>
          <w:sz w:val="20"/>
          <w:szCs w:val="24"/>
        </w:rPr>
        <w:t xml:space="preserve"> represents soil water potential and </w:t>
      </w:r>
      <w:r w:rsidRPr="00C52927">
        <w:rPr>
          <w:i/>
          <w:sz w:val="20"/>
          <w:szCs w:val="24"/>
        </w:rPr>
        <w:t>E</w:t>
      </w:r>
      <w:r>
        <w:rPr>
          <w:i/>
          <w:sz w:val="20"/>
          <w:szCs w:val="24"/>
          <w:vertAlign w:val="subscript"/>
        </w:rPr>
        <w:t>x</w:t>
      </w:r>
      <w:r w:rsidRPr="0063103D">
        <w:rPr>
          <w:sz w:val="20"/>
          <w:szCs w:val="24"/>
        </w:rPr>
        <w:t xml:space="preserve"> the energy content of food. Diamonds indicate decision points and rectangles are processes per time-step.  </w:t>
      </w:r>
    </w:p>
    <w:p w:rsidR="00326F15" w:rsidRPr="0063103D" w:rsidRDefault="00326F15" w:rsidP="0022463D">
      <w:pPr>
        <w:spacing w:line="240" w:lineRule="auto"/>
        <w:rPr>
          <w:i/>
          <w:szCs w:val="24"/>
        </w:rPr>
      </w:pPr>
    </w:p>
    <w:p w:rsidR="00C84BBA" w:rsidRPr="00C84BBA" w:rsidRDefault="00326F15" w:rsidP="0022463D">
      <w:pPr>
        <w:pStyle w:val="List"/>
        <w:rPr>
          <w:b/>
        </w:rPr>
      </w:pPr>
      <w:r w:rsidRPr="00C84BBA">
        <w:rPr>
          <w:b/>
        </w:rPr>
        <w:t>References</w:t>
      </w:r>
      <w:r w:rsidR="00C84BBA" w:rsidRPr="00C84BBA">
        <w:rPr>
          <w:b/>
        </w:rPr>
        <w:t xml:space="preserve"> </w:t>
      </w:r>
    </w:p>
    <w:p w:rsidR="00C84BBA" w:rsidRPr="00C84BBA" w:rsidRDefault="00C84BBA" w:rsidP="0022463D">
      <w:pPr>
        <w:pStyle w:val="List"/>
      </w:pPr>
      <w:r w:rsidRPr="00C84BBA">
        <w:t>Bayley, M., Overgaard, J., Høj, A.S., Malmendal, A., Nielsen, N.C., Holmstrup, M.</w:t>
      </w:r>
      <w:r>
        <w:t>, Wang, T., 2010.</w:t>
      </w:r>
      <w:r w:rsidRPr="00C84BBA">
        <w:t xml:space="preserve"> Metabolic changes during estivation in the common earthworm </w:t>
      </w:r>
      <w:r w:rsidRPr="00C84BBA">
        <w:rPr>
          <w:i/>
        </w:rPr>
        <w:t>Aporrectodea caliginosa</w:t>
      </w:r>
      <w:r w:rsidRPr="00C84BBA">
        <w:t>. Physiol</w:t>
      </w:r>
      <w:r w:rsidR="007C54AA">
        <w:t>. Biochem. Zool.</w:t>
      </w:r>
      <w:r w:rsidRPr="00C84BBA">
        <w:t xml:space="preserve"> 83, 541-550. </w:t>
      </w:r>
    </w:p>
    <w:p w:rsidR="00C84BBA" w:rsidRPr="00C84BBA" w:rsidRDefault="00C84BBA" w:rsidP="0022463D">
      <w:pPr>
        <w:pStyle w:val="List"/>
        <w:rPr>
          <w:noProof/>
        </w:rPr>
      </w:pPr>
      <w:r w:rsidRPr="00C84BBA">
        <w:rPr>
          <w:noProof/>
        </w:rPr>
        <w:t>Brown, J. H., Gillooly, J. F., Allen, A. P., Savage, V. M., West, G. B.</w:t>
      </w:r>
      <w:r>
        <w:rPr>
          <w:noProof/>
        </w:rPr>
        <w:t>,</w:t>
      </w:r>
      <w:r w:rsidRPr="00C84BBA">
        <w:rPr>
          <w:noProof/>
        </w:rPr>
        <w:t xml:space="preserve"> </w:t>
      </w:r>
      <w:r>
        <w:rPr>
          <w:noProof/>
        </w:rPr>
        <w:t>2004.</w:t>
      </w:r>
      <w:r w:rsidRPr="00C84BBA">
        <w:rPr>
          <w:noProof/>
        </w:rPr>
        <w:t xml:space="preserve"> Toward a metabolic theory of ecology. Ecology 85, 1771-1789.</w:t>
      </w:r>
    </w:p>
    <w:p w:rsidR="00C84BBA" w:rsidRPr="00C84BBA" w:rsidRDefault="00C84BBA" w:rsidP="0022463D">
      <w:pPr>
        <w:pStyle w:val="List"/>
        <w:rPr>
          <w:noProof/>
          <w:lang w:val="en-US"/>
        </w:rPr>
      </w:pPr>
      <w:r>
        <w:rPr>
          <w:noProof/>
          <w:lang w:val="en-US"/>
        </w:rPr>
        <w:t>Brown, J.H.,</w:t>
      </w:r>
      <w:r w:rsidRPr="00C84BBA">
        <w:rPr>
          <w:noProof/>
          <w:lang w:val="en-US"/>
        </w:rPr>
        <w:t xml:space="preserve"> Sibly, R.M.</w:t>
      </w:r>
      <w:r>
        <w:rPr>
          <w:noProof/>
          <w:lang w:val="en-US"/>
        </w:rPr>
        <w:t>, 2012.</w:t>
      </w:r>
      <w:r w:rsidRPr="00C84BBA">
        <w:rPr>
          <w:noProof/>
          <w:lang w:val="en-US"/>
        </w:rPr>
        <w:t xml:space="preserve"> The metabolic theory of ecolog</w:t>
      </w:r>
      <w:r>
        <w:rPr>
          <w:noProof/>
          <w:lang w:val="en-US"/>
        </w:rPr>
        <w:t>y and its central equation, in:</w:t>
      </w:r>
      <w:r w:rsidRPr="00C84BBA">
        <w:rPr>
          <w:noProof/>
          <w:lang w:val="en-US"/>
        </w:rPr>
        <w:t xml:space="preserve"> Sibly, </w:t>
      </w:r>
      <w:r>
        <w:rPr>
          <w:noProof/>
          <w:lang w:val="en-US"/>
        </w:rPr>
        <w:t xml:space="preserve">R.M., </w:t>
      </w:r>
      <w:r w:rsidRPr="00C84BBA">
        <w:rPr>
          <w:noProof/>
          <w:lang w:val="en-US"/>
        </w:rPr>
        <w:t>Brown, J.H., Kodric-Brown</w:t>
      </w:r>
      <w:r>
        <w:rPr>
          <w:noProof/>
          <w:lang w:val="en-US"/>
        </w:rPr>
        <w:t>, A. (Eds.),</w:t>
      </w:r>
      <w:r w:rsidRPr="00C84BBA">
        <w:rPr>
          <w:noProof/>
          <w:lang w:val="en-US"/>
        </w:rPr>
        <w:t xml:space="preserve"> Metabolic Ecology: A Scaling Approach</w:t>
      </w:r>
      <w:r>
        <w:rPr>
          <w:noProof/>
          <w:lang w:val="en-US"/>
        </w:rPr>
        <w:t>.</w:t>
      </w:r>
      <w:r w:rsidRPr="00C84BBA">
        <w:rPr>
          <w:noProof/>
          <w:lang w:val="en-US"/>
        </w:rPr>
        <w:t xml:space="preserve"> Wiley-Blackwell, Oxford</w:t>
      </w:r>
      <w:r>
        <w:rPr>
          <w:noProof/>
          <w:lang w:val="en-US"/>
        </w:rPr>
        <w:t xml:space="preserve">, </w:t>
      </w:r>
      <w:r w:rsidRPr="00C84BBA">
        <w:rPr>
          <w:noProof/>
          <w:lang w:val="en-US"/>
        </w:rPr>
        <w:t>pp. 21-33.</w:t>
      </w:r>
    </w:p>
    <w:p w:rsidR="00C84BBA" w:rsidRPr="00C84BBA" w:rsidRDefault="00C84BBA" w:rsidP="0022463D">
      <w:pPr>
        <w:pStyle w:val="List"/>
      </w:pPr>
      <w:r w:rsidRPr="00C84BBA">
        <w:t>Byzova, J.B.</w:t>
      </w:r>
      <w:r>
        <w:t>,</w:t>
      </w:r>
      <w:r w:rsidRPr="00C84BBA">
        <w:t xml:space="preserve"> </w:t>
      </w:r>
      <w:r>
        <w:t>1977.</w:t>
      </w:r>
      <w:r w:rsidRPr="00C84BBA">
        <w:t xml:space="preserve"> Haemoglobin content of </w:t>
      </w:r>
      <w:r w:rsidRPr="00C84BBA">
        <w:rPr>
          <w:i/>
        </w:rPr>
        <w:t>Allolobophora caliginosa</w:t>
      </w:r>
      <w:r w:rsidRPr="00C84BBA">
        <w:t xml:space="preserve"> (Sav.) (Lumbricidae, Oligochaeta) during aestivat</w:t>
      </w:r>
      <w:r w:rsidR="007C54AA">
        <w:t>ion. Doklady Bio.l Sci.</w:t>
      </w:r>
      <w:r w:rsidRPr="00C84BBA">
        <w:t xml:space="preserve"> 236, 763-765. </w:t>
      </w:r>
    </w:p>
    <w:p w:rsidR="00C84BBA" w:rsidRPr="00C84BBA" w:rsidRDefault="00C84BBA" w:rsidP="0022463D">
      <w:pPr>
        <w:pStyle w:val="List"/>
      </w:pPr>
      <w:r>
        <w:rPr>
          <w:lang w:val="en-US"/>
        </w:rPr>
        <w:t>Cook, S.M.F.,</w:t>
      </w:r>
      <w:r w:rsidRPr="00C84BBA">
        <w:rPr>
          <w:lang w:val="en-US"/>
        </w:rPr>
        <w:t xml:space="preserve"> Linden, D.R.</w:t>
      </w:r>
      <w:r>
        <w:rPr>
          <w:lang w:val="en-US"/>
        </w:rPr>
        <w:t>, 1996.</w:t>
      </w:r>
      <w:r w:rsidRPr="00C84BBA">
        <w:rPr>
          <w:lang w:val="en-US"/>
        </w:rPr>
        <w:t xml:space="preserve"> </w:t>
      </w:r>
      <w:r w:rsidRPr="00C84BBA">
        <w:t>Effect of feed type and placement on earthworm (</w:t>
      </w:r>
      <w:r w:rsidRPr="00C84BBA">
        <w:rPr>
          <w:i/>
        </w:rPr>
        <w:t>Aporrectodea tuberculata</w:t>
      </w:r>
      <w:r w:rsidRPr="00C84BBA">
        <w:t>) bu</w:t>
      </w:r>
      <w:r w:rsidR="007C54AA">
        <w:t>rrowing and soil turnover. Biol. Fert.</w:t>
      </w:r>
      <w:r w:rsidRPr="00C84BBA">
        <w:t xml:space="preserve"> Soils 21, 201-206.</w:t>
      </w:r>
    </w:p>
    <w:p w:rsidR="00C84BBA" w:rsidRPr="00C84BBA" w:rsidRDefault="00C84BBA" w:rsidP="0022463D">
      <w:pPr>
        <w:pStyle w:val="List"/>
      </w:pPr>
      <w:r>
        <w:t>Doube, B., Styan, C., 1996.</w:t>
      </w:r>
      <w:r w:rsidRPr="00C84BBA">
        <w:t xml:space="preserve"> The response of </w:t>
      </w:r>
      <w:r w:rsidRPr="00C84BBA">
        <w:rPr>
          <w:i/>
        </w:rPr>
        <w:t>Aporrectodea rosea</w:t>
      </w:r>
      <w:r w:rsidRPr="00C84BBA">
        <w:t xml:space="preserve"> and </w:t>
      </w:r>
      <w:r w:rsidRPr="00C84BBA">
        <w:rPr>
          <w:i/>
        </w:rPr>
        <w:t>Aporrectodea trapezoides</w:t>
      </w:r>
      <w:r w:rsidRPr="00C84BBA">
        <w:t xml:space="preserve"> (Oligochaeta: Lumbricidae) to moisture gradients in three soil types in the laboratory. Biol</w:t>
      </w:r>
      <w:r w:rsidR="007C54AA">
        <w:t>. Fert.</w:t>
      </w:r>
      <w:r w:rsidRPr="00C84BBA">
        <w:t xml:space="preserve"> Soils 23, 166-172.</w:t>
      </w:r>
    </w:p>
    <w:p w:rsidR="00C84BBA" w:rsidRPr="00C84BBA" w:rsidRDefault="00C84BBA" w:rsidP="0022463D">
      <w:pPr>
        <w:pStyle w:val="List"/>
      </w:pPr>
      <w:r w:rsidRPr="00C84BBA">
        <w:t>Domingu</w:t>
      </w:r>
      <w:r>
        <w:t>ez, J., Velandro, A., Aira, M.,</w:t>
      </w:r>
      <w:r w:rsidRPr="00C84BBA">
        <w:t xml:space="preserve"> Monroy, F.</w:t>
      </w:r>
      <w:r>
        <w:t>, 2003.</w:t>
      </w:r>
      <w:r w:rsidRPr="00C84BBA">
        <w:t xml:space="preserve"> Uniparental reproduction of </w:t>
      </w:r>
      <w:r w:rsidRPr="00C84BBA">
        <w:rPr>
          <w:i/>
        </w:rPr>
        <w:t>Eisenia fetida</w:t>
      </w:r>
      <w:r w:rsidRPr="00C84BBA">
        <w:t xml:space="preserve"> and </w:t>
      </w:r>
      <w:r w:rsidRPr="00C84BBA">
        <w:rPr>
          <w:i/>
        </w:rPr>
        <w:t>E. andrei</w:t>
      </w:r>
      <w:r w:rsidRPr="00C84BBA">
        <w:t xml:space="preserve"> (Oligochaeta: Lumbricidae): evidence of self-insemination. Pedobiologia 47, 530-534.</w:t>
      </w:r>
    </w:p>
    <w:p w:rsidR="00C84BBA" w:rsidRPr="00C84BBA" w:rsidRDefault="00C84BBA" w:rsidP="0022463D">
      <w:pPr>
        <w:pStyle w:val="List"/>
        <w:rPr>
          <w:lang w:val="en-US"/>
        </w:rPr>
      </w:pPr>
      <w:r>
        <w:rPr>
          <w:lang w:val="en-US"/>
        </w:rPr>
        <w:t>Edwards, C.A., Bohlen, P.J., 1996.</w:t>
      </w:r>
      <w:r w:rsidRPr="00C84BBA">
        <w:rPr>
          <w:lang w:val="en-US"/>
        </w:rPr>
        <w:t xml:space="preserve"> Biology and ecology of earthworms, </w:t>
      </w:r>
      <w:r>
        <w:rPr>
          <w:lang w:val="en-US"/>
        </w:rPr>
        <w:t>third ed</w:t>
      </w:r>
      <w:r w:rsidRPr="00C84BBA">
        <w:rPr>
          <w:lang w:val="en-US"/>
        </w:rPr>
        <w:t>. Chapman and Hall, London.</w:t>
      </w:r>
    </w:p>
    <w:p w:rsidR="00C84BBA" w:rsidRPr="00C84BBA" w:rsidRDefault="00C84BBA" w:rsidP="0022463D">
      <w:pPr>
        <w:pStyle w:val="Ref"/>
        <w:rPr>
          <w:sz w:val="24"/>
          <w:szCs w:val="24"/>
        </w:rPr>
      </w:pPr>
      <w:r>
        <w:rPr>
          <w:sz w:val="24"/>
          <w:szCs w:val="24"/>
          <w:lang w:val="da-DK"/>
        </w:rPr>
        <w:t>Eriksen-Hamel, N.S., Whalen, J.K., 2006.</w:t>
      </w:r>
      <w:r w:rsidRPr="00C84BBA">
        <w:rPr>
          <w:sz w:val="24"/>
          <w:szCs w:val="24"/>
          <w:lang w:val="da-DK"/>
        </w:rPr>
        <w:t xml:space="preserve"> </w:t>
      </w:r>
      <w:r w:rsidRPr="00C84BBA">
        <w:rPr>
          <w:sz w:val="24"/>
          <w:szCs w:val="24"/>
        </w:rPr>
        <w:t xml:space="preserve">Growth rates of </w:t>
      </w:r>
      <w:r w:rsidRPr="00C84BBA">
        <w:rPr>
          <w:i/>
          <w:sz w:val="24"/>
          <w:szCs w:val="24"/>
        </w:rPr>
        <w:t>Aporrectodea caliginosa</w:t>
      </w:r>
      <w:r w:rsidRPr="00C84BBA">
        <w:rPr>
          <w:sz w:val="24"/>
          <w:szCs w:val="24"/>
        </w:rPr>
        <w:t xml:space="preserve"> (Oligochaetae: Lumbricidae) as influenced by soil temperature and moisture in disturbed and undisturbed soil columns. Pedobiologia 50, 207-215. </w:t>
      </w:r>
    </w:p>
    <w:p w:rsidR="00C84BBA" w:rsidRPr="00C84BBA" w:rsidRDefault="00C84BBA" w:rsidP="0022463D">
      <w:pPr>
        <w:pStyle w:val="List"/>
        <w:jc w:val="both"/>
      </w:pPr>
      <w:r w:rsidRPr="00C84BBA">
        <w:t>Fry, F.E.J.</w:t>
      </w:r>
      <w:r>
        <w:t>, 1971.</w:t>
      </w:r>
      <w:r w:rsidRPr="00C84BBA">
        <w:t xml:space="preserve"> The effect of environmental factors</w:t>
      </w:r>
      <w:r>
        <w:t xml:space="preserve"> on the physiology of fish, in: </w:t>
      </w:r>
      <w:r w:rsidRPr="00C84BBA">
        <w:t>Hoar</w:t>
      </w:r>
      <w:r>
        <w:t>,</w:t>
      </w:r>
      <w:r w:rsidRPr="00C84BBA">
        <w:t xml:space="preserve"> </w:t>
      </w:r>
      <w:r>
        <w:t>W.S.,</w:t>
      </w:r>
      <w:r w:rsidRPr="00C84BBA">
        <w:t xml:space="preserve"> Randall</w:t>
      </w:r>
      <w:r>
        <w:t>, D.J. (Eds.</w:t>
      </w:r>
      <w:r w:rsidRPr="00C84BBA">
        <w:t>)</w:t>
      </w:r>
      <w:r>
        <w:t>,</w:t>
      </w:r>
      <w:r w:rsidR="007C54AA">
        <w:t xml:space="preserve"> </w:t>
      </w:r>
      <w:r>
        <w:t>Physiology of Fishes 1</w:t>
      </w:r>
      <w:r w:rsidRPr="00C84BBA">
        <w:t>. Academic Press, London and New York</w:t>
      </w:r>
      <w:r>
        <w:t xml:space="preserve">, </w:t>
      </w:r>
      <w:r w:rsidRPr="00C84BBA">
        <w:t>pp. 1-98</w:t>
      </w:r>
      <w:r>
        <w:t>.</w:t>
      </w:r>
    </w:p>
    <w:p w:rsidR="00C84BBA" w:rsidRPr="00C84BBA" w:rsidRDefault="00C84BBA" w:rsidP="0022463D">
      <w:pPr>
        <w:pStyle w:val="List"/>
      </w:pPr>
      <w:r w:rsidRPr="00C84BBA">
        <w:t xml:space="preserve">Gillooly, J.F., Brown, </w:t>
      </w:r>
      <w:r>
        <w:t>J.H., West, G.B., Savage, V.M., Charnov, E.L., 2001.</w:t>
      </w:r>
      <w:r w:rsidRPr="00C84BBA">
        <w:t xml:space="preserve"> Effects of size and temperature on metabolic rate. Science 293, 2248-2251.</w:t>
      </w:r>
    </w:p>
    <w:p w:rsidR="00C84BBA" w:rsidRPr="00C84BBA" w:rsidRDefault="00C84BBA" w:rsidP="0022463D">
      <w:pPr>
        <w:pStyle w:val="List"/>
        <w:rPr>
          <w:rFonts w:eastAsia="Calibri"/>
          <w:color w:val="000000"/>
          <w:shd w:val="clear" w:color="auto" w:fill="FFFFFF"/>
        </w:rPr>
      </w:pPr>
      <w:r w:rsidRPr="00C84BBA">
        <w:rPr>
          <w:rFonts w:eastAsia="Calibri"/>
          <w:color w:val="000000"/>
          <w:shd w:val="clear" w:color="auto" w:fill="FFFFFF"/>
        </w:rPr>
        <w:t xml:space="preserve">Grimm, V., Berger, U., DeAngelis, </w:t>
      </w:r>
      <w:r>
        <w:rPr>
          <w:rFonts w:eastAsia="Calibri"/>
          <w:color w:val="000000"/>
          <w:shd w:val="clear" w:color="auto" w:fill="FFFFFF"/>
        </w:rPr>
        <w:t xml:space="preserve">D.L., Polhill, J.G., Giske, J., Railsback, S.F., </w:t>
      </w:r>
      <w:r w:rsidRPr="00C84BBA">
        <w:rPr>
          <w:rFonts w:eastAsia="Calibri"/>
          <w:color w:val="000000"/>
          <w:shd w:val="clear" w:color="auto" w:fill="FFFFFF"/>
        </w:rPr>
        <w:t>2</w:t>
      </w:r>
      <w:r>
        <w:rPr>
          <w:rFonts w:eastAsia="Calibri"/>
          <w:color w:val="000000"/>
          <w:shd w:val="clear" w:color="auto" w:fill="FFFFFF"/>
        </w:rPr>
        <w:t>010.</w:t>
      </w:r>
      <w:r w:rsidRPr="00C84BBA">
        <w:rPr>
          <w:rFonts w:eastAsia="Calibri"/>
          <w:color w:val="000000"/>
          <w:shd w:val="clear" w:color="auto" w:fill="FFFFFF"/>
        </w:rPr>
        <w:t xml:space="preserve"> The ODD protocol: A review and first update. </w:t>
      </w:r>
      <w:r w:rsidR="007C54AA">
        <w:rPr>
          <w:rFonts w:eastAsia="Calibri"/>
          <w:iCs/>
          <w:color w:val="000000"/>
          <w:shd w:val="clear" w:color="auto" w:fill="FFFFFF"/>
        </w:rPr>
        <w:t>Ecol.</w:t>
      </w:r>
      <w:r w:rsidRPr="00C84BBA">
        <w:rPr>
          <w:rFonts w:eastAsia="Calibri"/>
          <w:iCs/>
          <w:color w:val="000000"/>
          <w:shd w:val="clear" w:color="auto" w:fill="FFFFFF"/>
        </w:rPr>
        <w:t xml:space="preserve"> Model</w:t>
      </w:r>
      <w:r w:rsidR="007C54AA">
        <w:rPr>
          <w:rFonts w:eastAsia="Calibri"/>
          <w:iCs/>
          <w:color w:val="000000"/>
          <w:shd w:val="clear" w:color="auto" w:fill="FFFFFF"/>
        </w:rPr>
        <w:t>.</w:t>
      </w:r>
      <w:r w:rsidRPr="00C84BBA">
        <w:rPr>
          <w:rFonts w:eastAsia="Calibri"/>
          <w:color w:val="000000"/>
          <w:shd w:val="clear" w:color="auto" w:fill="FFFFFF"/>
        </w:rPr>
        <w:t> 221, 2760-2768.</w:t>
      </w:r>
    </w:p>
    <w:p w:rsidR="00C84BBA" w:rsidRPr="00C84BBA" w:rsidRDefault="00C84BBA" w:rsidP="0022463D">
      <w:pPr>
        <w:pStyle w:val="List"/>
        <w:rPr>
          <w:lang w:val="en-US"/>
        </w:rPr>
      </w:pPr>
      <w:r>
        <w:rPr>
          <w:lang w:val="en-US"/>
        </w:rPr>
        <w:t>Gunadi, B., Blount, C., Edwards, C.A., 2002.</w:t>
      </w:r>
      <w:r w:rsidRPr="00C84BBA">
        <w:rPr>
          <w:lang w:val="en-US"/>
        </w:rPr>
        <w:t xml:space="preserve"> The growth and fecundity of </w:t>
      </w:r>
      <w:r w:rsidRPr="00C84BBA">
        <w:rPr>
          <w:i/>
          <w:lang w:val="en-US"/>
        </w:rPr>
        <w:t>Eisenia fetida</w:t>
      </w:r>
      <w:r w:rsidRPr="00C84BBA">
        <w:rPr>
          <w:lang w:val="en-US"/>
        </w:rPr>
        <w:t xml:space="preserve"> (Savigny) in cattle solids pre-composted for different periods. Pedobiologia 46, 15-23.</w:t>
      </w:r>
    </w:p>
    <w:p w:rsidR="00C84BBA" w:rsidRPr="00C84BBA" w:rsidRDefault="00C84BBA" w:rsidP="0022463D">
      <w:pPr>
        <w:pStyle w:val="List"/>
        <w:rPr>
          <w:shd w:val="clear" w:color="auto" w:fill="FFFFFF"/>
        </w:rPr>
      </w:pPr>
      <w:r w:rsidRPr="00C84BBA">
        <w:rPr>
          <w:noProof/>
        </w:rPr>
        <w:t>Hendriks, A. J.</w:t>
      </w:r>
      <w:r>
        <w:rPr>
          <w:noProof/>
        </w:rPr>
        <w:t>, 1999.</w:t>
      </w:r>
      <w:r w:rsidRPr="00C84BBA">
        <w:rPr>
          <w:noProof/>
        </w:rPr>
        <w:t xml:space="preserve"> Allometric scaling of rate, age and density parameters in ecological models. Oikos 86, 293-310.</w:t>
      </w:r>
    </w:p>
    <w:p w:rsidR="00C84BBA" w:rsidRPr="00C84BBA" w:rsidRDefault="00C84BBA" w:rsidP="0022463D">
      <w:pPr>
        <w:pStyle w:val="List"/>
        <w:rPr>
          <w:rFonts w:eastAsia="Calibri"/>
        </w:rPr>
      </w:pPr>
      <w:r w:rsidRPr="00C84BBA">
        <w:rPr>
          <w:rFonts w:eastAsia="Calibri"/>
          <w:lang w:val="da-DK"/>
        </w:rPr>
        <w:t>Holmstrup, M.,</w:t>
      </w:r>
      <w:r>
        <w:rPr>
          <w:rFonts w:eastAsia="Calibri"/>
          <w:lang w:val="da-DK"/>
        </w:rPr>
        <w:t xml:space="preserve"> Østergaard, I.K., Nielsen, A.,</w:t>
      </w:r>
      <w:r w:rsidRPr="00C84BBA">
        <w:rPr>
          <w:rFonts w:eastAsia="Calibri"/>
          <w:lang w:val="da-DK"/>
        </w:rPr>
        <w:t xml:space="preserve"> Hansen, B.</w:t>
      </w:r>
      <w:r>
        <w:rPr>
          <w:rFonts w:eastAsia="Calibri"/>
          <w:lang w:val="da-DK"/>
        </w:rPr>
        <w:t>, 1991.</w:t>
      </w:r>
      <w:r w:rsidRPr="00C84BBA">
        <w:rPr>
          <w:rFonts w:eastAsia="Calibri"/>
          <w:lang w:val="da-DK"/>
        </w:rPr>
        <w:t xml:space="preserve"> </w:t>
      </w:r>
      <w:r w:rsidRPr="00C84BBA">
        <w:rPr>
          <w:rFonts w:eastAsia="Calibri"/>
        </w:rPr>
        <w:t>The relationship between temperature and cocoon incubation time for some Lumbricid earthworm species. Pedobiologia 35, 179-184.</w:t>
      </w:r>
    </w:p>
    <w:p w:rsidR="00C84BBA" w:rsidRPr="00C84BBA" w:rsidRDefault="00C84BBA" w:rsidP="0022463D">
      <w:pPr>
        <w:pStyle w:val="List"/>
        <w:rPr>
          <w:lang w:val="en-US"/>
        </w:rPr>
      </w:pPr>
      <w:r>
        <w:rPr>
          <w:rFonts w:eastAsia="Calibri"/>
        </w:rPr>
        <w:t>Holmstrup, M., 2001.</w:t>
      </w:r>
      <w:r w:rsidRPr="00C84BBA">
        <w:rPr>
          <w:rFonts w:eastAsia="Calibri"/>
        </w:rPr>
        <w:t xml:space="preserve"> Sensitivity of life history parameters in the earthworm </w:t>
      </w:r>
      <w:r w:rsidRPr="00C84BBA">
        <w:rPr>
          <w:rFonts w:eastAsia="Calibri"/>
          <w:i/>
        </w:rPr>
        <w:t>Aporrectodea caliginosa</w:t>
      </w:r>
      <w:r w:rsidRPr="00C84BBA">
        <w:rPr>
          <w:rFonts w:eastAsia="Calibri"/>
        </w:rPr>
        <w:t xml:space="preserve"> to small changes in soil water potential. Soil Biol</w:t>
      </w:r>
      <w:r w:rsidR="007C54AA">
        <w:rPr>
          <w:rFonts w:eastAsia="Calibri"/>
        </w:rPr>
        <w:t>. Biochem.</w:t>
      </w:r>
      <w:r w:rsidRPr="00C84BBA">
        <w:rPr>
          <w:rFonts w:eastAsia="Calibri"/>
        </w:rPr>
        <w:t xml:space="preserve"> 33, 1217-1223. </w:t>
      </w:r>
    </w:p>
    <w:p w:rsidR="00C84BBA" w:rsidRPr="00C84BBA" w:rsidRDefault="00C84BBA" w:rsidP="0022463D">
      <w:pPr>
        <w:pStyle w:val="List"/>
      </w:pPr>
      <w:r w:rsidRPr="00C84BBA">
        <w:t>Jégou, D., Cluze</w:t>
      </w:r>
      <w:r>
        <w:t>au, D., Wolf, H.J., Gandon, Y., Tréhen, P., 1998.</w:t>
      </w:r>
      <w:r w:rsidRPr="00C84BBA">
        <w:t xml:space="preserve"> Assessment of the burrow systems of </w:t>
      </w:r>
      <w:r w:rsidRPr="00C84BBA">
        <w:rPr>
          <w:i/>
        </w:rPr>
        <w:t>Lumbricus terrestris</w:t>
      </w:r>
      <w:r w:rsidRPr="00C84BBA">
        <w:t xml:space="preserve">, </w:t>
      </w:r>
      <w:r w:rsidRPr="00C84BBA">
        <w:rPr>
          <w:i/>
        </w:rPr>
        <w:t>Aporrectodea giardia</w:t>
      </w:r>
      <w:r w:rsidRPr="00C84BBA">
        <w:t xml:space="preserve">, and </w:t>
      </w:r>
      <w:r w:rsidRPr="00C84BBA">
        <w:rPr>
          <w:i/>
        </w:rPr>
        <w:t>Aporrectodea caliginosa</w:t>
      </w:r>
      <w:r w:rsidRPr="00C84BBA">
        <w:t xml:space="preserve"> using X-r</w:t>
      </w:r>
      <w:r w:rsidR="007C54AA">
        <w:t xml:space="preserve">ay computed tomography. Biol. Fert. </w:t>
      </w:r>
      <w:r w:rsidRPr="00C84BBA">
        <w:t xml:space="preserve">Soils 26, 116-121. </w:t>
      </w:r>
    </w:p>
    <w:p w:rsidR="00C84BBA" w:rsidRPr="00C84BBA" w:rsidRDefault="00C84BBA" w:rsidP="0022463D">
      <w:pPr>
        <w:pStyle w:val="List"/>
        <w:rPr>
          <w:noProof/>
        </w:rPr>
      </w:pPr>
      <w:r w:rsidRPr="00C84BBA">
        <w:rPr>
          <w:noProof/>
        </w:rPr>
        <w:t xml:space="preserve">Johnston, A.S.A., Hodson, </w:t>
      </w:r>
      <w:r>
        <w:rPr>
          <w:noProof/>
        </w:rPr>
        <w:t>M.E., Thorbek, P., Alvarez, T.,</w:t>
      </w:r>
      <w:r w:rsidRPr="00C84BBA">
        <w:rPr>
          <w:noProof/>
        </w:rPr>
        <w:t xml:space="preserve"> Sibly, R.M.,in press. An energy budget agent-based model of earthworm populations and its application to study the effect of </w:t>
      </w:r>
      <w:r w:rsidR="007C54AA">
        <w:rPr>
          <w:noProof/>
        </w:rPr>
        <w:t>pesticides. Ecol. Model</w:t>
      </w:r>
      <w:r w:rsidRPr="00C84BBA">
        <w:rPr>
          <w:noProof/>
        </w:rPr>
        <w:t>. http://dx.doi.org/10.1016/j.ecolmodel.2013.09.012.</w:t>
      </w:r>
    </w:p>
    <w:p w:rsidR="00C84BBA" w:rsidRPr="00C84BBA" w:rsidRDefault="00C84BBA" w:rsidP="0022463D">
      <w:pPr>
        <w:pStyle w:val="List"/>
      </w:pPr>
      <w:r>
        <w:t>Kooijman, S.A.L.M.,</w:t>
      </w:r>
      <w:r w:rsidRPr="00C84BBA">
        <w:t xml:space="preserve"> Metz, J.A.J.</w:t>
      </w:r>
      <w:r>
        <w:t>, 1984.</w:t>
      </w:r>
      <w:r w:rsidRPr="00C84BBA">
        <w:t xml:space="preserve"> On the dynamics of chemically stressed populations: The deduction of population consequences from </w:t>
      </w:r>
      <w:r w:rsidR="007C54AA">
        <w:t xml:space="preserve">effects on individuals. Ecotox. </w:t>
      </w:r>
      <w:r w:rsidRPr="00C84BBA">
        <w:t>Environ</w:t>
      </w:r>
      <w:r w:rsidR="007C54AA">
        <w:t>. Safe.</w:t>
      </w:r>
      <w:r w:rsidRPr="00C84BBA">
        <w:t xml:space="preserve"> 8, 254-274.</w:t>
      </w:r>
    </w:p>
    <w:p w:rsidR="00C84BBA" w:rsidRPr="00C84BBA" w:rsidRDefault="00C84BBA" w:rsidP="0022463D">
      <w:pPr>
        <w:pStyle w:val="List"/>
      </w:pPr>
      <w:r>
        <w:t xml:space="preserve">Lavelle, P., Spain, A.V., </w:t>
      </w:r>
      <w:r w:rsidRPr="00C84BBA">
        <w:t>200</w:t>
      </w:r>
      <w:r>
        <w:t>1.</w:t>
      </w:r>
      <w:r w:rsidRPr="00C84BBA">
        <w:t xml:space="preserve"> Soil Ecology. Kulwer Academic Publishers, The Netherlands.</w:t>
      </w:r>
    </w:p>
    <w:p w:rsidR="00C84BBA" w:rsidRPr="00C84BBA" w:rsidRDefault="00C84BBA" w:rsidP="0022463D">
      <w:pPr>
        <w:pStyle w:val="List"/>
        <w:rPr>
          <w:lang w:val="en-US"/>
        </w:rPr>
      </w:pPr>
      <w:r w:rsidRPr="00C84BBA">
        <w:t>Laverack, M.S.</w:t>
      </w:r>
      <w:r>
        <w:t>, 1963.</w:t>
      </w:r>
      <w:r w:rsidRPr="00C84BBA">
        <w:t xml:space="preserve"> The physiology of earthworms. Pergamon Press, London. </w:t>
      </w:r>
    </w:p>
    <w:p w:rsidR="00C84BBA" w:rsidRPr="00C84BBA" w:rsidRDefault="00C84BBA" w:rsidP="0022463D">
      <w:pPr>
        <w:pStyle w:val="List"/>
      </w:pPr>
      <w:r>
        <w:t>Lofs-Holmin, A., 1983.</w:t>
      </w:r>
      <w:r w:rsidRPr="00C84BBA">
        <w:t xml:space="preserve"> Reproduction and growth of common arable land and pasture species of earthworms (Lumbricidae) in laboratory cultures. Swedish J</w:t>
      </w:r>
      <w:r w:rsidR="007C54AA">
        <w:t>. Agr. Res.</w:t>
      </w:r>
      <w:r w:rsidRPr="00C84BBA">
        <w:t xml:space="preserve"> 13, 31–37.</w:t>
      </w:r>
    </w:p>
    <w:p w:rsidR="00C84BBA" w:rsidRPr="00C84BBA" w:rsidRDefault="009643F4" w:rsidP="0022463D">
      <w:pPr>
        <w:pStyle w:val="List"/>
        <w:rPr>
          <w:rStyle w:val="reference-text"/>
        </w:rPr>
      </w:pPr>
      <w:r>
        <w:t>Loustau., D, 1984.</w:t>
      </w:r>
      <w:r w:rsidR="00C84BBA" w:rsidRPr="00C84BBA">
        <w:t xml:space="preserve"> Morphologie et fonctionnement biodynamique de quelques humus hydromophes de l’est de la France, thèse de 3</w:t>
      </w:r>
      <w:r w:rsidR="00C84BBA" w:rsidRPr="00C84BBA">
        <w:rPr>
          <w:vertAlign w:val="superscript"/>
        </w:rPr>
        <w:t>e</w:t>
      </w:r>
      <w:r w:rsidR="00C84BBA" w:rsidRPr="00C84BBA">
        <w:t xml:space="preserve"> cycle, Université Nancy I. ( In: </w:t>
      </w:r>
      <w:r>
        <w:t>Lavelle, P.,</w:t>
      </w:r>
      <w:r w:rsidRPr="00C84BBA">
        <w:t xml:space="preserve"> Spain, A.V.</w:t>
      </w:r>
      <w:r>
        <w:t xml:space="preserve"> (Eds.</w:t>
      </w:r>
      <w:r w:rsidRPr="00C84BBA">
        <w:t xml:space="preserve">), </w:t>
      </w:r>
      <w:r w:rsidR="00C84BBA" w:rsidRPr="00C84BBA">
        <w:t>Soil Ecology, 2001</w:t>
      </w:r>
      <w:r>
        <w:t xml:space="preserve">, </w:t>
      </w:r>
      <w:r w:rsidR="00C84BBA" w:rsidRPr="00C84BBA">
        <w:t>Kulwer Academic Publishers, The Netherlands) Table 1.8, p. 37.</w:t>
      </w:r>
    </w:p>
    <w:p w:rsidR="00C84BBA" w:rsidRPr="00C84BBA" w:rsidRDefault="009643F4" w:rsidP="0022463D">
      <w:pPr>
        <w:pStyle w:val="List"/>
        <w:jc w:val="both"/>
        <w:rPr>
          <w:lang w:eastAsia="en-GB"/>
        </w:rPr>
      </w:pPr>
      <w:r>
        <w:rPr>
          <w:lang w:eastAsia="en-GB"/>
        </w:rPr>
        <w:t>Ma, W.C., 1984.</w:t>
      </w:r>
      <w:r w:rsidR="00C84BBA" w:rsidRPr="00C84BBA">
        <w:rPr>
          <w:lang w:eastAsia="en-GB"/>
        </w:rPr>
        <w:t xml:space="preserve"> Sublethal toxic effects of copper on growth, reproduction and litter breakdown activity in the earthworm </w:t>
      </w:r>
      <w:r w:rsidR="00C84BBA" w:rsidRPr="009643F4">
        <w:rPr>
          <w:i/>
          <w:lang w:eastAsia="en-GB"/>
        </w:rPr>
        <w:t>Lumbricus rubellus</w:t>
      </w:r>
      <w:r w:rsidR="00C84BBA" w:rsidRPr="00C84BBA">
        <w:rPr>
          <w:lang w:eastAsia="en-GB"/>
        </w:rPr>
        <w:t>, with observations on the influence of temperature and soi</w:t>
      </w:r>
      <w:r w:rsidR="007C54AA">
        <w:rPr>
          <w:lang w:eastAsia="en-GB"/>
        </w:rPr>
        <w:t>l pH. Environ. Pollut.</w:t>
      </w:r>
      <w:r>
        <w:rPr>
          <w:lang w:eastAsia="en-GB"/>
        </w:rPr>
        <w:t xml:space="preserve"> A</w:t>
      </w:r>
      <w:r w:rsidR="00C84BBA" w:rsidRPr="00C84BBA">
        <w:rPr>
          <w:lang w:eastAsia="en-GB"/>
        </w:rPr>
        <w:t xml:space="preserve"> 33, 207- 219.</w:t>
      </w:r>
    </w:p>
    <w:p w:rsidR="00C84BBA" w:rsidRPr="00C84BBA" w:rsidRDefault="009643F4" w:rsidP="0022463D">
      <w:pPr>
        <w:pStyle w:val="List"/>
        <w:jc w:val="both"/>
        <w:rPr>
          <w:lang w:eastAsia="en-GB"/>
        </w:rPr>
      </w:pPr>
      <w:r>
        <w:rPr>
          <w:lang w:eastAsia="en-GB"/>
        </w:rPr>
        <w:t>McKenzie, B.M., Dexter, A.R., 1993.</w:t>
      </w:r>
      <w:r w:rsidR="00C84BBA" w:rsidRPr="00C84BBA">
        <w:rPr>
          <w:lang w:eastAsia="en-GB"/>
        </w:rPr>
        <w:t xml:space="preserve"> Size and orientation of burrows made by the earthworms </w:t>
      </w:r>
      <w:r w:rsidR="00C84BBA" w:rsidRPr="009643F4">
        <w:rPr>
          <w:i/>
          <w:lang w:eastAsia="en-GB"/>
        </w:rPr>
        <w:t>Aporrectodea rosea</w:t>
      </w:r>
      <w:r w:rsidR="00C84BBA" w:rsidRPr="00C84BBA">
        <w:rPr>
          <w:lang w:eastAsia="en-GB"/>
        </w:rPr>
        <w:t xml:space="preserve"> and </w:t>
      </w:r>
      <w:r w:rsidR="00C84BBA" w:rsidRPr="009643F4">
        <w:rPr>
          <w:i/>
          <w:lang w:eastAsia="en-GB"/>
        </w:rPr>
        <w:t>A. caliginosa</w:t>
      </w:r>
      <w:r>
        <w:rPr>
          <w:lang w:eastAsia="en-GB"/>
        </w:rPr>
        <w:t>. Geoderma</w:t>
      </w:r>
      <w:r w:rsidR="00C84BBA" w:rsidRPr="00C84BBA">
        <w:rPr>
          <w:lang w:eastAsia="en-GB"/>
        </w:rPr>
        <w:t xml:space="preserve"> 56, 233–241.</w:t>
      </w:r>
    </w:p>
    <w:p w:rsidR="00C84BBA" w:rsidRPr="00C84BBA" w:rsidRDefault="009643F4" w:rsidP="0022463D">
      <w:pPr>
        <w:pStyle w:val="List"/>
        <w:rPr>
          <w:lang w:eastAsia="en-GB"/>
        </w:rPr>
      </w:pPr>
      <w:r>
        <w:rPr>
          <w:lang w:eastAsia="en-GB"/>
        </w:rPr>
        <w:t>Meehan, T.D., 2006.</w:t>
      </w:r>
      <w:r w:rsidR="00C84BBA" w:rsidRPr="00C84BBA">
        <w:rPr>
          <w:lang w:eastAsia="en-GB"/>
        </w:rPr>
        <w:t xml:space="preserve"> </w:t>
      </w:r>
      <w:r>
        <w:rPr>
          <w:bCs/>
          <w:lang w:eastAsia="en-GB"/>
        </w:rPr>
        <w:t>Mass and temperature dependence of metabolic rate in litter and soil i</w:t>
      </w:r>
      <w:r w:rsidR="00C84BBA" w:rsidRPr="00C84BBA">
        <w:rPr>
          <w:bCs/>
          <w:lang w:eastAsia="en-GB"/>
        </w:rPr>
        <w:t xml:space="preserve">nvertebrates. </w:t>
      </w:r>
      <w:r w:rsidR="00C84BBA" w:rsidRPr="00C84BBA">
        <w:rPr>
          <w:iCs/>
          <w:lang w:eastAsia="en-GB"/>
        </w:rPr>
        <w:t>Physio</w:t>
      </w:r>
      <w:r w:rsidR="007C54AA">
        <w:rPr>
          <w:iCs/>
          <w:lang w:eastAsia="en-GB"/>
        </w:rPr>
        <w:t>l. Biochem. Zool.</w:t>
      </w:r>
      <w:r w:rsidR="00C84BBA" w:rsidRPr="00C84BBA">
        <w:rPr>
          <w:lang w:eastAsia="en-GB"/>
        </w:rPr>
        <w:t xml:space="preserve"> 79, 878-884.</w:t>
      </w:r>
    </w:p>
    <w:p w:rsidR="00C84BBA" w:rsidRPr="00C84BBA" w:rsidRDefault="009643F4" w:rsidP="0022463D">
      <w:pPr>
        <w:pStyle w:val="List"/>
        <w:rPr>
          <w:rStyle w:val="apple-converted-space"/>
          <w:rFonts w:eastAsia="Calibri"/>
        </w:rPr>
      </w:pPr>
      <w:r>
        <w:rPr>
          <w:rStyle w:val="apple-converted-space"/>
        </w:rPr>
        <w:t>Mulder, C., Baerselman, R., Posthuma, L., 2007.</w:t>
      </w:r>
      <w:r w:rsidR="00C84BBA" w:rsidRPr="00C84BBA">
        <w:rPr>
          <w:rStyle w:val="apple-converted-space"/>
        </w:rPr>
        <w:t xml:space="preserve"> Empirical maximum lifespan of earthw</w:t>
      </w:r>
      <w:r>
        <w:rPr>
          <w:rStyle w:val="apple-converted-space"/>
        </w:rPr>
        <w:t>orms is twice that of mice. Age</w:t>
      </w:r>
      <w:r w:rsidR="00C84BBA" w:rsidRPr="00C84BBA">
        <w:rPr>
          <w:rStyle w:val="apple-converted-space"/>
        </w:rPr>
        <w:t xml:space="preserve"> 29, 229-231.</w:t>
      </w:r>
    </w:p>
    <w:p w:rsidR="00C84BBA" w:rsidRPr="00C84BBA" w:rsidRDefault="00C84BBA" w:rsidP="0022463D">
      <w:pPr>
        <w:pStyle w:val="List"/>
        <w:rPr>
          <w:lang w:eastAsia="en-GB"/>
        </w:rPr>
      </w:pPr>
      <w:r w:rsidRPr="00C84BBA">
        <w:rPr>
          <w:lang w:eastAsia="en-GB"/>
        </w:rPr>
        <w:t xml:space="preserve">Neuhauser, E.F., </w:t>
      </w:r>
      <w:r w:rsidR="009643F4">
        <w:rPr>
          <w:lang w:eastAsia="en-GB"/>
        </w:rPr>
        <w:t>Hartenstein, R. &amp; Kaplan, D.L., 1980.</w:t>
      </w:r>
      <w:r w:rsidRPr="00C84BBA">
        <w:rPr>
          <w:lang w:eastAsia="en-GB"/>
        </w:rPr>
        <w:t xml:space="preserve"> Growth of the earthworm </w:t>
      </w:r>
      <w:r w:rsidRPr="009643F4">
        <w:rPr>
          <w:i/>
          <w:iCs/>
          <w:lang w:eastAsia="en-GB"/>
        </w:rPr>
        <w:t>Eisenia foetida</w:t>
      </w:r>
      <w:r w:rsidRPr="00C84BBA">
        <w:rPr>
          <w:iCs/>
          <w:lang w:eastAsia="en-GB"/>
        </w:rPr>
        <w:t xml:space="preserve"> </w:t>
      </w:r>
      <w:r w:rsidRPr="00C84BBA">
        <w:rPr>
          <w:lang w:eastAsia="en-GB"/>
        </w:rPr>
        <w:t>in relation to population de</w:t>
      </w:r>
      <w:r w:rsidR="009643F4">
        <w:rPr>
          <w:lang w:eastAsia="en-GB"/>
        </w:rPr>
        <w:t>nsity and food rationing. Oikos</w:t>
      </w:r>
      <w:r w:rsidRPr="00C84BBA">
        <w:rPr>
          <w:lang w:eastAsia="en-GB"/>
        </w:rPr>
        <w:t xml:space="preserve"> 35, 93-98.</w:t>
      </w:r>
    </w:p>
    <w:p w:rsidR="00C84BBA" w:rsidRPr="00C84BBA" w:rsidRDefault="009643F4" w:rsidP="0022463D">
      <w:pPr>
        <w:pStyle w:val="List"/>
        <w:rPr>
          <w:lang w:eastAsia="en-GB"/>
        </w:rPr>
      </w:pPr>
      <w:r>
        <w:rPr>
          <w:lang w:eastAsia="en-GB"/>
        </w:rPr>
        <w:t>Pedersen, M.B., Bjerre, A., 1991.</w:t>
      </w:r>
      <w:r w:rsidR="00C84BBA" w:rsidRPr="00C84BBA">
        <w:rPr>
          <w:lang w:eastAsia="en-GB"/>
        </w:rPr>
        <w:t xml:space="preserve"> The relationship between mass of newly hatched individuals and cocoon mass in lum</w:t>
      </w:r>
      <w:r>
        <w:rPr>
          <w:lang w:eastAsia="en-GB"/>
        </w:rPr>
        <w:t>bricid earthworms. Pedobiologia</w:t>
      </w:r>
      <w:r w:rsidR="00C84BBA" w:rsidRPr="00C84BBA">
        <w:rPr>
          <w:lang w:eastAsia="en-GB"/>
        </w:rPr>
        <w:t xml:space="preserve"> 35, 35-39.</w:t>
      </w:r>
    </w:p>
    <w:p w:rsidR="00C84BBA" w:rsidRPr="00C84BBA" w:rsidRDefault="009643F4" w:rsidP="0022463D">
      <w:pPr>
        <w:pStyle w:val="List"/>
        <w:rPr>
          <w:lang w:eastAsia="en-GB"/>
        </w:rPr>
      </w:pPr>
      <w:r>
        <w:rPr>
          <w:lang w:eastAsia="en-GB"/>
        </w:rPr>
        <w:t>Peters, R.H., 1983.</w:t>
      </w:r>
      <w:r w:rsidR="00C84BBA" w:rsidRPr="00C84BBA">
        <w:rPr>
          <w:lang w:eastAsia="en-GB"/>
        </w:rPr>
        <w:t xml:space="preserve"> The ecological implications of body size. Cambridge University Press, Cambridge.</w:t>
      </w:r>
    </w:p>
    <w:p w:rsidR="00C84BBA" w:rsidRPr="00C84BBA" w:rsidRDefault="009643F4" w:rsidP="0022463D">
      <w:pPr>
        <w:pStyle w:val="List"/>
        <w:rPr>
          <w:lang w:eastAsia="en-GB"/>
        </w:rPr>
      </w:pPr>
      <w:r>
        <w:t>Reinecke, A.J., Viljoen, S.A., 1990.</w:t>
      </w:r>
      <w:r w:rsidR="00C84BBA" w:rsidRPr="00C84BBA">
        <w:t xml:space="preserve"> The influence of feeding patterns on growth and reproduction of the vermicomposting earthworm </w:t>
      </w:r>
      <w:r w:rsidR="00C84BBA" w:rsidRPr="009643F4">
        <w:rPr>
          <w:i/>
        </w:rPr>
        <w:t>Eisenia fetida</w:t>
      </w:r>
      <w:r w:rsidR="00C84BBA" w:rsidRPr="00C84BBA">
        <w:t xml:space="preserve"> (Oligochaeta).</w:t>
      </w:r>
      <w:r w:rsidR="007C54AA">
        <w:t xml:space="preserve"> Biol. </w:t>
      </w:r>
      <w:r>
        <w:t>F</w:t>
      </w:r>
      <w:r w:rsidR="007C54AA">
        <w:t>ert.</w:t>
      </w:r>
      <w:r>
        <w:t xml:space="preserve"> Soils</w:t>
      </w:r>
      <w:r w:rsidR="00C84BBA" w:rsidRPr="00C84BBA">
        <w:t xml:space="preserve"> 10, 184-187.</w:t>
      </w:r>
    </w:p>
    <w:p w:rsidR="00C84BBA" w:rsidRPr="00C84BBA" w:rsidRDefault="009643F4" w:rsidP="0022463D">
      <w:pPr>
        <w:pStyle w:val="List"/>
        <w:rPr>
          <w:lang w:eastAsia="en-GB"/>
        </w:rPr>
      </w:pPr>
      <w:r>
        <w:rPr>
          <w:lang w:eastAsia="en-GB"/>
        </w:rPr>
        <w:t>Sibly, R.M., Calow, P., 1986.</w:t>
      </w:r>
      <w:r w:rsidR="00C84BBA" w:rsidRPr="00C84BBA">
        <w:rPr>
          <w:lang w:eastAsia="en-GB"/>
        </w:rPr>
        <w:t xml:space="preserve"> Physiological Ecology of Animals. Blackwell Scientific Publications, Oxford.</w:t>
      </w:r>
    </w:p>
    <w:p w:rsidR="00C84BBA" w:rsidRPr="00C84BBA" w:rsidRDefault="00C84BBA" w:rsidP="0022463D">
      <w:pPr>
        <w:pStyle w:val="List"/>
      </w:pPr>
      <w:r w:rsidRPr="00C84BBA">
        <w:rPr>
          <w:noProof/>
        </w:rPr>
        <w:t>Sibly, R.M., Grimm, V., Martin, B.T., Johnston, A.S.A., Kułakowska, K., Topping, C.J., Calow, P.,</w:t>
      </w:r>
      <w:r w:rsidR="009643F4">
        <w:rPr>
          <w:noProof/>
        </w:rPr>
        <w:t xml:space="preserve"> Nabe-Nielsen, J., Thorbek, P., DeAngelis, D.L., 2013.</w:t>
      </w:r>
      <w:r w:rsidRPr="00C84BBA">
        <w:rPr>
          <w:noProof/>
        </w:rPr>
        <w:t xml:space="preserve"> Representing the acquisition and use of energy by individuals in agent-based models of animal populations. </w:t>
      </w:r>
      <w:r w:rsidRPr="00C84BBA">
        <w:t>M</w:t>
      </w:r>
      <w:r w:rsidR="009643F4">
        <w:t xml:space="preserve">ethods </w:t>
      </w:r>
      <w:r w:rsidR="007C54AA">
        <w:t>Ecol. Evol.</w:t>
      </w:r>
      <w:r w:rsidRPr="00C84BBA">
        <w:t xml:space="preserve"> 4, 151-161.</w:t>
      </w:r>
    </w:p>
    <w:p w:rsidR="00C84BBA" w:rsidRPr="00C84BBA" w:rsidRDefault="00C84BBA" w:rsidP="0022463D">
      <w:pPr>
        <w:pStyle w:val="EndnoteText"/>
        <w:tabs>
          <w:tab w:val="left" w:pos="0"/>
        </w:tabs>
        <w:suppressAutoHyphens/>
        <w:ind w:left="283" w:hanging="283"/>
        <w:rPr>
          <w:rFonts w:ascii="Times New Roman" w:hAnsi="Times New Roman"/>
          <w:szCs w:val="24"/>
          <w:lang w:eastAsia="en-GB"/>
        </w:rPr>
      </w:pPr>
      <w:r w:rsidRPr="00C84BBA">
        <w:rPr>
          <w:rFonts w:ascii="Times New Roman" w:hAnsi="Times New Roman"/>
          <w:szCs w:val="24"/>
          <w:lang w:eastAsia="en-GB"/>
        </w:rPr>
        <w:t>Sousa, T., Domingos, T., Poggiale, J.</w:t>
      </w:r>
      <w:r w:rsidR="009643F4">
        <w:rPr>
          <w:rFonts w:ascii="Times New Roman" w:hAnsi="Times New Roman"/>
          <w:szCs w:val="24"/>
          <w:lang w:eastAsia="en-GB"/>
        </w:rPr>
        <w:t>C., Kooijman, S.A.L.M., 2010.</w:t>
      </w:r>
      <w:r w:rsidRPr="00C84BBA">
        <w:rPr>
          <w:rFonts w:ascii="Times New Roman" w:hAnsi="Times New Roman"/>
          <w:szCs w:val="24"/>
          <w:lang w:eastAsia="en-GB"/>
        </w:rPr>
        <w:t xml:space="preserve"> Dynamic energy budget theory restores coh</w:t>
      </w:r>
      <w:r w:rsidR="007C54AA">
        <w:rPr>
          <w:rFonts w:ascii="Times New Roman" w:hAnsi="Times New Roman"/>
          <w:szCs w:val="24"/>
          <w:lang w:eastAsia="en-GB"/>
        </w:rPr>
        <w:t>erence in biology. Philos.</w:t>
      </w:r>
      <w:r w:rsidRPr="00C84BBA">
        <w:rPr>
          <w:rFonts w:ascii="Times New Roman" w:hAnsi="Times New Roman"/>
          <w:szCs w:val="24"/>
          <w:lang w:eastAsia="en-GB"/>
        </w:rPr>
        <w:t xml:space="preserve"> T</w:t>
      </w:r>
      <w:r w:rsidR="007C54AA">
        <w:rPr>
          <w:rFonts w:ascii="Times New Roman" w:hAnsi="Times New Roman"/>
          <w:szCs w:val="24"/>
          <w:lang w:eastAsia="en-GB"/>
        </w:rPr>
        <w:t>. Roy. Soc.</w:t>
      </w:r>
      <w:r w:rsidR="009643F4">
        <w:rPr>
          <w:rFonts w:ascii="Times New Roman" w:hAnsi="Times New Roman"/>
          <w:szCs w:val="24"/>
          <w:lang w:eastAsia="en-GB"/>
        </w:rPr>
        <w:t xml:space="preserve"> B</w:t>
      </w:r>
      <w:r w:rsidRPr="00C84BBA">
        <w:rPr>
          <w:rFonts w:ascii="Times New Roman" w:hAnsi="Times New Roman"/>
          <w:szCs w:val="24"/>
          <w:lang w:eastAsia="en-GB"/>
        </w:rPr>
        <w:t xml:space="preserve"> 365, 3413-3428.</w:t>
      </w:r>
    </w:p>
    <w:p w:rsidR="00C84BBA" w:rsidRPr="00C84BBA" w:rsidRDefault="009643F4" w:rsidP="0022463D">
      <w:pPr>
        <w:pStyle w:val="List"/>
        <w:rPr>
          <w:lang w:val="en-US"/>
        </w:rPr>
      </w:pPr>
      <w:r>
        <w:rPr>
          <w:lang w:val="en-US"/>
        </w:rPr>
        <w:t>Springett, J.A.,</w:t>
      </w:r>
      <w:r w:rsidR="00C84BBA" w:rsidRPr="00C84BBA">
        <w:rPr>
          <w:lang w:val="en-US"/>
        </w:rPr>
        <w:t xml:space="preserve"> Gray, R.A.J.</w:t>
      </w:r>
      <w:r>
        <w:rPr>
          <w:lang w:val="en-US"/>
        </w:rPr>
        <w:t>, 1992.</w:t>
      </w:r>
      <w:r w:rsidR="00C84BBA" w:rsidRPr="00C84BBA">
        <w:rPr>
          <w:lang w:val="en-US"/>
        </w:rPr>
        <w:t xml:space="preserve"> Effect of repeated low doses of biocides on the earthworm </w:t>
      </w:r>
      <w:r w:rsidR="00C84BBA" w:rsidRPr="009643F4">
        <w:rPr>
          <w:i/>
          <w:lang w:val="en-US"/>
        </w:rPr>
        <w:t>Aporrectodea caliginosa</w:t>
      </w:r>
      <w:r w:rsidR="00C84BBA" w:rsidRPr="00C84BBA">
        <w:rPr>
          <w:lang w:val="en-US"/>
        </w:rPr>
        <w:t xml:space="preserve"> in laboratory culture</w:t>
      </w:r>
      <w:r w:rsidR="007C54AA">
        <w:rPr>
          <w:lang w:val="en-US"/>
        </w:rPr>
        <w:t>. Soil Biol. Biochem.</w:t>
      </w:r>
      <w:r w:rsidR="00C84BBA" w:rsidRPr="00C84BBA">
        <w:rPr>
          <w:lang w:val="en-US"/>
        </w:rPr>
        <w:t xml:space="preserve"> 24, 1739-1744.</w:t>
      </w:r>
    </w:p>
    <w:p w:rsidR="00C84BBA" w:rsidRPr="00C84BBA" w:rsidRDefault="00C84BBA" w:rsidP="0022463D">
      <w:pPr>
        <w:pStyle w:val="List"/>
      </w:pPr>
      <w:r w:rsidRPr="00C84BBA">
        <w:t xml:space="preserve">Spurgeon, D.J. Svendsen, </w:t>
      </w:r>
      <w:r w:rsidR="009643F4">
        <w:t>C., Rimmer, V.R., Hopkin, S.P., Weeks, J.M., 2000.</w:t>
      </w:r>
      <w:r w:rsidRPr="00C84BBA">
        <w:t xml:space="preserve"> Relative sensitivity of life-cycle and biomarker responses in four earthworm species exposed to zinc. Environ</w:t>
      </w:r>
      <w:r w:rsidR="007C54AA">
        <w:t>. Toxicol. Chem.</w:t>
      </w:r>
      <w:r w:rsidRPr="00C84BBA">
        <w:t xml:space="preserve"> 19, 1800-1808.</w:t>
      </w:r>
    </w:p>
    <w:p w:rsidR="00C84BBA" w:rsidRPr="00C84BBA" w:rsidRDefault="009643F4" w:rsidP="0022463D">
      <w:pPr>
        <w:pStyle w:val="List"/>
      </w:pPr>
      <w:r>
        <w:t>Taylor, A.R., Taylor, A.F.S., 2014.</w:t>
      </w:r>
      <w:r w:rsidR="00C84BBA" w:rsidRPr="00C84BBA">
        <w:t xml:space="preserve"> Assessing daily egestion rates in earthworms: using fungal spores as a natural soil marker to est</w:t>
      </w:r>
      <w:r w:rsidR="007C54AA">
        <w:t xml:space="preserve">imate gut transit time. Biol. Fert. </w:t>
      </w:r>
      <w:r w:rsidR="00C84BBA" w:rsidRPr="00C84BBA">
        <w:t>Soil</w:t>
      </w:r>
      <w:r>
        <w:t>s</w:t>
      </w:r>
      <w:r w:rsidR="00C84BBA" w:rsidRPr="00C84BBA">
        <w:t xml:space="preserve"> 50, 179-183.</w:t>
      </w:r>
    </w:p>
    <w:p w:rsidR="00C84BBA" w:rsidRPr="00C84BBA" w:rsidRDefault="009643F4" w:rsidP="0022463D">
      <w:pPr>
        <w:pStyle w:val="List"/>
        <w:rPr>
          <w:lang w:eastAsia="en-GB"/>
        </w:rPr>
      </w:pPr>
      <w:r>
        <w:rPr>
          <w:lang w:eastAsia="en-GB"/>
        </w:rPr>
        <w:t>von Bertalanffy, L., 1957.</w:t>
      </w:r>
      <w:r w:rsidR="00C84BBA" w:rsidRPr="00C84BBA">
        <w:rPr>
          <w:lang w:eastAsia="en-GB"/>
        </w:rPr>
        <w:t xml:space="preserve"> Quantitative laws in metabolism and grow</w:t>
      </w:r>
      <w:r w:rsidR="007C54AA">
        <w:rPr>
          <w:lang w:eastAsia="en-GB"/>
        </w:rPr>
        <w:t>th. Q. Rev. Biol.</w:t>
      </w:r>
      <w:r w:rsidR="00C84BBA" w:rsidRPr="00C84BBA">
        <w:rPr>
          <w:lang w:eastAsia="en-GB"/>
        </w:rPr>
        <w:t xml:space="preserve"> 32, 217-231.</w:t>
      </w:r>
    </w:p>
    <w:p w:rsidR="00326F15" w:rsidRPr="0079638F" w:rsidRDefault="00326F15" w:rsidP="0022463D">
      <w:pPr>
        <w:spacing w:line="240" w:lineRule="auto"/>
        <w:rPr>
          <w:b/>
          <w:szCs w:val="24"/>
        </w:rPr>
      </w:pPr>
    </w:p>
    <w:sectPr w:rsidR="00326F15" w:rsidRPr="0079638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5FD" w:rsidRDefault="002E45FD">
      <w:pPr>
        <w:spacing w:line="240" w:lineRule="auto"/>
      </w:pPr>
      <w:r>
        <w:separator/>
      </w:r>
    </w:p>
  </w:endnote>
  <w:endnote w:type="continuationSeparator" w:id="0">
    <w:p w:rsidR="002E45FD" w:rsidRDefault="002E4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ecilia-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BBA" w:rsidRDefault="00C84BBA">
    <w:pPr>
      <w:pStyle w:val="Footer"/>
      <w:jc w:val="right"/>
    </w:pPr>
    <w:r>
      <w:fldChar w:fldCharType="begin"/>
    </w:r>
    <w:r>
      <w:instrText xml:space="preserve"> PAGE   \* MERGEFORMAT </w:instrText>
    </w:r>
    <w:r>
      <w:fldChar w:fldCharType="separate"/>
    </w:r>
    <w:r w:rsidR="002E45FD">
      <w:rPr>
        <w:noProof/>
      </w:rPr>
      <w:t>1</w:t>
    </w:r>
    <w:r>
      <w:rPr>
        <w:noProof/>
      </w:rPr>
      <w:fldChar w:fldCharType="end"/>
    </w:r>
  </w:p>
  <w:p w:rsidR="00C84BBA" w:rsidRDefault="00C84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5FD" w:rsidRDefault="002E45FD">
      <w:pPr>
        <w:spacing w:line="240" w:lineRule="auto"/>
      </w:pPr>
      <w:r>
        <w:separator/>
      </w:r>
    </w:p>
  </w:footnote>
  <w:footnote w:type="continuationSeparator" w:id="0">
    <w:p w:rsidR="002E45FD" w:rsidRDefault="002E45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BBA" w:rsidRPr="002F3D87" w:rsidRDefault="00C84BBA" w:rsidP="005836CC">
    <w:pPr>
      <w:pStyle w:val="Header"/>
      <w:rPr>
        <w:sz w:val="20"/>
      </w:rPr>
    </w:pPr>
    <w:r w:rsidRPr="002F3D87">
      <w:rPr>
        <w:sz w:val="20"/>
      </w:rPr>
      <w:t xml:space="preserve">Johnston, A.S.A., Holmstrup, M., Hodson, M.E., Thorbek, P., Alvarez, T., Sibly, R.M., Earthworm distribution and abundance predicted by a process-based model. </w:t>
    </w:r>
  </w:p>
  <w:p w:rsidR="00C84BBA" w:rsidRPr="000C0E3D" w:rsidRDefault="00C84BBA" w:rsidP="005836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15"/>
    <w:rsid w:val="00080A3C"/>
    <w:rsid w:val="001057A6"/>
    <w:rsid w:val="0022463D"/>
    <w:rsid w:val="002B03B3"/>
    <w:rsid w:val="002E45FD"/>
    <w:rsid w:val="00310B11"/>
    <w:rsid w:val="00310E5C"/>
    <w:rsid w:val="00326F15"/>
    <w:rsid w:val="00396B54"/>
    <w:rsid w:val="005836CC"/>
    <w:rsid w:val="00587832"/>
    <w:rsid w:val="00677C92"/>
    <w:rsid w:val="007977FD"/>
    <w:rsid w:val="007A78DB"/>
    <w:rsid w:val="007C1626"/>
    <w:rsid w:val="007C54AA"/>
    <w:rsid w:val="007E45AF"/>
    <w:rsid w:val="009643F4"/>
    <w:rsid w:val="00993247"/>
    <w:rsid w:val="00A806B4"/>
    <w:rsid w:val="00AF2FEC"/>
    <w:rsid w:val="00B93866"/>
    <w:rsid w:val="00BE38E0"/>
    <w:rsid w:val="00C84BBA"/>
    <w:rsid w:val="00C95D64"/>
    <w:rsid w:val="00F67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F15"/>
    <w:pPr>
      <w:spacing w:line="276" w:lineRule="auto"/>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326F15"/>
    <w:pPr>
      <w:spacing w:line="240" w:lineRule="auto"/>
      <w:ind w:left="283" w:hanging="283"/>
    </w:pPr>
    <w:rPr>
      <w:rFonts w:eastAsia="Times New Roman"/>
      <w:szCs w:val="24"/>
    </w:rPr>
  </w:style>
  <w:style w:type="paragraph" w:styleId="NoSpacing">
    <w:name w:val="No Spacing"/>
    <w:uiPriority w:val="99"/>
    <w:qFormat/>
    <w:rsid w:val="00326F15"/>
    <w:rPr>
      <w:sz w:val="22"/>
      <w:szCs w:val="22"/>
      <w:lang w:eastAsia="en-US"/>
    </w:rPr>
  </w:style>
  <w:style w:type="character" w:customStyle="1" w:styleId="apple-converted-space">
    <w:name w:val="apple-converted-space"/>
    <w:rsid w:val="00326F15"/>
    <w:rPr>
      <w:rFonts w:cs="Times New Roman"/>
    </w:rPr>
  </w:style>
  <w:style w:type="table" w:styleId="TableGrid">
    <w:name w:val="Table Grid"/>
    <w:basedOn w:val="TableNormal"/>
    <w:uiPriority w:val="59"/>
    <w:rsid w:val="00326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326F15"/>
    <w:pPr>
      <w:widowControl w:val="0"/>
      <w:spacing w:line="240" w:lineRule="auto"/>
    </w:pPr>
    <w:rPr>
      <w:rFonts w:ascii="Courier" w:eastAsia="Times New Roman" w:hAnsi="Courier"/>
      <w:snapToGrid w:val="0"/>
      <w:szCs w:val="20"/>
    </w:rPr>
  </w:style>
  <w:style w:type="character" w:customStyle="1" w:styleId="EndnoteTextChar">
    <w:name w:val="Endnote Text Char"/>
    <w:link w:val="EndnoteText"/>
    <w:semiHidden/>
    <w:rsid w:val="00326F15"/>
    <w:rPr>
      <w:rFonts w:ascii="Courier" w:eastAsia="Times New Roman" w:hAnsi="Courier" w:cs="Times New Roman"/>
      <w:snapToGrid w:val="0"/>
      <w:sz w:val="24"/>
      <w:szCs w:val="20"/>
    </w:rPr>
  </w:style>
  <w:style w:type="character" w:styleId="CommentReference">
    <w:name w:val="annotation reference"/>
    <w:uiPriority w:val="99"/>
    <w:semiHidden/>
    <w:unhideWhenUsed/>
    <w:rsid w:val="00326F15"/>
    <w:rPr>
      <w:sz w:val="16"/>
      <w:szCs w:val="16"/>
    </w:rPr>
  </w:style>
  <w:style w:type="paragraph" w:styleId="Header">
    <w:name w:val="header"/>
    <w:basedOn w:val="Normal"/>
    <w:link w:val="HeaderChar"/>
    <w:uiPriority w:val="99"/>
    <w:unhideWhenUsed/>
    <w:rsid w:val="00326F15"/>
    <w:pPr>
      <w:tabs>
        <w:tab w:val="center" w:pos="4513"/>
        <w:tab w:val="right" w:pos="9026"/>
      </w:tabs>
      <w:spacing w:line="240" w:lineRule="auto"/>
    </w:pPr>
  </w:style>
  <w:style w:type="character" w:customStyle="1" w:styleId="HeaderChar">
    <w:name w:val="Header Char"/>
    <w:link w:val="Header"/>
    <w:uiPriority w:val="99"/>
    <w:rsid w:val="00326F15"/>
    <w:rPr>
      <w:rFonts w:ascii="Times New Roman" w:eastAsia="Calibri" w:hAnsi="Times New Roman" w:cs="Times New Roman"/>
      <w:sz w:val="24"/>
    </w:rPr>
  </w:style>
  <w:style w:type="paragraph" w:styleId="Footer">
    <w:name w:val="footer"/>
    <w:basedOn w:val="Normal"/>
    <w:link w:val="FooterChar"/>
    <w:uiPriority w:val="99"/>
    <w:unhideWhenUsed/>
    <w:rsid w:val="00326F15"/>
    <w:pPr>
      <w:tabs>
        <w:tab w:val="center" w:pos="4513"/>
        <w:tab w:val="right" w:pos="9026"/>
      </w:tabs>
      <w:spacing w:line="240" w:lineRule="auto"/>
    </w:pPr>
  </w:style>
  <w:style w:type="character" w:customStyle="1" w:styleId="FooterChar">
    <w:name w:val="Footer Char"/>
    <w:link w:val="Footer"/>
    <w:uiPriority w:val="99"/>
    <w:rsid w:val="00326F15"/>
    <w:rPr>
      <w:rFonts w:ascii="Times New Roman" w:eastAsia="Calibri" w:hAnsi="Times New Roman" w:cs="Times New Roman"/>
      <w:sz w:val="24"/>
    </w:rPr>
  </w:style>
  <w:style w:type="character" w:customStyle="1" w:styleId="reference-text">
    <w:name w:val="reference-text"/>
    <w:rsid w:val="007A78DB"/>
  </w:style>
  <w:style w:type="paragraph" w:customStyle="1" w:styleId="Ref">
    <w:name w:val="Ref"/>
    <w:basedOn w:val="List"/>
    <w:link w:val="RefChar"/>
    <w:qFormat/>
    <w:rsid w:val="007A78DB"/>
    <w:rPr>
      <w:sz w:val="20"/>
      <w:szCs w:val="20"/>
    </w:rPr>
  </w:style>
  <w:style w:type="character" w:customStyle="1" w:styleId="RefChar">
    <w:name w:val="Ref Char"/>
    <w:link w:val="Ref"/>
    <w:rsid w:val="007A78DB"/>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677C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9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F15"/>
    <w:pPr>
      <w:spacing w:line="276" w:lineRule="auto"/>
    </w:pPr>
    <w:rPr>
      <w:rFonts w:ascii="Times New Roman" w:hAnsi="Times New Roman"/>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326F15"/>
    <w:pPr>
      <w:spacing w:line="240" w:lineRule="auto"/>
      <w:ind w:left="283" w:hanging="283"/>
    </w:pPr>
    <w:rPr>
      <w:rFonts w:eastAsia="Times New Roman"/>
      <w:szCs w:val="24"/>
    </w:rPr>
  </w:style>
  <w:style w:type="paragraph" w:styleId="NoSpacing">
    <w:name w:val="No Spacing"/>
    <w:uiPriority w:val="99"/>
    <w:qFormat/>
    <w:rsid w:val="00326F15"/>
    <w:rPr>
      <w:sz w:val="22"/>
      <w:szCs w:val="22"/>
      <w:lang w:eastAsia="en-US"/>
    </w:rPr>
  </w:style>
  <w:style w:type="character" w:customStyle="1" w:styleId="apple-converted-space">
    <w:name w:val="apple-converted-space"/>
    <w:rsid w:val="00326F15"/>
    <w:rPr>
      <w:rFonts w:cs="Times New Roman"/>
    </w:rPr>
  </w:style>
  <w:style w:type="table" w:styleId="TableGrid">
    <w:name w:val="Table Grid"/>
    <w:basedOn w:val="TableNormal"/>
    <w:uiPriority w:val="59"/>
    <w:rsid w:val="00326F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rsid w:val="00326F15"/>
    <w:pPr>
      <w:widowControl w:val="0"/>
      <w:spacing w:line="240" w:lineRule="auto"/>
    </w:pPr>
    <w:rPr>
      <w:rFonts w:ascii="Courier" w:eastAsia="Times New Roman" w:hAnsi="Courier"/>
      <w:snapToGrid w:val="0"/>
      <w:szCs w:val="20"/>
    </w:rPr>
  </w:style>
  <w:style w:type="character" w:customStyle="1" w:styleId="EndnoteTextChar">
    <w:name w:val="Endnote Text Char"/>
    <w:link w:val="EndnoteText"/>
    <w:semiHidden/>
    <w:rsid w:val="00326F15"/>
    <w:rPr>
      <w:rFonts w:ascii="Courier" w:eastAsia="Times New Roman" w:hAnsi="Courier" w:cs="Times New Roman"/>
      <w:snapToGrid w:val="0"/>
      <w:sz w:val="24"/>
      <w:szCs w:val="20"/>
    </w:rPr>
  </w:style>
  <w:style w:type="character" w:styleId="CommentReference">
    <w:name w:val="annotation reference"/>
    <w:uiPriority w:val="99"/>
    <w:semiHidden/>
    <w:unhideWhenUsed/>
    <w:rsid w:val="00326F15"/>
    <w:rPr>
      <w:sz w:val="16"/>
      <w:szCs w:val="16"/>
    </w:rPr>
  </w:style>
  <w:style w:type="paragraph" w:styleId="Header">
    <w:name w:val="header"/>
    <w:basedOn w:val="Normal"/>
    <w:link w:val="HeaderChar"/>
    <w:uiPriority w:val="99"/>
    <w:unhideWhenUsed/>
    <w:rsid w:val="00326F15"/>
    <w:pPr>
      <w:tabs>
        <w:tab w:val="center" w:pos="4513"/>
        <w:tab w:val="right" w:pos="9026"/>
      </w:tabs>
      <w:spacing w:line="240" w:lineRule="auto"/>
    </w:pPr>
  </w:style>
  <w:style w:type="character" w:customStyle="1" w:styleId="HeaderChar">
    <w:name w:val="Header Char"/>
    <w:link w:val="Header"/>
    <w:uiPriority w:val="99"/>
    <w:rsid w:val="00326F15"/>
    <w:rPr>
      <w:rFonts w:ascii="Times New Roman" w:eastAsia="Calibri" w:hAnsi="Times New Roman" w:cs="Times New Roman"/>
      <w:sz w:val="24"/>
    </w:rPr>
  </w:style>
  <w:style w:type="paragraph" w:styleId="Footer">
    <w:name w:val="footer"/>
    <w:basedOn w:val="Normal"/>
    <w:link w:val="FooterChar"/>
    <w:uiPriority w:val="99"/>
    <w:unhideWhenUsed/>
    <w:rsid w:val="00326F15"/>
    <w:pPr>
      <w:tabs>
        <w:tab w:val="center" w:pos="4513"/>
        <w:tab w:val="right" w:pos="9026"/>
      </w:tabs>
      <w:spacing w:line="240" w:lineRule="auto"/>
    </w:pPr>
  </w:style>
  <w:style w:type="character" w:customStyle="1" w:styleId="FooterChar">
    <w:name w:val="Footer Char"/>
    <w:link w:val="Footer"/>
    <w:uiPriority w:val="99"/>
    <w:rsid w:val="00326F15"/>
    <w:rPr>
      <w:rFonts w:ascii="Times New Roman" w:eastAsia="Calibri" w:hAnsi="Times New Roman" w:cs="Times New Roman"/>
      <w:sz w:val="24"/>
    </w:rPr>
  </w:style>
  <w:style w:type="character" w:customStyle="1" w:styleId="reference-text">
    <w:name w:val="reference-text"/>
    <w:rsid w:val="007A78DB"/>
  </w:style>
  <w:style w:type="paragraph" w:customStyle="1" w:styleId="Ref">
    <w:name w:val="Ref"/>
    <w:basedOn w:val="List"/>
    <w:link w:val="RefChar"/>
    <w:qFormat/>
    <w:rsid w:val="007A78DB"/>
    <w:rPr>
      <w:sz w:val="20"/>
      <w:szCs w:val="20"/>
    </w:rPr>
  </w:style>
  <w:style w:type="character" w:customStyle="1" w:styleId="RefChar">
    <w:name w:val="Ref Char"/>
    <w:link w:val="Ref"/>
    <w:rsid w:val="007A78DB"/>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677C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9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3590</Words>
  <Characters>20465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Sophie Alexandra Johnston</dc:creator>
  <cp:lastModifiedBy>Alice Sophie Alexandra Johnston</cp:lastModifiedBy>
  <cp:revision>5</cp:revision>
  <dcterms:created xsi:type="dcterms:W3CDTF">2014-02-24T17:37:00Z</dcterms:created>
  <dcterms:modified xsi:type="dcterms:W3CDTF">2014-06-06T11:24:00Z</dcterms:modified>
</cp:coreProperties>
</file>