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6FD3F" w14:textId="77777777" w:rsidR="00F52301" w:rsidRDefault="005410BA" w:rsidP="007E7A8D">
      <w:pPr>
        <w:spacing w:after="0" w:line="480" w:lineRule="auto"/>
        <w:jc w:val="center"/>
        <w:rPr>
          <w:rFonts w:cstheme="minorHAnsi"/>
          <w:b/>
          <w:sz w:val="24"/>
          <w:szCs w:val="24"/>
        </w:rPr>
      </w:pPr>
      <w:r w:rsidRPr="004350D8">
        <w:rPr>
          <w:rFonts w:cstheme="minorHAnsi"/>
          <w:b/>
          <w:sz w:val="24"/>
          <w:szCs w:val="24"/>
        </w:rPr>
        <w:t>THE PUBLIC MANAGEMENT OF LIABILITY RISKS</w:t>
      </w:r>
    </w:p>
    <w:p w14:paraId="221E4FC0" w14:textId="77777777" w:rsidR="00F106C6" w:rsidRDefault="00F106C6" w:rsidP="00F106C6">
      <w:pPr>
        <w:jc w:val="center"/>
      </w:pPr>
      <w:r>
        <w:t>Simon Halliday, University of Strathclyde and University of New South Wales</w:t>
      </w:r>
    </w:p>
    <w:p w14:paraId="7FE647DF" w14:textId="77777777" w:rsidR="00F106C6" w:rsidRDefault="00F106C6" w:rsidP="00F106C6">
      <w:pPr>
        <w:jc w:val="center"/>
      </w:pPr>
      <w:r>
        <w:t>Jonathan Ilan, University of Kent</w:t>
      </w:r>
    </w:p>
    <w:p w14:paraId="40602F05" w14:textId="77777777" w:rsidR="00F106C6" w:rsidRDefault="00F106C6" w:rsidP="00F106C6">
      <w:pPr>
        <w:jc w:val="center"/>
      </w:pPr>
      <w:r>
        <w:t>Colin Scott, University College Dublin</w:t>
      </w:r>
    </w:p>
    <w:p w14:paraId="44F8BA24" w14:textId="77777777" w:rsidR="005017F2" w:rsidRDefault="005017F2" w:rsidP="007E7A8D">
      <w:pPr>
        <w:spacing w:after="0" w:line="480" w:lineRule="auto"/>
        <w:jc w:val="center"/>
        <w:rPr>
          <w:rFonts w:cstheme="minorHAnsi"/>
          <w:b/>
          <w:sz w:val="24"/>
          <w:szCs w:val="24"/>
        </w:rPr>
      </w:pPr>
    </w:p>
    <w:p w14:paraId="1509E36D" w14:textId="77777777" w:rsidR="00F106C6" w:rsidRDefault="00F106C6" w:rsidP="007E7A8D">
      <w:pPr>
        <w:spacing w:after="0" w:line="480" w:lineRule="auto"/>
        <w:jc w:val="center"/>
        <w:rPr>
          <w:rFonts w:ascii="Verdana" w:hAnsi="Verdana" w:cs="Verdana"/>
          <w:i/>
          <w:iCs/>
          <w:lang w:val="en-US"/>
        </w:rPr>
      </w:pPr>
    </w:p>
    <w:p w14:paraId="3766991A" w14:textId="77777777" w:rsidR="00F106C6" w:rsidRDefault="00F106C6" w:rsidP="007E7A8D">
      <w:pPr>
        <w:spacing w:after="0" w:line="480" w:lineRule="auto"/>
        <w:jc w:val="center"/>
        <w:rPr>
          <w:rFonts w:ascii="Verdana" w:hAnsi="Verdana" w:cs="Verdana"/>
          <w:i/>
          <w:iCs/>
          <w:lang w:val="en-US"/>
        </w:rPr>
      </w:pPr>
    </w:p>
    <w:p w14:paraId="760C3F60" w14:textId="77777777" w:rsidR="00F106C6" w:rsidRDefault="00F106C6" w:rsidP="007E7A8D">
      <w:pPr>
        <w:spacing w:after="0" w:line="480" w:lineRule="auto"/>
        <w:jc w:val="center"/>
        <w:rPr>
          <w:rFonts w:ascii="Verdana" w:hAnsi="Verdana" w:cs="Verdana"/>
          <w:i/>
          <w:iCs/>
          <w:lang w:val="en-US"/>
        </w:rPr>
      </w:pPr>
    </w:p>
    <w:p w14:paraId="4EE84A46" w14:textId="77777777" w:rsidR="00F106C6" w:rsidRDefault="00F106C6" w:rsidP="007E7A8D">
      <w:pPr>
        <w:spacing w:after="0" w:line="480" w:lineRule="auto"/>
        <w:jc w:val="center"/>
        <w:rPr>
          <w:rFonts w:ascii="Verdana" w:hAnsi="Verdana" w:cs="Verdana"/>
          <w:i/>
          <w:iCs/>
          <w:lang w:val="en-US"/>
        </w:rPr>
      </w:pPr>
    </w:p>
    <w:p w14:paraId="407637C5" w14:textId="77777777" w:rsidR="00F106C6" w:rsidRDefault="00F106C6" w:rsidP="007E7A8D">
      <w:pPr>
        <w:spacing w:after="0" w:line="480" w:lineRule="auto"/>
        <w:jc w:val="center"/>
        <w:rPr>
          <w:rFonts w:ascii="Verdana" w:hAnsi="Verdana" w:cs="Verdana"/>
          <w:i/>
          <w:iCs/>
          <w:lang w:val="en-US"/>
        </w:rPr>
      </w:pPr>
    </w:p>
    <w:p w14:paraId="12466054" w14:textId="77777777" w:rsidR="00F106C6" w:rsidRDefault="00F106C6" w:rsidP="00061764">
      <w:pPr>
        <w:widowControl w:val="0"/>
        <w:autoSpaceDE w:val="0"/>
        <w:autoSpaceDN w:val="0"/>
        <w:adjustRightInd w:val="0"/>
        <w:spacing w:after="240" w:line="240" w:lineRule="auto"/>
        <w:rPr>
          <w:rFonts w:ascii="Times" w:hAnsi="Times" w:cs="Times"/>
          <w:sz w:val="24"/>
          <w:szCs w:val="24"/>
          <w:lang w:val="en-US"/>
        </w:rPr>
      </w:pPr>
      <w:r>
        <w:rPr>
          <w:rFonts w:ascii="Verdana" w:hAnsi="Verdana" w:cs="Verdana"/>
          <w:i/>
          <w:iCs/>
          <w:lang w:val="en-US"/>
        </w:rPr>
        <w:t>This is a pre-copyedited, author-produced PDF of an article accepted for publication in</w:t>
      </w:r>
      <w:r>
        <w:rPr>
          <w:rFonts w:ascii="Verdana" w:hAnsi="Verdana" w:cs="Verdana"/>
          <w:lang w:val="en-US"/>
        </w:rPr>
        <w:t xml:space="preserve"> </w:t>
      </w:r>
      <w:r>
        <w:rPr>
          <w:rFonts w:ascii="Verdana" w:hAnsi="Verdana" w:cs="Verdana"/>
          <w:lang w:val="en-US"/>
        </w:rPr>
        <w:t>Oxford Journal of Legal Studies</w:t>
      </w:r>
      <w:r>
        <w:rPr>
          <w:rFonts w:ascii="Verdana" w:hAnsi="Verdana" w:cs="Verdana"/>
          <w:lang w:val="en-US"/>
        </w:rPr>
        <w:t xml:space="preserve"> </w:t>
      </w:r>
      <w:r>
        <w:rPr>
          <w:rFonts w:ascii="Verdana" w:hAnsi="Verdana" w:cs="Verdana"/>
          <w:i/>
          <w:iCs/>
          <w:lang w:val="en-US"/>
        </w:rPr>
        <w:t>following peer review. The definitive publisher-authenticated version</w:t>
      </w:r>
      <w:r>
        <w:rPr>
          <w:rFonts w:ascii="Verdana" w:hAnsi="Verdana" w:cs="Verdana"/>
          <w:lang w:val="en-US"/>
        </w:rPr>
        <w:t xml:space="preserve"> </w:t>
      </w:r>
      <w:r w:rsidR="00061764">
        <w:rPr>
          <w:rFonts w:ascii="Verdana" w:hAnsi="Verdana" w:cs="Verdana"/>
          <w:i/>
          <w:iCs/>
          <w:lang w:val="en-US"/>
        </w:rPr>
        <w:t>is available online</w:t>
      </w:r>
      <w:r w:rsidR="00061764">
        <w:rPr>
          <w:rFonts w:ascii="Verdana" w:hAnsi="Verdana" w:cs="Verdana"/>
          <w:i/>
          <w:iCs/>
          <w:lang w:val="en-US"/>
        </w:rPr>
        <w:t>:</w:t>
      </w:r>
      <w:r w:rsidR="00061764" w:rsidRPr="00F106C6">
        <w:rPr>
          <w:rFonts w:cs="Verdana"/>
          <w:sz w:val="24"/>
          <w:szCs w:val="24"/>
          <w:lang w:val="en-US"/>
        </w:rPr>
        <w:t xml:space="preserve"> </w:t>
      </w:r>
      <w:r w:rsidRPr="00F106C6">
        <w:rPr>
          <w:rFonts w:cs="Arial"/>
          <w:i/>
          <w:sz w:val="24"/>
          <w:szCs w:val="24"/>
        </w:rPr>
        <w:t>Oxford Journal of Legal Studies</w:t>
      </w:r>
      <w:r w:rsidRPr="00F106C6">
        <w:rPr>
          <w:rFonts w:cs="Arial"/>
          <w:sz w:val="24"/>
          <w:szCs w:val="24"/>
        </w:rPr>
        <w:t>, 31(3) 527-550</w:t>
      </w:r>
      <w:r w:rsidR="00061764">
        <w:rPr>
          <w:rFonts w:cs="Arial"/>
          <w:sz w:val="24"/>
          <w:szCs w:val="24"/>
        </w:rPr>
        <w:t xml:space="preserve"> (</w:t>
      </w:r>
      <w:r w:rsidR="00061764">
        <w:rPr>
          <w:rFonts w:ascii="Times" w:hAnsi="Times" w:cs="Times"/>
          <w:sz w:val="24"/>
          <w:szCs w:val="24"/>
          <w:lang w:val="en-US"/>
        </w:rPr>
        <w:t>doi:10.1093/ojls/gqr009</w:t>
      </w:r>
      <w:r w:rsidR="00061764">
        <w:rPr>
          <w:rFonts w:ascii="Times" w:hAnsi="Times" w:cs="Times"/>
          <w:sz w:val="24"/>
          <w:szCs w:val="24"/>
          <w:lang w:val="en-US"/>
        </w:rPr>
        <w:t>)</w:t>
      </w:r>
    </w:p>
    <w:p w14:paraId="30EA2F3D" w14:textId="77777777" w:rsidR="00061764" w:rsidRPr="00061764" w:rsidRDefault="00061764" w:rsidP="00061764">
      <w:pPr>
        <w:widowControl w:val="0"/>
        <w:autoSpaceDE w:val="0"/>
        <w:autoSpaceDN w:val="0"/>
        <w:adjustRightInd w:val="0"/>
        <w:spacing w:after="240" w:line="240" w:lineRule="auto"/>
        <w:rPr>
          <w:rFonts w:ascii="Times" w:hAnsi="Times" w:cs="Times"/>
          <w:sz w:val="24"/>
          <w:szCs w:val="24"/>
          <w:lang w:val="en-US"/>
        </w:rPr>
      </w:pPr>
      <w:bookmarkStart w:id="0" w:name="_GoBack"/>
      <w:bookmarkEnd w:id="0"/>
    </w:p>
    <w:p w14:paraId="2322FDE5" w14:textId="77777777" w:rsidR="00F106C6" w:rsidRDefault="00F106C6" w:rsidP="007E7A8D">
      <w:pPr>
        <w:spacing w:after="0" w:line="480" w:lineRule="auto"/>
        <w:jc w:val="center"/>
        <w:rPr>
          <w:rFonts w:cstheme="minorHAnsi"/>
          <w:b/>
          <w:sz w:val="24"/>
          <w:szCs w:val="24"/>
        </w:rPr>
      </w:pPr>
    </w:p>
    <w:p w14:paraId="1072FFA7" w14:textId="77777777" w:rsidR="00F106C6" w:rsidRDefault="00F106C6" w:rsidP="007E7A8D">
      <w:pPr>
        <w:spacing w:after="0" w:line="480" w:lineRule="auto"/>
        <w:jc w:val="center"/>
        <w:rPr>
          <w:rFonts w:cstheme="minorHAnsi"/>
          <w:sz w:val="24"/>
          <w:szCs w:val="24"/>
        </w:rPr>
      </w:pPr>
      <w:r>
        <w:rPr>
          <w:rFonts w:cstheme="minorHAnsi"/>
          <w:sz w:val="24"/>
          <w:szCs w:val="24"/>
        </w:rPr>
        <w:br/>
      </w:r>
    </w:p>
    <w:p w14:paraId="26C66BC2" w14:textId="77777777" w:rsidR="00F106C6" w:rsidRDefault="00F106C6" w:rsidP="007E7A8D">
      <w:pPr>
        <w:spacing w:after="0" w:line="480" w:lineRule="auto"/>
        <w:jc w:val="center"/>
        <w:rPr>
          <w:rFonts w:cstheme="minorHAnsi"/>
          <w:sz w:val="24"/>
          <w:szCs w:val="24"/>
        </w:rPr>
      </w:pPr>
    </w:p>
    <w:p w14:paraId="2520ACE6" w14:textId="77777777" w:rsidR="00F106C6" w:rsidRDefault="00F106C6" w:rsidP="007E7A8D">
      <w:pPr>
        <w:spacing w:after="0" w:line="480" w:lineRule="auto"/>
        <w:jc w:val="center"/>
        <w:rPr>
          <w:rFonts w:cstheme="minorHAnsi"/>
          <w:sz w:val="24"/>
          <w:szCs w:val="24"/>
        </w:rPr>
      </w:pPr>
    </w:p>
    <w:p w14:paraId="7195A89A" w14:textId="77777777" w:rsidR="00F106C6" w:rsidRDefault="00F106C6" w:rsidP="007E7A8D">
      <w:pPr>
        <w:spacing w:after="0" w:line="480" w:lineRule="auto"/>
        <w:jc w:val="center"/>
        <w:rPr>
          <w:rFonts w:cstheme="minorHAnsi"/>
          <w:sz w:val="24"/>
          <w:szCs w:val="24"/>
        </w:rPr>
      </w:pPr>
    </w:p>
    <w:p w14:paraId="15720CDD" w14:textId="77777777" w:rsidR="00F106C6" w:rsidRDefault="00F106C6" w:rsidP="007E7A8D">
      <w:pPr>
        <w:spacing w:after="0" w:line="480" w:lineRule="auto"/>
        <w:jc w:val="center"/>
        <w:rPr>
          <w:rFonts w:cstheme="minorHAnsi"/>
          <w:sz w:val="24"/>
          <w:szCs w:val="24"/>
        </w:rPr>
      </w:pPr>
    </w:p>
    <w:p w14:paraId="536449EF" w14:textId="77777777" w:rsidR="00F106C6" w:rsidRDefault="00F106C6" w:rsidP="007E7A8D">
      <w:pPr>
        <w:spacing w:after="0" w:line="480" w:lineRule="auto"/>
        <w:jc w:val="center"/>
        <w:rPr>
          <w:rFonts w:cstheme="minorHAnsi"/>
          <w:sz w:val="24"/>
          <w:szCs w:val="24"/>
        </w:rPr>
      </w:pPr>
    </w:p>
    <w:p w14:paraId="497532E3" w14:textId="77777777" w:rsidR="00F106C6" w:rsidRDefault="00F106C6" w:rsidP="007E7A8D">
      <w:pPr>
        <w:spacing w:after="0" w:line="480" w:lineRule="auto"/>
        <w:jc w:val="center"/>
        <w:rPr>
          <w:rFonts w:cstheme="minorHAnsi"/>
          <w:sz w:val="24"/>
          <w:szCs w:val="24"/>
        </w:rPr>
      </w:pPr>
    </w:p>
    <w:p w14:paraId="302DF8DF" w14:textId="77777777" w:rsidR="00F106C6" w:rsidRDefault="00F106C6" w:rsidP="007E7A8D">
      <w:pPr>
        <w:spacing w:after="0" w:line="480" w:lineRule="auto"/>
        <w:jc w:val="center"/>
        <w:rPr>
          <w:rFonts w:cstheme="minorHAnsi"/>
          <w:sz w:val="24"/>
          <w:szCs w:val="24"/>
        </w:rPr>
      </w:pPr>
    </w:p>
    <w:p w14:paraId="6EB144A5" w14:textId="77777777" w:rsidR="00F106C6" w:rsidRDefault="00F106C6" w:rsidP="007E7A8D">
      <w:pPr>
        <w:spacing w:after="0" w:line="480" w:lineRule="auto"/>
        <w:jc w:val="center"/>
        <w:rPr>
          <w:rFonts w:cstheme="minorHAnsi"/>
          <w:sz w:val="24"/>
          <w:szCs w:val="24"/>
        </w:rPr>
      </w:pPr>
    </w:p>
    <w:p w14:paraId="21A372A4" w14:textId="77777777" w:rsidR="00C44632" w:rsidRDefault="00C44632" w:rsidP="007E7A8D">
      <w:pPr>
        <w:spacing w:after="0" w:line="480" w:lineRule="auto"/>
        <w:jc w:val="center"/>
        <w:rPr>
          <w:rFonts w:cstheme="minorHAnsi"/>
          <w:sz w:val="24"/>
          <w:szCs w:val="24"/>
        </w:rPr>
      </w:pPr>
      <w:r>
        <w:rPr>
          <w:rFonts w:cstheme="minorHAnsi"/>
          <w:sz w:val="24"/>
          <w:szCs w:val="24"/>
        </w:rPr>
        <w:lastRenderedPageBreak/>
        <w:t>ABSTRACT</w:t>
      </w:r>
    </w:p>
    <w:p w14:paraId="1671CB6E" w14:textId="77777777" w:rsidR="00C44632" w:rsidRDefault="00C44632" w:rsidP="00C44632">
      <w:pPr>
        <w:spacing w:after="0" w:line="480" w:lineRule="auto"/>
        <w:rPr>
          <w:rFonts w:cstheme="minorHAnsi"/>
          <w:sz w:val="24"/>
          <w:szCs w:val="24"/>
        </w:rPr>
      </w:pPr>
    </w:p>
    <w:p w14:paraId="26960A3D" w14:textId="77777777" w:rsidR="00C44632" w:rsidRPr="00E01F35" w:rsidRDefault="0082140C" w:rsidP="00C44632">
      <w:pPr>
        <w:spacing w:after="0" w:line="480" w:lineRule="auto"/>
        <w:rPr>
          <w:rFonts w:eastAsia="Times New Roman" w:cstheme="minorHAnsi"/>
          <w:sz w:val="24"/>
          <w:szCs w:val="24"/>
          <w:lang w:eastAsia="en-AU"/>
        </w:rPr>
      </w:pPr>
      <w:r>
        <w:rPr>
          <w:rFonts w:cstheme="minorHAnsi"/>
          <w:sz w:val="24"/>
          <w:szCs w:val="24"/>
        </w:rPr>
        <w:t xml:space="preserve">Contemporary discussions of the relationship between negligence liability and the provision of services by both public and private organisations frequently advert to the emergence of a ‘compensation culture’. </w:t>
      </w:r>
      <w:r w:rsidR="00C44632">
        <w:rPr>
          <w:rFonts w:cstheme="minorHAnsi"/>
          <w:sz w:val="24"/>
          <w:szCs w:val="24"/>
        </w:rPr>
        <w:t>D</w:t>
      </w:r>
      <w:r w:rsidR="00C44632" w:rsidRPr="00185946">
        <w:rPr>
          <w:rFonts w:eastAsia="Times New Roman" w:cstheme="minorHAnsi"/>
          <w:sz w:val="24"/>
          <w:szCs w:val="24"/>
          <w:lang w:eastAsia="en-AU"/>
        </w:rPr>
        <w:t>espite empirical evidence that compensation culture claims are somewhat inflated</w:t>
      </w:r>
      <w:r w:rsidR="00C44632">
        <w:rPr>
          <w:rFonts w:eastAsia="Times New Roman" w:cstheme="minorHAnsi"/>
          <w:sz w:val="24"/>
          <w:szCs w:val="24"/>
          <w:lang w:eastAsia="en-AU"/>
        </w:rPr>
        <w:t>,</w:t>
      </w:r>
      <w:r w:rsidR="00C44632" w:rsidRPr="00185946">
        <w:rPr>
          <w:rFonts w:eastAsia="Times New Roman" w:cstheme="minorHAnsi"/>
          <w:sz w:val="24"/>
          <w:szCs w:val="24"/>
          <w:lang w:eastAsia="en-AU"/>
        </w:rPr>
        <w:t xml:space="preserve"> an anxiety persists that risks of </w:t>
      </w:r>
      <w:r w:rsidR="00E01F35">
        <w:rPr>
          <w:rFonts w:eastAsia="Times New Roman" w:cstheme="minorHAnsi"/>
          <w:sz w:val="24"/>
          <w:szCs w:val="24"/>
          <w:lang w:eastAsia="en-AU"/>
        </w:rPr>
        <w:t xml:space="preserve">tortious </w:t>
      </w:r>
      <w:r w:rsidR="00C44632" w:rsidRPr="00185946">
        <w:rPr>
          <w:rFonts w:eastAsia="Times New Roman" w:cstheme="minorHAnsi"/>
          <w:sz w:val="24"/>
          <w:szCs w:val="24"/>
          <w:lang w:eastAsia="en-AU"/>
        </w:rPr>
        <w:t>liability may still undermine the implementation of public policy. Concerns about the potential negative effects of liability on public administration frame the problem in various ways: first</w:t>
      </w:r>
      <w:r w:rsidR="00E01F35">
        <w:rPr>
          <w:rFonts w:eastAsia="Times New Roman" w:cstheme="minorHAnsi"/>
          <w:sz w:val="24"/>
          <w:szCs w:val="24"/>
          <w:lang w:eastAsia="en-AU"/>
        </w:rPr>
        <w:t>,</w:t>
      </w:r>
      <w:r w:rsidR="00C44632" w:rsidRPr="00185946">
        <w:rPr>
          <w:rFonts w:eastAsia="Times New Roman" w:cstheme="minorHAnsi"/>
          <w:sz w:val="24"/>
          <w:szCs w:val="24"/>
          <w:lang w:eastAsia="en-AU"/>
        </w:rPr>
        <w:t xml:space="preserve"> there is an anxiety that public authorities may over-react to liability risks by becoming excessively risk averse. Second, there is a fear that compensation claiming will </w:t>
      </w:r>
      <w:r w:rsidR="00E01F35">
        <w:rPr>
          <w:rFonts w:eastAsia="Times New Roman" w:cstheme="minorHAnsi"/>
          <w:sz w:val="24"/>
          <w:szCs w:val="24"/>
          <w:lang w:eastAsia="en-AU"/>
        </w:rPr>
        <w:t>divert</w:t>
      </w:r>
      <w:r w:rsidR="00C44632" w:rsidRPr="00185946">
        <w:rPr>
          <w:rFonts w:eastAsia="Times New Roman" w:cstheme="minorHAnsi"/>
          <w:sz w:val="24"/>
          <w:szCs w:val="24"/>
          <w:lang w:eastAsia="en-AU"/>
        </w:rPr>
        <w:t xml:space="preserve"> financial resources away from service delivery and towards the payment of insurance premiums and compensation awards. Third, there is the fear that insurance companies will, as ‘risk bullies’, curtail </w:t>
      </w:r>
      <w:r w:rsidR="00C44632">
        <w:rPr>
          <w:rFonts w:eastAsia="Times New Roman" w:cstheme="minorHAnsi"/>
          <w:sz w:val="24"/>
          <w:szCs w:val="24"/>
          <w:lang w:eastAsia="en-AU"/>
        </w:rPr>
        <w:t>public service activities</w:t>
      </w:r>
      <w:r w:rsidR="00C44632" w:rsidRPr="00185946">
        <w:rPr>
          <w:rFonts w:eastAsia="Times New Roman" w:cstheme="minorHAnsi"/>
          <w:sz w:val="24"/>
          <w:szCs w:val="24"/>
          <w:lang w:eastAsia="en-AU"/>
        </w:rPr>
        <w:t>. And, finally, there is the suggestion that risk management, including legal risk management, is becoming the dominant mode of government decision-making to the exclusion of professional judgement.</w:t>
      </w:r>
      <w:r w:rsidR="00E01F35">
        <w:rPr>
          <w:rFonts w:eastAsia="Times New Roman" w:cstheme="minorHAnsi"/>
          <w:sz w:val="24"/>
          <w:szCs w:val="24"/>
          <w:lang w:eastAsia="en-AU"/>
        </w:rPr>
        <w:t xml:space="preserve"> This article </w:t>
      </w:r>
      <w:r w:rsidR="00E01F35" w:rsidRPr="00185946">
        <w:rPr>
          <w:rFonts w:eastAsia="Times New Roman" w:cstheme="minorHAnsi"/>
          <w:sz w:val="24"/>
          <w:szCs w:val="24"/>
          <w:lang w:eastAsia="en-AU"/>
        </w:rPr>
        <w:t>addresses the</w:t>
      </w:r>
      <w:r w:rsidR="00E01F35">
        <w:rPr>
          <w:rFonts w:eastAsia="Times New Roman" w:cstheme="minorHAnsi"/>
          <w:sz w:val="24"/>
          <w:szCs w:val="24"/>
          <w:lang w:eastAsia="en-AU"/>
        </w:rPr>
        <w:t xml:space="preserve">se concerns </w:t>
      </w:r>
      <w:r w:rsidR="00E01F35" w:rsidRPr="00185946">
        <w:rPr>
          <w:rFonts w:eastAsia="Times New Roman" w:cstheme="minorHAnsi"/>
          <w:sz w:val="24"/>
          <w:szCs w:val="24"/>
          <w:lang w:eastAsia="en-AU"/>
        </w:rPr>
        <w:t xml:space="preserve">through a set of </w:t>
      </w:r>
      <w:r w:rsidR="00E01F35">
        <w:rPr>
          <w:rFonts w:cstheme="minorHAnsi"/>
          <w:sz w:val="24"/>
          <w:szCs w:val="24"/>
        </w:rPr>
        <w:t>empirical</w:t>
      </w:r>
      <w:r w:rsidR="00E01F35" w:rsidRPr="00185946">
        <w:rPr>
          <w:rFonts w:cstheme="minorHAnsi"/>
          <w:sz w:val="24"/>
          <w:szCs w:val="24"/>
        </w:rPr>
        <w:t xml:space="preserve"> </w:t>
      </w:r>
      <w:r w:rsidR="00E01F35" w:rsidRPr="00185946">
        <w:rPr>
          <w:rFonts w:eastAsia="Times New Roman" w:cstheme="minorHAnsi"/>
          <w:sz w:val="24"/>
          <w:szCs w:val="24"/>
          <w:lang w:eastAsia="en-AU"/>
        </w:rPr>
        <w:t xml:space="preserve">case studies </w:t>
      </w:r>
      <w:r w:rsidR="00E01F35">
        <w:rPr>
          <w:rFonts w:eastAsia="Times New Roman" w:cstheme="minorHAnsi"/>
          <w:sz w:val="24"/>
          <w:szCs w:val="24"/>
          <w:lang w:eastAsia="en-AU"/>
        </w:rPr>
        <w:t xml:space="preserve">about </w:t>
      </w:r>
      <w:r w:rsidR="00E53CD9">
        <w:rPr>
          <w:rFonts w:cstheme="minorHAnsi"/>
          <w:sz w:val="24"/>
          <w:szCs w:val="24"/>
        </w:rPr>
        <w:t>the</w:t>
      </w:r>
      <w:r w:rsidR="00E01F35" w:rsidRPr="00185946">
        <w:rPr>
          <w:rFonts w:cstheme="minorHAnsi"/>
          <w:sz w:val="24"/>
          <w:szCs w:val="24"/>
        </w:rPr>
        <w:t xml:space="preserve"> </w:t>
      </w:r>
      <w:r w:rsidR="00E01F35">
        <w:rPr>
          <w:rFonts w:cstheme="minorHAnsi"/>
          <w:sz w:val="24"/>
          <w:szCs w:val="24"/>
        </w:rPr>
        <w:t>management of</w:t>
      </w:r>
      <w:r w:rsidR="00E01F35" w:rsidRPr="00185946">
        <w:rPr>
          <w:rFonts w:cstheme="minorHAnsi"/>
          <w:sz w:val="24"/>
          <w:szCs w:val="24"/>
        </w:rPr>
        <w:t xml:space="preserve"> liability risks associated </w:t>
      </w:r>
      <w:r w:rsidR="00E01F35">
        <w:rPr>
          <w:rFonts w:cstheme="minorHAnsi"/>
          <w:sz w:val="24"/>
          <w:szCs w:val="24"/>
        </w:rPr>
        <w:t>with road</w:t>
      </w:r>
      <w:r w:rsidR="00E01F35" w:rsidRPr="00185946">
        <w:rPr>
          <w:rFonts w:cstheme="minorHAnsi"/>
          <w:sz w:val="24"/>
          <w:szCs w:val="24"/>
        </w:rPr>
        <w:t xml:space="preserve"> maintenance</w:t>
      </w:r>
      <w:r w:rsidR="00E53CD9">
        <w:rPr>
          <w:rFonts w:cstheme="minorHAnsi"/>
          <w:sz w:val="24"/>
          <w:szCs w:val="24"/>
        </w:rPr>
        <w:t xml:space="preserve"> services</w:t>
      </w:r>
      <w:r w:rsidR="00E01F35" w:rsidRPr="00185946">
        <w:rPr>
          <w:rFonts w:cstheme="minorHAnsi"/>
          <w:sz w:val="24"/>
          <w:szCs w:val="24"/>
        </w:rPr>
        <w:t>.</w:t>
      </w:r>
      <w:r w:rsidR="00E01F35">
        <w:rPr>
          <w:rFonts w:cstheme="minorHAnsi"/>
          <w:sz w:val="24"/>
          <w:szCs w:val="24"/>
        </w:rPr>
        <w:t xml:space="preserve"> Although our</w:t>
      </w:r>
      <w:r w:rsidR="00E01F35" w:rsidRPr="00185946">
        <w:rPr>
          <w:rFonts w:cstheme="minorHAnsi"/>
          <w:sz w:val="24"/>
          <w:szCs w:val="24"/>
        </w:rPr>
        <w:t xml:space="preserve"> findings suggest that public authorities respond to liability risks in a variety of ways</w:t>
      </w:r>
      <w:r w:rsidR="00E01F35">
        <w:rPr>
          <w:rFonts w:cstheme="minorHAnsi"/>
          <w:sz w:val="24"/>
          <w:szCs w:val="24"/>
        </w:rPr>
        <w:t>,</w:t>
      </w:r>
      <w:r w:rsidR="00E01F35" w:rsidRPr="00185946">
        <w:rPr>
          <w:rFonts w:cstheme="minorHAnsi"/>
          <w:sz w:val="24"/>
          <w:szCs w:val="24"/>
        </w:rPr>
        <w:t xml:space="preserve"> we found only limited evidence of the </w:t>
      </w:r>
      <w:r w:rsidR="00E53CD9">
        <w:rPr>
          <w:rFonts w:cstheme="minorHAnsi"/>
          <w:sz w:val="24"/>
          <w:szCs w:val="24"/>
        </w:rPr>
        <w:t xml:space="preserve">above </w:t>
      </w:r>
      <w:r w:rsidR="00E01F35" w:rsidRPr="00185946">
        <w:rPr>
          <w:rFonts w:cstheme="minorHAnsi"/>
          <w:sz w:val="24"/>
          <w:szCs w:val="24"/>
        </w:rPr>
        <w:t>concerns.</w:t>
      </w:r>
      <w:r w:rsidR="00E01F35">
        <w:rPr>
          <w:rFonts w:cstheme="minorHAnsi"/>
          <w:sz w:val="24"/>
          <w:szCs w:val="24"/>
        </w:rPr>
        <w:t xml:space="preserve"> In general terms, it was a case of public authorities being risk aware and responsive as opposed to risk averse.</w:t>
      </w:r>
    </w:p>
    <w:p w14:paraId="65138061" w14:textId="77777777" w:rsidR="00F236D6" w:rsidRPr="004350D8" w:rsidRDefault="00F236D6" w:rsidP="007E7A8D">
      <w:pPr>
        <w:spacing w:after="0" w:line="480" w:lineRule="auto"/>
        <w:jc w:val="center"/>
        <w:rPr>
          <w:rFonts w:cstheme="minorHAnsi"/>
          <w:sz w:val="24"/>
          <w:szCs w:val="24"/>
        </w:rPr>
      </w:pPr>
    </w:p>
    <w:p w14:paraId="3830E840" w14:textId="77777777" w:rsidR="00C44632" w:rsidRDefault="00C44632">
      <w:pPr>
        <w:rPr>
          <w:rFonts w:cstheme="minorHAnsi"/>
          <w:sz w:val="24"/>
          <w:szCs w:val="24"/>
        </w:rPr>
      </w:pPr>
      <w:r>
        <w:rPr>
          <w:rFonts w:cstheme="minorHAnsi"/>
          <w:sz w:val="24"/>
          <w:szCs w:val="24"/>
        </w:rPr>
        <w:br w:type="page"/>
      </w:r>
    </w:p>
    <w:p w14:paraId="474A9F04" w14:textId="77777777" w:rsidR="00853F3A" w:rsidRPr="009D52A4" w:rsidRDefault="00853F3A" w:rsidP="009D52A4">
      <w:pPr>
        <w:pStyle w:val="ListParagraph"/>
        <w:numPr>
          <w:ilvl w:val="0"/>
          <w:numId w:val="2"/>
        </w:numPr>
        <w:spacing w:after="0" w:line="480" w:lineRule="auto"/>
        <w:jc w:val="center"/>
        <w:rPr>
          <w:rFonts w:cstheme="minorHAnsi"/>
          <w:sz w:val="24"/>
          <w:szCs w:val="24"/>
        </w:rPr>
      </w:pPr>
      <w:r w:rsidRPr="009D52A4">
        <w:rPr>
          <w:rFonts w:cstheme="minorHAnsi"/>
          <w:sz w:val="24"/>
          <w:szCs w:val="24"/>
        </w:rPr>
        <w:lastRenderedPageBreak/>
        <w:t>INTRODUCTION</w:t>
      </w:r>
      <w:r w:rsidR="00EB3AE3" w:rsidRPr="009D52A4">
        <w:rPr>
          <w:rFonts w:cstheme="minorHAnsi"/>
          <w:sz w:val="24"/>
          <w:szCs w:val="24"/>
        </w:rPr>
        <w:t>*</w:t>
      </w:r>
    </w:p>
    <w:p w14:paraId="14C32609" w14:textId="77777777" w:rsidR="00185946" w:rsidRPr="00185946" w:rsidRDefault="00185946" w:rsidP="007E7A8D">
      <w:pPr>
        <w:spacing w:after="0" w:line="480" w:lineRule="auto"/>
        <w:rPr>
          <w:rFonts w:cstheme="minorHAnsi"/>
          <w:sz w:val="24"/>
          <w:szCs w:val="24"/>
        </w:rPr>
      </w:pPr>
    </w:p>
    <w:p w14:paraId="1D96E8FC" w14:textId="77777777" w:rsidR="00320020" w:rsidRPr="00185946" w:rsidRDefault="0082140C" w:rsidP="007E7A8D">
      <w:pPr>
        <w:spacing w:after="0" w:line="480" w:lineRule="auto"/>
        <w:rPr>
          <w:rFonts w:eastAsia="Times New Roman" w:cstheme="minorHAnsi"/>
          <w:sz w:val="24"/>
          <w:szCs w:val="24"/>
          <w:lang w:eastAsia="en-AU"/>
        </w:rPr>
      </w:pPr>
      <w:r>
        <w:rPr>
          <w:rFonts w:cstheme="minorHAnsi"/>
          <w:sz w:val="24"/>
          <w:szCs w:val="24"/>
        </w:rPr>
        <w:t xml:space="preserve">Contemporary discussions of the relationship </w:t>
      </w:r>
      <w:r w:rsidR="00C13071">
        <w:rPr>
          <w:rFonts w:cstheme="minorHAnsi"/>
          <w:sz w:val="24"/>
          <w:szCs w:val="24"/>
        </w:rPr>
        <w:t>between the</w:t>
      </w:r>
      <w:r>
        <w:rPr>
          <w:rFonts w:cstheme="minorHAnsi"/>
          <w:sz w:val="24"/>
          <w:szCs w:val="24"/>
        </w:rPr>
        <w:t xml:space="preserve"> law, and in particular negligence liability</w:t>
      </w:r>
      <w:r w:rsidR="00C13071">
        <w:rPr>
          <w:rFonts w:cstheme="minorHAnsi"/>
          <w:sz w:val="24"/>
          <w:szCs w:val="24"/>
        </w:rPr>
        <w:t>, and</w:t>
      </w:r>
      <w:r>
        <w:rPr>
          <w:rFonts w:cstheme="minorHAnsi"/>
          <w:sz w:val="24"/>
          <w:szCs w:val="24"/>
        </w:rPr>
        <w:t xml:space="preserve"> the provision of services by both public and private organisations frequently advert to the emergence of a ‘compensation culture’. </w:t>
      </w:r>
      <w:r w:rsidR="0068520B" w:rsidRPr="00185946">
        <w:rPr>
          <w:rFonts w:cstheme="minorHAnsi"/>
          <w:sz w:val="24"/>
          <w:szCs w:val="24"/>
        </w:rPr>
        <w:t xml:space="preserve">Media distortions of litigation rates and compensation awards contribute to an image </w:t>
      </w:r>
      <w:r w:rsidR="00E064E3" w:rsidRPr="00185946">
        <w:rPr>
          <w:rFonts w:cstheme="minorHAnsi"/>
          <w:sz w:val="24"/>
          <w:szCs w:val="24"/>
        </w:rPr>
        <w:t xml:space="preserve">of compensation claims spiralling out of control and </w:t>
      </w:r>
      <w:r w:rsidR="0068520B" w:rsidRPr="00185946">
        <w:rPr>
          <w:rFonts w:cstheme="minorHAnsi"/>
          <w:sz w:val="24"/>
          <w:szCs w:val="24"/>
        </w:rPr>
        <w:t xml:space="preserve">of </w:t>
      </w:r>
      <w:r w:rsidR="00F565D7" w:rsidRPr="00185946">
        <w:rPr>
          <w:rFonts w:cstheme="minorHAnsi"/>
          <w:sz w:val="24"/>
          <w:szCs w:val="24"/>
        </w:rPr>
        <w:t>the</w:t>
      </w:r>
      <w:r w:rsidR="0068520B" w:rsidRPr="00185946">
        <w:rPr>
          <w:rFonts w:cstheme="minorHAnsi"/>
          <w:sz w:val="24"/>
          <w:szCs w:val="24"/>
        </w:rPr>
        <w:t xml:space="preserve"> tort law </w:t>
      </w:r>
      <w:r w:rsidR="00F565D7" w:rsidRPr="00185946">
        <w:rPr>
          <w:rFonts w:cstheme="minorHAnsi"/>
          <w:sz w:val="24"/>
          <w:szCs w:val="24"/>
        </w:rPr>
        <w:t xml:space="preserve">system </w:t>
      </w:r>
      <w:r w:rsidR="0068520B" w:rsidRPr="00185946">
        <w:rPr>
          <w:rFonts w:cstheme="minorHAnsi"/>
          <w:sz w:val="24"/>
          <w:szCs w:val="24"/>
        </w:rPr>
        <w:t>being abused</w:t>
      </w:r>
      <w:r w:rsidR="00F565D7" w:rsidRPr="00185946">
        <w:rPr>
          <w:rFonts w:cstheme="minorHAnsi"/>
          <w:sz w:val="24"/>
          <w:szCs w:val="24"/>
        </w:rPr>
        <w:t>.</w:t>
      </w:r>
      <w:r w:rsidR="00740693">
        <w:rPr>
          <w:rStyle w:val="FootnoteReference"/>
          <w:rFonts w:cstheme="minorHAnsi"/>
          <w:sz w:val="24"/>
          <w:szCs w:val="24"/>
        </w:rPr>
        <w:footnoteReference w:id="1"/>
      </w:r>
      <w:r w:rsidR="00F565D7" w:rsidRPr="00185946">
        <w:rPr>
          <w:rFonts w:cstheme="minorHAnsi"/>
          <w:sz w:val="24"/>
          <w:szCs w:val="24"/>
        </w:rPr>
        <w:t xml:space="preserve"> </w:t>
      </w:r>
      <w:r w:rsidR="0068520B" w:rsidRPr="00185946">
        <w:rPr>
          <w:rFonts w:cstheme="minorHAnsi"/>
          <w:sz w:val="24"/>
          <w:szCs w:val="24"/>
        </w:rPr>
        <w:t xml:space="preserve">Public anxieties about the development of a compensation culture have also been fuelled by reports estimating that </w:t>
      </w:r>
      <w:r w:rsidR="001461C8" w:rsidRPr="00185946">
        <w:rPr>
          <w:rFonts w:cstheme="minorHAnsi"/>
          <w:sz w:val="24"/>
          <w:szCs w:val="24"/>
        </w:rPr>
        <w:t>its</w:t>
      </w:r>
      <w:r w:rsidR="0068520B" w:rsidRPr="00185946">
        <w:rPr>
          <w:rFonts w:cstheme="minorHAnsi"/>
          <w:sz w:val="24"/>
          <w:szCs w:val="24"/>
        </w:rPr>
        <w:t xml:space="preserve"> cost to society </w:t>
      </w:r>
      <w:r w:rsidR="00B47E03" w:rsidRPr="00185946">
        <w:rPr>
          <w:rFonts w:cstheme="minorHAnsi"/>
          <w:sz w:val="24"/>
          <w:szCs w:val="24"/>
        </w:rPr>
        <w:t>was</w:t>
      </w:r>
      <w:r w:rsidR="0068520B" w:rsidRPr="00185946">
        <w:rPr>
          <w:rFonts w:cstheme="minorHAnsi"/>
          <w:sz w:val="24"/>
          <w:szCs w:val="24"/>
        </w:rPr>
        <w:t xml:space="preserve"> around £10B each year for the UK</w:t>
      </w:r>
      <w:r w:rsidR="001021AD">
        <w:rPr>
          <w:rStyle w:val="FootnoteReference"/>
          <w:rFonts w:cstheme="minorHAnsi"/>
          <w:sz w:val="24"/>
          <w:szCs w:val="24"/>
        </w:rPr>
        <w:footnoteReference w:id="2"/>
      </w:r>
      <w:r w:rsidR="0068520B" w:rsidRPr="00185946">
        <w:rPr>
          <w:rFonts w:cstheme="minorHAnsi"/>
          <w:sz w:val="24"/>
          <w:szCs w:val="24"/>
        </w:rPr>
        <w:t xml:space="preserve"> and between IR£0.66 and 1.12B for Ireland.</w:t>
      </w:r>
      <w:r w:rsidR="00A74156">
        <w:rPr>
          <w:rStyle w:val="FootnoteReference"/>
          <w:rFonts w:cstheme="minorHAnsi"/>
          <w:sz w:val="24"/>
          <w:szCs w:val="24"/>
        </w:rPr>
        <w:footnoteReference w:id="3"/>
      </w:r>
      <w:r w:rsidR="0068520B" w:rsidRPr="00185946">
        <w:rPr>
          <w:rFonts w:cstheme="minorHAnsi"/>
          <w:sz w:val="24"/>
          <w:szCs w:val="24"/>
        </w:rPr>
        <w:t xml:space="preserve"> </w:t>
      </w:r>
      <w:r w:rsidR="00C93249" w:rsidRPr="00185946">
        <w:rPr>
          <w:rFonts w:cstheme="minorHAnsi"/>
          <w:sz w:val="24"/>
          <w:szCs w:val="24"/>
        </w:rPr>
        <w:t>Significantly, however, d</w:t>
      </w:r>
      <w:r w:rsidR="0068520B" w:rsidRPr="00185946">
        <w:rPr>
          <w:rFonts w:eastAsia="Times New Roman" w:cstheme="minorHAnsi"/>
          <w:sz w:val="24"/>
          <w:szCs w:val="24"/>
          <w:lang w:eastAsia="en-AU"/>
        </w:rPr>
        <w:t>espite empirical evidence that general compensation culture claims are somewhat inflated</w:t>
      </w:r>
      <w:r w:rsidR="007E7A8D">
        <w:rPr>
          <w:rFonts w:eastAsia="Times New Roman" w:cstheme="minorHAnsi"/>
          <w:sz w:val="24"/>
          <w:szCs w:val="24"/>
          <w:lang w:eastAsia="en-AU"/>
        </w:rPr>
        <w:t>,</w:t>
      </w:r>
      <w:r w:rsidR="007E7A8D">
        <w:rPr>
          <w:rStyle w:val="FootnoteReference"/>
          <w:rFonts w:eastAsia="Times New Roman" w:cstheme="minorHAnsi"/>
          <w:sz w:val="24"/>
          <w:szCs w:val="24"/>
          <w:lang w:eastAsia="en-AU"/>
        </w:rPr>
        <w:footnoteReference w:id="4"/>
      </w:r>
      <w:r w:rsidR="00320020" w:rsidRPr="00185946">
        <w:rPr>
          <w:rFonts w:eastAsia="Times New Roman" w:cstheme="minorHAnsi"/>
          <w:sz w:val="24"/>
          <w:szCs w:val="24"/>
          <w:lang w:eastAsia="en-AU"/>
        </w:rPr>
        <w:t xml:space="preserve"> an anxiety persists that risks of </w:t>
      </w:r>
      <w:r w:rsidR="00E01F35">
        <w:rPr>
          <w:rFonts w:eastAsia="Times New Roman" w:cstheme="minorHAnsi"/>
          <w:sz w:val="24"/>
          <w:szCs w:val="24"/>
          <w:lang w:eastAsia="en-AU"/>
        </w:rPr>
        <w:t xml:space="preserve">tortious </w:t>
      </w:r>
      <w:r w:rsidR="00320020" w:rsidRPr="00185946">
        <w:rPr>
          <w:rFonts w:eastAsia="Times New Roman" w:cstheme="minorHAnsi"/>
          <w:sz w:val="24"/>
          <w:szCs w:val="24"/>
          <w:lang w:eastAsia="en-AU"/>
        </w:rPr>
        <w:t>liability may still undermine the implementation</w:t>
      </w:r>
      <w:r w:rsidR="00AB1606" w:rsidRPr="00185946">
        <w:rPr>
          <w:rFonts w:eastAsia="Times New Roman" w:cstheme="minorHAnsi"/>
          <w:sz w:val="24"/>
          <w:szCs w:val="24"/>
          <w:lang w:eastAsia="en-AU"/>
        </w:rPr>
        <w:t xml:space="preserve"> of</w:t>
      </w:r>
      <w:r w:rsidR="00320020" w:rsidRPr="00185946">
        <w:rPr>
          <w:rFonts w:eastAsia="Times New Roman" w:cstheme="minorHAnsi"/>
          <w:sz w:val="24"/>
          <w:szCs w:val="24"/>
          <w:lang w:eastAsia="en-AU"/>
        </w:rPr>
        <w:t xml:space="preserve"> public policy.</w:t>
      </w:r>
      <w:r w:rsidR="001461C8" w:rsidRPr="00185946">
        <w:rPr>
          <w:rFonts w:eastAsia="Times New Roman" w:cstheme="minorHAnsi"/>
          <w:sz w:val="24"/>
          <w:szCs w:val="24"/>
          <w:lang w:eastAsia="en-AU"/>
        </w:rPr>
        <w:t xml:space="preserve"> </w:t>
      </w:r>
    </w:p>
    <w:p w14:paraId="4174CA7D" w14:textId="77777777" w:rsidR="00320020" w:rsidRPr="00185946" w:rsidRDefault="00320020" w:rsidP="007E7A8D">
      <w:pPr>
        <w:spacing w:after="0" w:line="480" w:lineRule="auto"/>
        <w:ind w:firstLine="720"/>
        <w:rPr>
          <w:rFonts w:eastAsia="Times New Roman" w:cstheme="minorHAnsi"/>
          <w:sz w:val="24"/>
          <w:szCs w:val="24"/>
          <w:lang w:eastAsia="en-AU"/>
        </w:rPr>
      </w:pPr>
      <w:r w:rsidRPr="00185946">
        <w:rPr>
          <w:rFonts w:eastAsia="Times New Roman" w:cstheme="minorHAnsi"/>
          <w:sz w:val="24"/>
          <w:szCs w:val="24"/>
          <w:lang w:eastAsia="en-AU"/>
        </w:rPr>
        <w:t>Concerns about the potential negative effects of liability</w:t>
      </w:r>
      <w:r w:rsidR="001461C8" w:rsidRPr="00185946">
        <w:rPr>
          <w:rFonts w:eastAsia="Times New Roman" w:cstheme="minorHAnsi"/>
          <w:sz w:val="24"/>
          <w:szCs w:val="24"/>
          <w:lang w:eastAsia="en-AU"/>
        </w:rPr>
        <w:t xml:space="preserve"> on public administration are diverse and frame the problem in various ways</w:t>
      </w:r>
      <w:r w:rsidR="007409E6" w:rsidRPr="00185946">
        <w:rPr>
          <w:rFonts w:eastAsia="Times New Roman" w:cstheme="minorHAnsi"/>
          <w:sz w:val="24"/>
          <w:szCs w:val="24"/>
          <w:lang w:eastAsia="en-AU"/>
        </w:rPr>
        <w:t>: first</w:t>
      </w:r>
      <w:r w:rsidR="00E01F35">
        <w:rPr>
          <w:rFonts w:eastAsia="Times New Roman" w:cstheme="minorHAnsi"/>
          <w:sz w:val="24"/>
          <w:szCs w:val="24"/>
          <w:lang w:eastAsia="en-AU"/>
        </w:rPr>
        <w:t>,</w:t>
      </w:r>
      <w:r w:rsidR="00A459A2" w:rsidRPr="00185946">
        <w:rPr>
          <w:rFonts w:eastAsia="Times New Roman" w:cstheme="minorHAnsi"/>
          <w:sz w:val="24"/>
          <w:szCs w:val="24"/>
          <w:lang w:eastAsia="en-AU"/>
        </w:rPr>
        <w:t xml:space="preserve"> there is an anxiety that public authorities may over-react to liability risks by becoming excessively risk averse in their management of public services</w:t>
      </w:r>
      <w:r w:rsidRPr="00185946">
        <w:rPr>
          <w:rFonts w:eastAsia="Times New Roman" w:cstheme="minorHAnsi"/>
          <w:sz w:val="24"/>
          <w:szCs w:val="24"/>
          <w:lang w:eastAsia="en-AU"/>
        </w:rPr>
        <w:t>.</w:t>
      </w:r>
      <w:r w:rsidR="007E7A8D">
        <w:rPr>
          <w:rStyle w:val="FootnoteReference"/>
          <w:rFonts w:eastAsia="Times New Roman" w:cstheme="minorHAnsi"/>
          <w:sz w:val="24"/>
          <w:szCs w:val="24"/>
          <w:lang w:eastAsia="en-AU"/>
        </w:rPr>
        <w:footnoteReference w:id="5"/>
      </w:r>
      <w:r w:rsidRPr="00185946">
        <w:rPr>
          <w:rFonts w:eastAsia="Times New Roman" w:cstheme="minorHAnsi"/>
          <w:sz w:val="24"/>
          <w:szCs w:val="24"/>
          <w:lang w:eastAsia="en-AU"/>
        </w:rPr>
        <w:t xml:space="preserve"> Second, there </w:t>
      </w:r>
      <w:r w:rsidR="00A459A2" w:rsidRPr="00185946">
        <w:rPr>
          <w:rFonts w:eastAsia="Times New Roman" w:cstheme="minorHAnsi"/>
          <w:sz w:val="24"/>
          <w:szCs w:val="24"/>
          <w:lang w:eastAsia="en-AU"/>
        </w:rPr>
        <w:t>is a fear</w:t>
      </w:r>
      <w:r w:rsidRPr="00185946">
        <w:rPr>
          <w:rFonts w:eastAsia="Times New Roman" w:cstheme="minorHAnsi"/>
          <w:sz w:val="24"/>
          <w:szCs w:val="24"/>
          <w:lang w:eastAsia="en-AU"/>
        </w:rPr>
        <w:t xml:space="preserve"> that compensation claiming will </w:t>
      </w:r>
      <w:r w:rsidRPr="00185946">
        <w:rPr>
          <w:rFonts w:eastAsia="Times New Roman" w:cstheme="minorHAnsi"/>
          <w:sz w:val="24"/>
          <w:szCs w:val="24"/>
          <w:lang w:eastAsia="en-AU"/>
        </w:rPr>
        <w:lastRenderedPageBreak/>
        <w:t xml:space="preserve">undermine public policy by diverting financial resources </w:t>
      </w:r>
      <w:r w:rsidR="00A459A2" w:rsidRPr="00185946">
        <w:rPr>
          <w:rFonts w:eastAsia="Times New Roman" w:cstheme="minorHAnsi"/>
          <w:sz w:val="24"/>
          <w:szCs w:val="24"/>
          <w:lang w:eastAsia="en-AU"/>
        </w:rPr>
        <w:t xml:space="preserve">away from service delivery and </w:t>
      </w:r>
      <w:r w:rsidRPr="00185946">
        <w:rPr>
          <w:rFonts w:eastAsia="Times New Roman" w:cstheme="minorHAnsi"/>
          <w:sz w:val="24"/>
          <w:szCs w:val="24"/>
          <w:lang w:eastAsia="en-AU"/>
        </w:rPr>
        <w:t xml:space="preserve">towards the payment of insurance </w:t>
      </w:r>
      <w:r w:rsidR="001461C8" w:rsidRPr="00185946">
        <w:rPr>
          <w:rFonts w:eastAsia="Times New Roman" w:cstheme="minorHAnsi"/>
          <w:sz w:val="24"/>
          <w:szCs w:val="24"/>
          <w:lang w:eastAsia="en-AU"/>
        </w:rPr>
        <w:t xml:space="preserve">premiums </w:t>
      </w:r>
      <w:r w:rsidR="00A801D3" w:rsidRPr="00185946">
        <w:rPr>
          <w:rFonts w:eastAsia="Times New Roman" w:cstheme="minorHAnsi"/>
          <w:sz w:val="24"/>
          <w:szCs w:val="24"/>
          <w:lang w:eastAsia="en-AU"/>
        </w:rPr>
        <w:t>and compensation awards</w:t>
      </w:r>
      <w:r w:rsidR="00A459A2" w:rsidRPr="00185946">
        <w:rPr>
          <w:rFonts w:eastAsia="Times New Roman" w:cstheme="minorHAnsi"/>
          <w:sz w:val="24"/>
          <w:szCs w:val="24"/>
          <w:lang w:eastAsia="en-AU"/>
        </w:rPr>
        <w:t>.</w:t>
      </w:r>
      <w:r w:rsidR="009005C5">
        <w:rPr>
          <w:rStyle w:val="FootnoteReference"/>
          <w:rFonts w:eastAsia="Times New Roman" w:cstheme="minorHAnsi"/>
          <w:sz w:val="24"/>
          <w:szCs w:val="24"/>
          <w:lang w:eastAsia="en-AU"/>
        </w:rPr>
        <w:footnoteReference w:id="6"/>
      </w:r>
      <w:r w:rsidR="00A459A2" w:rsidRPr="00185946">
        <w:rPr>
          <w:rFonts w:eastAsia="Times New Roman" w:cstheme="minorHAnsi"/>
          <w:sz w:val="24"/>
          <w:szCs w:val="24"/>
          <w:lang w:eastAsia="en-AU"/>
        </w:rPr>
        <w:t xml:space="preserve"> Third, </w:t>
      </w:r>
      <w:r w:rsidR="003C6D65" w:rsidRPr="00185946">
        <w:rPr>
          <w:rFonts w:eastAsia="Times New Roman" w:cstheme="minorHAnsi"/>
          <w:sz w:val="24"/>
          <w:szCs w:val="24"/>
          <w:lang w:eastAsia="en-AU"/>
        </w:rPr>
        <w:t xml:space="preserve">there is the fear that private insurance companies will, as ‘risk bullies’, effectively become private regulators of public authorities and curtail </w:t>
      </w:r>
      <w:r w:rsidR="008355AE">
        <w:rPr>
          <w:rFonts w:eastAsia="Times New Roman" w:cstheme="minorHAnsi"/>
          <w:sz w:val="24"/>
          <w:szCs w:val="24"/>
          <w:lang w:eastAsia="en-AU"/>
        </w:rPr>
        <w:t>certain public service activities</w:t>
      </w:r>
      <w:r w:rsidR="003C6D65" w:rsidRPr="00185946">
        <w:rPr>
          <w:rFonts w:eastAsia="Times New Roman" w:cstheme="minorHAnsi"/>
          <w:sz w:val="24"/>
          <w:szCs w:val="24"/>
          <w:lang w:eastAsia="en-AU"/>
        </w:rPr>
        <w:t>.</w:t>
      </w:r>
      <w:r w:rsidR="0046566F">
        <w:rPr>
          <w:rStyle w:val="FootnoteReference"/>
          <w:rFonts w:eastAsia="Times New Roman" w:cstheme="minorHAnsi"/>
          <w:sz w:val="24"/>
          <w:szCs w:val="24"/>
          <w:lang w:eastAsia="en-AU"/>
        </w:rPr>
        <w:footnoteReference w:id="7"/>
      </w:r>
      <w:r w:rsidR="003C6D65" w:rsidRPr="00185946">
        <w:rPr>
          <w:rFonts w:eastAsia="Times New Roman" w:cstheme="minorHAnsi"/>
          <w:sz w:val="24"/>
          <w:szCs w:val="24"/>
          <w:lang w:eastAsia="en-AU"/>
        </w:rPr>
        <w:t xml:space="preserve"> And, finally, </w:t>
      </w:r>
      <w:r w:rsidR="00A459A2" w:rsidRPr="00185946">
        <w:rPr>
          <w:rFonts w:eastAsia="Times New Roman" w:cstheme="minorHAnsi"/>
          <w:sz w:val="24"/>
          <w:szCs w:val="24"/>
          <w:lang w:eastAsia="en-AU"/>
        </w:rPr>
        <w:t xml:space="preserve">there is the </w:t>
      </w:r>
      <w:r w:rsidR="00AB7E6D">
        <w:rPr>
          <w:rFonts w:eastAsia="Times New Roman" w:cstheme="minorHAnsi"/>
          <w:sz w:val="24"/>
          <w:szCs w:val="24"/>
          <w:lang w:eastAsia="en-AU"/>
        </w:rPr>
        <w:t>related</w:t>
      </w:r>
      <w:r w:rsidR="003C6D65" w:rsidRPr="00185946">
        <w:rPr>
          <w:rFonts w:eastAsia="Times New Roman" w:cstheme="minorHAnsi"/>
          <w:sz w:val="24"/>
          <w:szCs w:val="24"/>
          <w:lang w:eastAsia="en-AU"/>
        </w:rPr>
        <w:t xml:space="preserve"> </w:t>
      </w:r>
      <w:r w:rsidR="00A459A2" w:rsidRPr="00185946">
        <w:rPr>
          <w:rFonts w:eastAsia="Times New Roman" w:cstheme="minorHAnsi"/>
          <w:sz w:val="24"/>
          <w:szCs w:val="24"/>
          <w:lang w:eastAsia="en-AU"/>
        </w:rPr>
        <w:t>suggestion that risk management</w:t>
      </w:r>
      <w:r w:rsidR="00FD0042" w:rsidRPr="00185946">
        <w:rPr>
          <w:rFonts w:eastAsia="Times New Roman" w:cstheme="minorHAnsi"/>
          <w:sz w:val="24"/>
          <w:szCs w:val="24"/>
          <w:lang w:eastAsia="en-AU"/>
        </w:rPr>
        <w:t>, including legal risk management,</w:t>
      </w:r>
      <w:r w:rsidR="00A459A2" w:rsidRPr="00185946">
        <w:rPr>
          <w:rFonts w:eastAsia="Times New Roman" w:cstheme="minorHAnsi"/>
          <w:sz w:val="24"/>
          <w:szCs w:val="24"/>
          <w:lang w:eastAsia="en-AU"/>
        </w:rPr>
        <w:t xml:space="preserve"> is becoming the dominant </w:t>
      </w:r>
      <w:r w:rsidR="001461C8" w:rsidRPr="00185946">
        <w:rPr>
          <w:rFonts w:eastAsia="Times New Roman" w:cstheme="minorHAnsi"/>
          <w:sz w:val="24"/>
          <w:szCs w:val="24"/>
          <w:lang w:eastAsia="en-AU"/>
        </w:rPr>
        <w:t>mode</w:t>
      </w:r>
      <w:r w:rsidR="00A459A2" w:rsidRPr="00185946">
        <w:rPr>
          <w:rFonts w:eastAsia="Times New Roman" w:cstheme="minorHAnsi"/>
          <w:sz w:val="24"/>
          <w:szCs w:val="24"/>
          <w:lang w:eastAsia="en-AU"/>
        </w:rPr>
        <w:t xml:space="preserve"> of government decision-making to the exclusion of </w:t>
      </w:r>
      <w:r w:rsidR="005C1E64" w:rsidRPr="00185946">
        <w:rPr>
          <w:rFonts w:eastAsia="Times New Roman" w:cstheme="minorHAnsi"/>
          <w:sz w:val="24"/>
          <w:szCs w:val="24"/>
          <w:lang w:eastAsia="en-AU"/>
        </w:rPr>
        <w:t>professional judgement.</w:t>
      </w:r>
      <w:r w:rsidR="0046566F">
        <w:rPr>
          <w:rStyle w:val="FootnoteReference"/>
          <w:rFonts w:eastAsia="Times New Roman" w:cstheme="minorHAnsi"/>
          <w:sz w:val="24"/>
          <w:szCs w:val="24"/>
          <w:lang w:eastAsia="en-AU"/>
        </w:rPr>
        <w:footnoteReference w:id="8"/>
      </w:r>
    </w:p>
    <w:p w14:paraId="3888E711" w14:textId="77777777" w:rsidR="00382B44" w:rsidRPr="0045560D" w:rsidRDefault="00086AEC" w:rsidP="007E7A8D">
      <w:pPr>
        <w:spacing w:after="0" w:line="480" w:lineRule="auto"/>
        <w:ind w:firstLine="720"/>
        <w:rPr>
          <w:rFonts w:cstheme="minorHAnsi"/>
          <w:sz w:val="24"/>
          <w:szCs w:val="24"/>
        </w:rPr>
      </w:pPr>
      <w:r>
        <w:rPr>
          <w:rFonts w:eastAsia="Times New Roman" w:cstheme="minorHAnsi"/>
          <w:sz w:val="24"/>
          <w:szCs w:val="24"/>
          <w:lang w:eastAsia="en-AU"/>
        </w:rPr>
        <w:t xml:space="preserve">One of the difficulties faced by </w:t>
      </w:r>
      <w:r w:rsidR="00382B44">
        <w:rPr>
          <w:rFonts w:eastAsia="Times New Roman" w:cstheme="minorHAnsi"/>
          <w:sz w:val="24"/>
          <w:szCs w:val="24"/>
          <w:lang w:eastAsia="en-AU"/>
        </w:rPr>
        <w:t xml:space="preserve">UK </w:t>
      </w:r>
      <w:r w:rsidR="00395DC4">
        <w:rPr>
          <w:rFonts w:eastAsia="Times New Roman" w:cstheme="minorHAnsi"/>
          <w:sz w:val="24"/>
          <w:szCs w:val="24"/>
          <w:lang w:eastAsia="en-AU"/>
        </w:rPr>
        <w:t xml:space="preserve">and Irish </w:t>
      </w:r>
      <w:r>
        <w:rPr>
          <w:rFonts w:eastAsia="Times New Roman" w:cstheme="minorHAnsi"/>
          <w:sz w:val="24"/>
          <w:szCs w:val="24"/>
          <w:lang w:eastAsia="en-AU"/>
        </w:rPr>
        <w:t>scholars and policy-makers alike is that there is a dearth of empirical evidence about how public authorities manage the liability risks inherent in public service provision.</w:t>
      </w:r>
      <w:r w:rsidR="0046566F">
        <w:rPr>
          <w:rStyle w:val="FootnoteReference"/>
          <w:rFonts w:eastAsia="Times New Roman" w:cstheme="minorHAnsi"/>
          <w:sz w:val="24"/>
          <w:szCs w:val="24"/>
          <w:lang w:eastAsia="en-AU"/>
        </w:rPr>
        <w:footnoteReference w:id="9"/>
      </w:r>
      <w:r>
        <w:rPr>
          <w:rFonts w:eastAsia="Times New Roman" w:cstheme="minorHAnsi"/>
          <w:sz w:val="24"/>
          <w:szCs w:val="24"/>
          <w:lang w:eastAsia="en-AU"/>
        </w:rPr>
        <w:t xml:space="preserve"> </w:t>
      </w:r>
      <w:r w:rsidR="00520779">
        <w:rPr>
          <w:rFonts w:eastAsia="Times New Roman" w:cstheme="minorHAnsi"/>
          <w:sz w:val="24"/>
          <w:szCs w:val="24"/>
          <w:lang w:eastAsia="en-AU"/>
        </w:rPr>
        <w:t>The only major study</w:t>
      </w:r>
      <w:r w:rsidR="00C13071">
        <w:rPr>
          <w:rFonts w:eastAsia="Times New Roman" w:cstheme="minorHAnsi"/>
          <w:sz w:val="24"/>
          <w:szCs w:val="24"/>
          <w:lang w:eastAsia="en-AU"/>
        </w:rPr>
        <w:t xml:space="preserve"> </w:t>
      </w:r>
      <w:r w:rsidR="00520779">
        <w:rPr>
          <w:rFonts w:eastAsia="Times New Roman" w:cstheme="minorHAnsi"/>
          <w:sz w:val="24"/>
          <w:szCs w:val="24"/>
          <w:lang w:eastAsia="en-AU"/>
        </w:rPr>
        <w:t xml:space="preserve">of the impact of </w:t>
      </w:r>
      <w:r w:rsidR="00520779">
        <w:rPr>
          <w:rFonts w:cstheme="minorHAnsi"/>
          <w:sz w:val="24"/>
          <w:szCs w:val="24"/>
        </w:rPr>
        <w:t>liability</w:t>
      </w:r>
      <w:r w:rsidR="004A3727" w:rsidRPr="004A3727">
        <w:rPr>
          <w:rFonts w:cstheme="minorHAnsi"/>
          <w:sz w:val="24"/>
          <w:szCs w:val="24"/>
        </w:rPr>
        <w:t xml:space="preserve"> </w:t>
      </w:r>
      <w:r w:rsidR="004A3727">
        <w:rPr>
          <w:rFonts w:cstheme="minorHAnsi"/>
          <w:sz w:val="24"/>
          <w:szCs w:val="24"/>
        </w:rPr>
        <w:t>on public administration</w:t>
      </w:r>
      <w:r w:rsidR="00520779">
        <w:rPr>
          <w:rFonts w:cstheme="minorHAnsi"/>
          <w:sz w:val="24"/>
          <w:szCs w:val="24"/>
        </w:rPr>
        <w:t xml:space="preserve">, including </w:t>
      </w:r>
      <w:r w:rsidR="004A3727">
        <w:rPr>
          <w:rFonts w:cstheme="minorHAnsi"/>
          <w:sz w:val="24"/>
          <w:szCs w:val="24"/>
        </w:rPr>
        <w:t xml:space="preserve">the impact of liability in </w:t>
      </w:r>
      <w:r w:rsidR="00520779">
        <w:rPr>
          <w:rFonts w:cstheme="minorHAnsi"/>
          <w:sz w:val="24"/>
          <w:szCs w:val="24"/>
        </w:rPr>
        <w:t>negligence,</w:t>
      </w:r>
      <w:r w:rsidR="0082140C">
        <w:rPr>
          <w:rFonts w:eastAsia="Times New Roman" w:cstheme="minorHAnsi"/>
          <w:sz w:val="24"/>
          <w:szCs w:val="24"/>
          <w:lang w:eastAsia="en-AU"/>
        </w:rPr>
        <w:t xml:space="preserve"> by Charles Epp, </w:t>
      </w:r>
      <w:r w:rsidR="00382B44">
        <w:rPr>
          <w:rFonts w:cstheme="minorHAnsi"/>
          <w:sz w:val="24"/>
          <w:szCs w:val="24"/>
        </w:rPr>
        <w:t>focused mainly on the USA.</w:t>
      </w:r>
      <w:r w:rsidR="0046566F">
        <w:rPr>
          <w:rStyle w:val="FootnoteReference"/>
          <w:rFonts w:cstheme="minorHAnsi"/>
          <w:sz w:val="24"/>
          <w:szCs w:val="24"/>
        </w:rPr>
        <w:footnoteReference w:id="10"/>
      </w:r>
      <w:r w:rsidR="00382B44">
        <w:rPr>
          <w:rFonts w:cstheme="minorHAnsi"/>
          <w:sz w:val="24"/>
          <w:szCs w:val="24"/>
        </w:rPr>
        <w:t xml:space="preserve"> It</w:t>
      </w:r>
      <w:r w:rsidR="00520779">
        <w:rPr>
          <w:rFonts w:cstheme="minorHAnsi"/>
          <w:sz w:val="24"/>
          <w:szCs w:val="24"/>
        </w:rPr>
        <w:t xml:space="preserve"> concluded that an alliance of reform-minded public sector professional</w:t>
      </w:r>
      <w:r w:rsidR="008431E4">
        <w:rPr>
          <w:rFonts w:cstheme="minorHAnsi"/>
          <w:sz w:val="24"/>
          <w:szCs w:val="24"/>
        </w:rPr>
        <w:t xml:space="preserve"> networks</w:t>
      </w:r>
      <w:r w:rsidR="00520779">
        <w:rPr>
          <w:rFonts w:cstheme="minorHAnsi"/>
          <w:sz w:val="24"/>
          <w:szCs w:val="24"/>
        </w:rPr>
        <w:t xml:space="preserve"> and </w:t>
      </w:r>
      <w:r w:rsidR="0045560D">
        <w:rPr>
          <w:rFonts w:cstheme="minorHAnsi"/>
          <w:sz w:val="24"/>
          <w:szCs w:val="24"/>
        </w:rPr>
        <w:t xml:space="preserve">lawyers engaging in </w:t>
      </w:r>
      <w:r w:rsidR="00520779">
        <w:rPr>
          <w:rFonts w:cstheme="minorHAnsi"/>
          <w:sz w:val="24"/>
          <w:szCs w:val="24"/>
        </w:rPr>
        <w:t xml:space="preserve">rights activism brought about a policy framework of “legalized accountability” in the US, whereby public </w:t>
      </w:r>
      <w:r w:rsidR="004A3727">
        <w:rPr>
          <w:rFonts w:cstheme="minorHAnsi"/>
          <w:sz w:val="24"/>
          <w:szCs w:val="24"/>
        </w:rPr>
        <w:t>authorities</w:t>
      </w:r>
      <w:r w:rsidR="00520779">
        <w:rPr>
          <w:rFonts w:cstheme="minorHAnsi"/>
          <w:sz w:val="24"/>
          <w:szCs w:val="24"/>
        </w:rPr>
        <w:t xml:space="preserve"> internalised compliance with legal norms as a routine mentality of good policy and practice.</w:t>
      </w:r>
      <w:r w:rsidR="00520779" w:rsidRPr="00520779">
        <w:rPr>
          <w:rFonts w:cstheme="minorHAnsi"/>
          <w:sz w:val="24"/>
          <w:szCs w:val="24"/>
        </w:rPr>
        <w:t xml:space="preserve"> </w:t>
      </w:r>
      <w:r w:rsidR="0045560D">
        <w:rPr>
          <w:rFonts w:cstheme="minorHAnsi"/>
          <w:sz w:val="24"/>
          <w:szCs w:val="24"/>
        </w:rPr>
        <w:t xml:space="preserve">However, the extent to which </w:t>
      </w:r>
      <w:r w:rsidR="004A3727">
        <w:rPr>
          <w:rFonts w:cstheme="minorHAnsi"/>
          <w:sz w:val="24"/>
          <w:szCs w:val="24"/>
        </w:rPr>
        <w:t>Epp’s</w:t>
      </w:r>
      <w:r w:rsidR="0045560D">
        <w:rPr>
          <w:rFonts w:cstheme="minorHAnsi"/>
          <w:sz w:val="24"/>
          <w:szCs w:val="24"/>
        </w:rPr>
        <w:t xml:space="preserve"> findings are applicable </w:t>
      </w:r>
      <w:r w:rsidR="002E449F">
        <w:rPr>
          <w:rFonts w:cstheme="minorHAnsi"/>
          <w:sz w:val="24"/>
          <w:szCs w:val="24"/>
        </w:rPr>
        <w:t>outwith the USA</w:t>
      </w:r>
      <w:r w:rsidR="0045560D">
        <w:rPr>
          <w:rFonts w:cstheme="minorHAnsi"/>
          <w:sz w:val="24"/>
          <w:szCs w:val="24"/>
        </w:rPr>
        <w:t xml:space="preserve"> is open to question, </w:t>
      </w:r>
      <w:r w:rsidR="002E449F">
        <w:rPr>
          <w:rFonts w:cstheme="minorHAnsi"/>
          <w:sz w:val="24"/>
          <w:szCs w:val="24"/>
        </w:rPr>
        <w:t xml:space="preserve">not least because other jurisdictions, including Ireland and the UK, </w:t>
      </w:r>
      <w:r w:rsidR="00395DC4">
        <w:rPr>
          <w:rFonts w:cstheme="minorHAnsi"/>
          <w:sz w:val="24"/>
          <w:szCs w:val="24"/>
        </w:rPr>
        <w:t xml:space="preserve">have </w:t>
      </w:r>
      <w:r w:rsidR="0045560D">
        <w:rPr>
          <w:rFonts w:cstheme="minorHAnsi"/>
          <w:sz w:val="24"/>
          <w:szCs w:val="24"/>
        </w:rPr>
        <w:t xml:space="preserve">less of </w:t>
      </w:r>
      <w:r w:rsidR="00AB7E6D">
        <w:rPr>
          <w:rFonts w:cstheme="minorHAnsi"/>
          <w:sz w:val="24"/>
          <w:szCs w:val="24"/>
        </w:rPr>
        <w:t xml:space="preserve">a </w:t>
      </w:r>
      <w:r w:rsidR="0045560D" w:rsidRPr="0045560D">
        <w:rPr>
          <w:rFonts w:cstheme="minorHAnsi"/>
          <w:sz w:val="24"/>
          <w:szCs w:val="24"/>
        </w:rPr>
        <w:t xml:space="preserve">history </w:t>
      </w:r>
      <w:r w:rsidR="0045560D" w:rsidRPr="0045560D">
        <w:rPr>
          <w:rFonts w:eastAsia="Batang"/>
          <w:sz w:val="24"/>
          <w:szCs w:val="24"/>
        </w:rPr>
        <w:t xml:space="preserve">of tort law being used </w:t>
      </w:r>
      <w:r w:rsidR="0045560D" w:rsidRPr="0045560D">
        <w:rPr>
          <w:sz w:val="24"/>
          <w:szCs w:val="24"/>
        </w:rPr>
        <w:t>as a tactic of social activists seeking political change</w:t>
      </w:r>
      <w:r w:rsidR="0045560D">
        <w:rPr>
          <w:sz w:val="24"/>
          <w:szCs w:val="24"/>
        </w:rPr>
        <w:t>.</w:t>
      </w:r>
      <w:r w:rsidR="0046566F">
        <w:rPr>
          <w:rStyle w:val="FootnoteReference"/>
          <w:sz w:val="24"/>
          <w:szCs w:val="24"/>
        </w:rPr>
        <w:footnoteReference w:id="11"/>
      </w:r>
      <w:r w:rsidR="0045560D">
        <w:rPr>
          <w:sz w:val="24"/>
          <w:szCs w:val="24"/>
        </w:rPr>
        <w:t xml:space="preserve"> Indeed, in his </w:t>
      </w:r>
      <w:r w:rsidR="0045560D">
        <w:rPr>
          <w:sz w:val="24"/>
          <w:szCs w:val="24"/>
        </w:rPr>
        <w:lastRenderedPageBreak/>
        <w:t xml:space="preserve">comparative look at British policing, Epp found that his </w:t>
      </w:r>
      <w:r w:rsidR="0045560D">
        <w:rPr>
          <w:rFonts w:cstheme="minorHAnsi"/>
          <w:sz w:val="24"/>
          <w:szCs w:val="24"/>
        </w:rPr>
        <w:t>model of legalized accountability was less evident.</w:t>
      </w:r>
      <w:r w:rsidR="008C5358">
        <w:rPr>
          <w:rStyle w:val="FootnoteReference"/>
          <w:rFonts w:cstheme="minorHAnsi"/>
          <w:sz w:val="24"/>
          <w:szCs w:val="24"/>
        </w:rPr>
        <w:footnoteReference w:id="12"/>
      </w:r>
      <w:r w:rsidR="00395DC4">
        <w:rPr>
          <w:rFonts w:cstheme="minorHAnsi"/>
          <w:sz w:val="24"/>
          <w:szCs w:val="24"/>
        </w:rPr>
        <w:t xml:space="preserve"> Further, </w:t>
      </w:r>
      <w:r w:rsidR="002E449F">
        <w:rPr>
          <w:rFonts w:cstheme="minorHAnsi"/>
          <w:sz w:val="24"/>
          <w:szCs w:val="24"/>
        </w:rPr>
        <w:t xml:space="preserve">despite the significance of Epp’s work, </w:t>
      </w:r>
      <w:r w:rsidR="00395DC4">
        <w:rPr>
          <w:rFonts w:cstheme="minorHAnsi"/>
          <w:sz w:val="24"/>
          <w:szCs w:val="24"/>
        </w:rPr>
        <w:t xml:space="preserve">the scope and design of </w:t>
      </w:r>
      <w:r w:rsidR="002E449F">
        <w:rPr>
          <w:rFonts w:cstheme="minorHAnsi"/>
          <w:sz w:val="24"/>
          <w:szCs w:val="24"/>
        </w:rPr>
        <w:t>his</w:t>
      </w:r>
      <w:r w:rsidR="00395DC4">
        <w:rPr>
          <w:rFonts w:cstheme="minorHAnsi"/>
          <w:sz w:val="24"/>
          <w:szCs w:val="24"/>
        </w:rPr>
        <w:t xml:space="preserve"> study leaves some of the </w:t>
      </w:r>
      <w:r w:rsidR="002E449F">
        <w:rPr>
          <w:rFonts w:cstheme="minorHAnsi"/>
          <w:sz w:val="24"/>
          <w:szCs w:val="24"/>
        </w:rPr>
        <w:t xml:space="preserve">above-noted </w:t>
      </w:r>
      <w:r w:rsidR="00395DC4">
        <w:rPr>
          <w:rFonts w:cstheme="minorHAnsi"/>
          <w:sz w:val="24"/>
          <w:szCs w:val="24"/>
        </w:rPr>
        <w:t>compensation culture fears unexamined.</w:t>
      </w:r>
    </w:p>
    <w:p w14:paraId="77153FDA" w14:textId="77777777" w:rsidR="002E6332" w:rsidRPr="00185946" w:rsidRDefault="0060593A" w:rsidP="007E7A8D">
      <w:pPr>
        <w:spacing w:after="0" w:line="480" w:lineRule="auto"/>
        <w:ind w:firstLine="720"/>
        <w:rPr>
          <w:rFonts w:cstheme="minorHAnsi"/>
          <w:sz w:val="24"/>
          <w:szCs w:val="24"/>
        </w:rPr>
      </w:pPr>
      <w:r>
        <w:rPr>
          <w:rFonts w:eastAsia="Times New Roman" w:cstheme="minorHAnsi"/>
          <w:sz w:val="24"/>
          <w:szCs w:val="24"/>
          <w:lang w:eastAsia="en-AU"/>
        </w:rPr>
        <w:t>It is against this background that t</w:t>
      </w:r>
      <w:r w:rsidR="001E452E" w:rsidRPr="00185946">
        <w:rPr>
          <w:rFonts w:eastAsia="Times New Roman" w:cstheme="minorHAnsi"/>
          <w:sz w:val="24"/>
          <w:szCs w:val="24"/>
          <w:lang w:eastAsia="en-AU"/>
        </w:rPr>
        <w:t xml:space="preserve">his article </w:t>
      </w:r>
      <w:r>
        <w:rPr>
          <w:rFonts w:eastAsia="Times New Roman" w:cstheme="minorHAnsi"/>
          <w:sz w:val="24"/>
          <w:szCs w:val="24"/>
          <w:lang w:eastAsia="en-AU"/>
        </w:rPr>
        <w:t xml:space="preserve">explores the public management of liability risks in the UK and Ireland. </w:t>
      </w:r>
      <w:r w:rsidR="00AB7E6D">
        <w:rPr>
          <w:rFonts w:eastAsia="Times New Roman" w:cstheme="minorHAnsi"/>
          <w:sz w:val="24"/>
          <w:szCs w:val="24"/>
          <w:lang w:eastAsia="en-AU"/>
        </w:rPr>
        <w:t>The article</w:t>
      </w:r>
      <w:r>
        <w:rPr>
          <w:rFonts w:eastAsia="Times New Roman" w:cstheme="minorHAnsi"/>
          <w:sz w:val="24"/>
          <w:szCs w:val="24"/>
          <w:lang w:eastAsia="en-AU"/>
        </w:rPr>
        <w:t xml:space="preserve"> </w:t>
      </w:r>
      <w:r w:rsidR="001E452E" w:rsidRPr="00185946">
        <w:rPr>
          <w:rFonts w:eastAsia="Times New Roman" w:cstheme="minorHAnsi"/>
          <w:sz w:val="24"/>
          <w:szCs w:val="24"/>
          <w:lang w:eastAsia="en-AU"/>
        </w:rPr>
        <w:t>addresses th</w:t>
      </w:r>
      <w:r w:rsidR="007E4D92" w:rsidRPr="00185946">
        <w:rPr>
          <w:rFonts w:eastAsia="Times New Roman" w:cstheme="minorHAnsi"/>
          <w:sz w:val="24"/>
          <w:szCs w:val="24"/>
          <w:lang w:eastAsia="en-AU"/>
        </w:rPr>
        <w:t>e</w:t>
      </w:r>
      <w:r>
        <w:rPr>
          <w:rFonts w:eastAsia="Times New Roman" w:cstheme="minorHAnsi"/>
          <w:sz w:val="24"/>
          <w:szCs w:val="24"/>
          <w:lang w:eastAsia="en-AU"/>
        </w:rPr>
        <w:t xml:space="preserve"> compensation culture fears noted above</w:t>
      </w:r>
      <w:r w:rsidR="00AB1606" w:rsidRPr="00185946">
        <w:rPr>
          <w:rFonts w:eastAsia="Times New Roman" w:cstheme="minorHAnsi"/>
          <w:sz w:val="24"/>
          <w:szCs w:val="24"/>
          <w:lang w:eastAsia="en-AU"/>
        </w:rPr>
        <w:t xml:space="preserve"> </w:t>
      </w:r>
      <w:r w:rsidR="003D6501" w:rsidRPr="00185946">
        <w:rPr>
          <w:rFonts w:eastAsia="Times New Roman" w:cstheme="minorHAnsi"/>
          <w:sz w:val="24"/>
          <w:szCs w:val="24"/>
          <w:lang w:eastAsia="en-AU"/>
        </w:rPr>
        <w:t xml:space="preserve">through </w:t>
      </w:r>
      <w:r w:rsidR="00AB1606" w:rsidRPr="00185946">
        <w:rPr>
          <w:rFonts w:eastAsia="Times New Roman" w:cstheme="minorHAnsi"/>
          <w:sz w:val="24"/>
          <w:szCs w:val="24"/>
          <w:lang w:eastAsia="en-AU"/>
        </w:rPr>
        <w:t xml:space="preserve">a set of case studies which </w:t>
      </w:r>
      <w:r w:rsidR="00AD65F2" w:rsidRPr="00185946">
        <w:rPr>
          <w:rFonts w:cstheme="minorHAnsi"/>
          <w:sz w:val="24"/>
          <w:szCs w:val="24"/>
        </w:rPr>
        <w:t xml:space="preserve">examined </w:t>
      </w:r>
      <w:r w:rsidR="00111C3D" w:rsidRPr="00185946">
        <w:rPr>
          <w:rFonts w:cstheme="minorHAnsi"/>
          <w:sz w:val="24"/>
          <w:szCs w:val="24"/>
        </w:rPr>
        <w:t xml:space="preserve">empirically </w:t>
      </w:r>
      <w:r w:rsidR="00AD65F2" w:rsidRPr="00185946">
        <w:rPr>
          <w:rFonts w:cstheme="minorHAnsi"/>
          <w:sz w:val="24"/>
          <w:szCs w:val="24"/>
        </w:rPr>
        <w:t xml:space="preserve">how local authorities in Scotland and Ireland managed the liability risks associated with the provision of a public roads </w:t>
      </w:r>
      <w:r w:rsidR="00EA272B" w:rsidRPr="00185946">
        <w:rPr>
          <w:rFonts w:cstheme="minorHAnsi"/>
          <w:sz w:val="24"/>
          <w:szCs w:val="24"/>
        </w:rPr>
        <w:t xml:space="preserve">maintenance </w:t>
      </w:r>
      <w:r w:rsidR="00AD65F2" w:rsidRPr="00185946">
        <w:rPr>
          <w:rFonts w:cstheme="minorHAnsi"/>
          <w:sz w:val="24"/>
          <w:szCs w:val="24"/>
        </w:rPr>
        <w:t xml:space="preserve">service. </w:t>
      </w:r>
      <w:r w:rsidR="002E6332" w:rsidRPr="00185946">
        <w:rPr>
          <w:rFonts w:cstheme="minorHAnsi"/>
          <w:sz w:val="24"/>
          <w:szCs w:val="24"/>
        </w:rPr>
        <w:t xml:space="preserve">In terms of the incidence of compensation claims against local authorities generally, </w:t>
      </w:r>
      <w:r w:rsidR="002E6332" w:rsidRPr="00185946">
        <w:rPr>
          <w:rFonts w:cstheme="minorHAnsi"/>
          <w:bCs/>
          <w:sz w:val="24"/>
          <w:szCs w:val="24"/>
        </w:rPr>
        <w:t xml:space="preserve">the provision of a roads service is amongst the riskiest of all activities. Roads represent the sector which attracts the highest volume of compensation claims and the highest financial payout to claimants. </w:t>
      </w:r>
      <w:r w:rsidR="002E6332" w:rsidRPr="00185946">
        <w:rPr>
          <w:rFonts w:cstheme="minorHAnsi"/>
          <w:sz w:val="24"/>
          <w:szCs w:val="24"/>
        </w:rPr>
        <w:t>The Accounts Commission for Scotland, for example, has reported that as many as seven out of ten liability claims made against Scottish local authorities related to road defects.</w:t>
      </w:r>
      <w:r w:rsidR="008C5358">
        <w:rPr>
          <w:rStyle w:val="FootnoteReference"/>
          <w:rFonts w:cstheme="minorHAnsi"/>
          <w:sz w:val="24"/>
          <w:szCs w:val="24"/>
        </w:rPr>
        <w:footnoteReference w:id="13"/>
      </w:r>
      <w:r w:rsidR="002E6332" w:rsidRPr="00185946">
        <w:rPr>
          <w:rFonts w:cstheme="minorHAnsi"/>
          <w:sz w:val="24"/>
          <w:szCs w:val="24"/>
        </w:rPr>
        <w:t xml:space="preserve"> </w:t>
      </w:r>
    </w:p>
    <w:p w14:paraId="053F95BF" w14:textId="77777777" w:rsidR="00AB1606" w:rsidRPr="00185946" w:rsidRDefault="00AB1606" w:rsidP="007E7A8D">
      <w:pPr>
        <w:spacing w:after="0" w:line="480" w:lineRule="auto"/>
        <w:ind w:firstLine="720"/>
        <w:rPr>
          <w:rFonts w:cstheme="minorHAnsi"/>
          <w:sz w:val="24"/>
          <w:szCs w:val="24"/>
        </w:rPr>
      </w:pPr>
      <w:r w:rsidRPr="00185946">
        <w:rPr>
          <w:rFonts w:cstheme="minorHAnsi"/>
          <w:sz w:val="24"/>
          <w:szCs w:val="24"/>
        </w:rPr>
        <w:t xml:space="preserve">Our </w:t>
      </w:r>
      <w:r w:rsidR="00111C3D" w:rsidRPr="00185946">
        <w:rPr>
          <w:rFonts w:cstheme="minorHAnsi"/>
          <w:sz w:val="24"/>
          <w:szCs w:val="24"/>
        </w:rPr>
        <w:t>findings suggest that public authorities respond to liability risks in a variety of ways</w:t>
      </w:r>
      <w:r w:rsidR="002E6332" w:rsidRPr="00185946">
        <w:rPr>
          <w:rFonts w:cstheme="minorHAnsi"/>
          <w:sz w:val="24"/>
          <w:szCs w:val="24"/>
        </w:rPr>
        <w:t>,</w:t>
      </w:r>
      <w:r w:rsidR="003D6501" w:rsidRPr="00185946">
        <w:rPr>
          <w:rFonts w:cstheme="minorHAnsi"/>
          <w:sz w:val="24"/>
          <w:szCs w:val="24"/>
        </w:rPr>
        <w:t xml:space="preserve"> </w:t>
      </w:r>
      <w:r w:rsidR="002E6332" w:rsidRPr="00185946">
        <w:rPr>
          <w:rFonts w:cstheme="minorHAnsi"/>
          <w:sz w:val="24"/>
          <w:szCs w:val="24"/>
        </w:rPr>
        <w:t>including</w:t>
      </w:r>
      <w:r w:rsidR="003D6501" w:rsidRPr="00185946">
        <w:rPr>
          <w:rFonts w:cstheme="minorHAnsi"/>
          <w:sz w:val="24"/>
          <w:szCs w:val="24"/>
        </w:rPr>
        <w:t xml:space="preserve"> measures </w:t>
      </w:r>
      <w:r w:rsidR="002E6332" w:rsidRPr="00185946">
        <w:rPr>
          <w:rFonts w:cstheme="minorHAnsi"/>
          <w:sz w:val="24"/>
          <w:szCs w:val="24"/>
        </w:rPr>
        <w:t xml:space="preserve">which seek </w:t>
      </w:r>
      <w:r w:rsidR="003D6501" w:rsidRPr="00185946">
        <w:rPr>
          <w:rFonts w:cstheme="minorHAnsi"/>
          <w:sz w:val="24"/>
          <w:szCs w:val="24"/>
        </w:rPr>
        <w:t xml:space="preserve">directly to reduce the likelihood of liability as well as actions calculated to mitigate the consequences of liability </w:t>
      </w:r>
      <w:r w:rsidR="002E6332" w:rsidRPr="00185946">
        <w:rPr>
          <w:rFonts w:cstheme="minorHAnsi"/>
          <w:sz w:val="24"/>
          <w:szCs w:val="24"/>
        </w:rPr>
        <w:t>when</w:t>
      </w:r>
      <w:r w:rsidR="003D6501" w:rsidRPr="00185946">
        <w:rPr>
          <w:rFonts w:cstheme="minorHAnsi"/>
          <w:sz w:val="24"/>
          <w:szCs w:val="24"/>
        </w:rPr>
        <w:t xml:space="preserve"> </w:t>
      </w:r>
      <w:r w:rsidR="002E6332" w:rsidRPr="00185946">
        <w:rPr>
          <w:rFonts w:cstheme="minorHAnsi"/>
          <w:sz w:val="24"/>
          <w:szCs w:val="24"/>
        </w:rPr>
        <w:t>it arises</w:t>
      </w:r>
      <w:r w:rsidR="00111C3D" w:rsidRPr="00185946">
        <w:rPr>
          <w:rFonts w:cstheme="minorHAnsi"/>
          <w:sz w:val="24"/>
          <w:szCs w:val="24"/>
        </w:rPr>
        <w:t>.</w:t>
      </w:r>
      <w:r w:rsidRPr="00185946">
        <w:rPr>
          <w:rFonts w:cstheme="minorHAnsi"/>
          <w:sz w:val="24"/>
          <w:szCs w:val="24"/>
        </w:rPr>
        <w:t xml:space="preserve"> </w:t>
      </w:r>
      <w:r w:rsidR="00111C3D" w:rsidRPr="00185946">
        <w:rPr>
          <w:rFonts w:cstheme="minorHAnsi"/>
          <w:sz w:val="24"/>
          <w:szCs w:val="24"/>
        </w:rPr>
        <w:t xml:space="preserve">However, we found </w:t>
      </w:r>
      <w:r w:rsidR="00070889" w:rsidRPr="00185946">
        <w:rPr>
          <w:rFonts w:cstheme="minorHAnsi"/>
          <w:sz w:val="24"/>
          <w:szCs w:val="24"/>
        </w:rPr>
        <w:t xml:space="preserve">only </w:t>
      </w:r>
      <w:r w:rsidR="00485CE1" w:rsidRPr="00185946">
        <w:rPr>
          <w:rFonts w:cstheme="minorHAnsi"/>
          <w:sz w:val="24"/>
          <w:szCs w:val="24"/>
        </w:rPr>
        <w:t>limited</w:t>
      </w:r>
      <w:r w:rsidR="00111C3D" w:rsidRPr="00185946">
        <w:rPr>
          <w:rFonts w:cstheme="minorHAnsi"/>
          <w:sz w:val="24"/>
          <w:szCs w:val="24"/>
        </w:rPr>
        <w:t xml:space="preserve"> evidence of the concerns outlined above. Of course, </w:t>
      </w:r>
      <w:r w:rsidR="003D6501" w:rsidRPr="00185946">
        <w:rPr>
          <w:rFonts w:cstheme="minorHAnsi"/>
          <w:sz w:val="24"/>
          <w:szCs w:val="24"/>
        </w:rPr>
        <w:t>given our case study approach</w:t>
      </w:r>
      <w:r w:rsidR="00111C3D" w:rsidRPr="00185946">
        <w:rPr>
          <w:rFonts w:cstheme="minorHAnsi"/>
          <w:sz w:val="24"/>
          <w:szCs w:val="24"/>
        </w:rPr>
        <w:t xml:space="preserve">, we can only account for the behaviour of the local authorities which took part in the research project and only in relation to the delivery of a roads maintenance service. Nonetheless, </w:t>
      </w:r>
      <w:r w:rsidR="002E6332" w:rsidRPr="00185946">
        <w:rPr>
          <w:rFonts w:cstheme="minorHAnsi"/>
          <w:sz w:val="24"/>
          <w:szCs w:val="24"/>
        </w:rPr>
        <w:t xml:space="preserve">our findings are valuable for assessing more generally the significance of </w:t>
      </w:r>
      <w:r w:rsidR="00502340">
        <w:rPr>
          <w:rFonts w:cstheme="minorHAnsi"/>
          <w:sz w:val="24"/>
          <w:szCs w:val="24"/>
        </w:rPr>
        <w:t>tort</w:t>
      </w:r>
      <w:r w:rsidR="002E6332" w:rsidRPr="00185946">
        <w:rPr>
          <w:rFonts w:cstheme="minorHAnsi"/>
          <w:sz w:val="24"/>
          <w:szCs w:val="24"/>
        </w:rPr>
        <w:t xml:space="preserve"> law </w:t>
      </w:r>
      <w:r w:rsidR="00595A2D" w:rsidRPr="00185946">
        <w:rPr>
          <w:rFonts w:cstheme="minorHAnsi"/>
          <w:sz w:val="24"/>
          <w:szCs w:val="24"/>
        </w:rPr>
        <w:t>to</w:t>
      </w:r>
      <w:r w:rsidR="002E6332" w:rsidRPr="00185946">
        <w:rPr>
          <w:rFonts w:cstheme="minorHAnsi"/>
          <w:sz w:val="24"/>
          <w:szCs w:val="24"/>
        </w:rPr>
        <w:t xml:space="preserve"> public authority behaviour and public service delivery. W</w:t>
      </w:r>
      <w:r w:rsidR="00111C3D" w:rsidRPr="00185946">
        <w:rPr>
          <w:rFonts w:cstheme="minorHAnsi"/>
          <w:sz w:val="24"/>
          <w:szCs w:val="24"/>
        </w:rPr>
        <w:t>e are able to use our data</w:t>
      </w:r>
      <w:r w:rsidR="003C6D65" w:rsidRPr="00185946">
        <w:rPr>
          <w:rFonts w:cstheme="minorHAnsi"/>
          <w:sz w:val="24"/>
          <w:szCs w:val="24"/>
        </w:rPr>
        <w:t>, first,</w:t>
      </w:r>
      <w:r w:rsidR="00111C3D" w:rsidRPr="00185946">
        <w:rPr>
          <w:rFonts w:cstheme="minorHAnsi"/>
          <w:sz w:val="24"/>
          <w:szCs w:val="24"/>
        </w:rPr>
        <w:t xml:space="preserve"> to map out ways in which public authorities </w:t>
      </w:r>
      <w:r w:rsidR="002E6332" w:rsidRPr="004A3727">
        <w:rPr>
          <w:rFonts w:cstheme="minorHAnsi"/>
          <w:i/>
          <w:sz w:val="24"/>
          <w:szCs w:val="24"/>
        </w:rPr>
        <w:t>can</w:t>
      </w:r>
      <w:r w:rsidR="002E6332" w:rsidRPr="00185946">
        <w:rPr>
          <w:rFonts w:cstheme="minorHAnsi"/>
          <w:sz w:val="24"/>
          <w:szCs w:val="24"/>
        </w:rPr>
        <w:t xml:space="preserve"> manage their liability risk</w:t>
      </w:r>
      <w:r w:rsidR="00EA272B" w:rsidRPr="00185946">
        <w:rPr>
          <w:rFonts w:cstheme="minorHAnsi"/>
          <w:sz w:val="24"/>
          <w:szCs w:val="24"/>
        </w:rPr>
        <w:t>s</w:t>
      </w:r>
      <w:r w:rsidR="00573E51" w:rsidRPr="00185946">
        <w:rPr>
          <w:rFonts w:cstheme="minorHAnsi"/>
          <w:sz w:val="24"/>
          <w:szCs w:val="24"/>
        </w:rPr>
        <w:t xml:space="preserve">. Second, </w:t>
      </w:r>
      <w:r w:rsidR="00573E51" w:rsidRPr="00185946">
        <w:rPr>
          <w:rFonts w:cstheme="minorHAnsi"/>
          <w:sz w:val="24"/>
          <w:szCs w:val="24"/>
        </w:rPr>
        <w:lastRenderedPageBreak/>
        <w:t xml:space="preserve">our findings offer suggestions </w:t>
      </w:r>
      <w:r w:rsidR="002E6332" w:rsidRPr="00185946">
        <w:rPr>
          <w:rFonts w:cstheme="minorHAnsi"/>
          <w:sz w:val="24"/>
          <w:szCs w:val="24"/>
        </w:rPr>
        <w:t xml:space="preserve">about </w:t>
      </w:r>
      <w:r w:rsidR="00573E51" w:rsidRPr="00185946">
        <w:rPr>
          <w:rFonts w:cstheme="minorHAnsi"/>
          <w:sz w:val="24"/>
          <w:szCs w:val="24"/>
        </w:rPr>
        <w:t xml:space="preserve">some of </w:t>
      </w:r>
      <w:r w:rsidR="002E6332" w:rsidRPr="00185946">
        <w:rPr>
          <w:rFonts w:cstheme="minorHAnsi"/>
          <w:sz w:val="24"/>
          <w:szCs w:val="24"/>
        </w:rPr>
        <w:t xml:space="preserve">the conditions </w:t>
      </w:r>
      <w:r w:rsidR="00573E51" w:rsidRPr="00185946">
        <w:rPr>
          <w:rFonts w:cstheme="minorHAnsi"/>
          <w:sz w:val="24"/>
          <w:szCs w:val="24"/>
        </w:rPr>
        <w:t>that</w:t>
      </w:r>
      <w:r w:rsidR="002E6332" w:rsidRPr="00185946">
        <w:rPr>
          <w:rFonts w:cstheme="minorHAnsi"/>
          <w:sz w:val="24"/>
          <w:szCs w:val="24"/>
        </w:rPr>
        <w:t xml:space="preserve"> </w:t>
      </w:r>
      <w:r w:rsidR="00070889" w:rsidRPr="00185946">
        <w:rPr>
          <w:rFonts w:cstheme="minorHAnsi"/>
          <w:sz w:val="24"/>
          <w:szCs w:val="24"/>
        </w:rPr>
        <w:t xml:space="preserve">may </w:t>
      </w:r>
      <w:r w:rsidR="00485CE1" w:rsidRPr="00185946">
        <w:rPr>
          <w:rFonts w:cstheme="minorHAnsi"/>
          <w:sz w:val="24"/>
          <w:szCs w:val="24"/>
        </w:rPr>
        <w:t>structure</w:t>
      </w:r>
      <w:r w:rsidR="002E6332" w:rsidRPr="00185946">
        <w:rPr>
          <w:rFonts w:cstheme="minorHAnsi"/>
          <w:sz w:val="24"/>
          <w:szCs w:val="24"/>
        </w:rPr>
        <w:t xml:space="preserve"> which</w:t>
      </w:r>
      <w:r w:rsidR="00573E51" w:rsidRPr="00185946">
        <w:rPr>
          <w:rFonts w:cstheme="minorHAnsi"/>
          <w:sz w:val="24"/>
          <w:szCs w:val="24"/>
        </w:rPr>
        <w:t xml:space="preserve"> of these</w:t>
      </w:r>
      <w:r w:rsidR="002E6332" w:rsidRPr="00185946">
        <w:rPr>
          <w:rFonts w:cstheme="minorHAnsi"/>
          <w:sz w:val="24"/>
          <w:szCs w:val="24"/>
        </w:rPr>
        <w:t xml:space="preserve"> approaches</w:t>
      </w:r>
      <w:r w:rsidR="00D95E2C" w:rsidRPr="00185946">
        <w:rPr>
          <w:rFonts w:cstheme="minorHAnsi"/>
          <w:sz w:val="24"/>
          <w:szCs w:val="24"/>
        </w:rPr>
        <w:t xml:space="preserve"> </w:t>
      </w:r>
      <w:r w:rsidR="008355AE">
        <w:rPr>
          <w:rFonts w:cstheme="minorHAnsi"/>
          <w:sz w:val="24"/>
          <w:szCs w:val="24"/>
        </w:rPr>
        <w:t>will be stronger</w:t>
      </w:r>
      <w:r w:rsidR="00573E51" w:rsidRPr="00185946">
        <w:rPr>
          <w:rFonts w:cstheme="minorHAnsi"/>
          <w:sz w:val="24"/>
          <w:szCs w:val="24"/>
        </w:rPr>
        <w:t xml:space="preserve"> in a given context</w:t>
      </w:r>
      <w:r w:rsidR="00111C3D" w:rsidRPr="00185946">
        <w:rPr>
          <w:rFonts w:cstheme="minorHAnsi"/>
          <w:sz w:val="24"/>
          <w:szCs w:val="24"/>
        </w:rPr>
        <w:t xml:space="preserve">. </w:t>
      </w:r>
      <w:r w:rsidR="00573E51" w:rsidRPr="00185946">
        <w:rPr>
          <w:rFonts w:cstheme="minorHAnsi"/>
          <w:sz w:val="24"/>
          <w:szCs w:val="24"/>
        </w:rPr>
        <w:t>Third,</w:t>
      </w:r>
      <w:r w:rsidR="00D95E2C" w:rsidRPr="00185946">
        <w:rPr>
          <w:rFonts w:cstheme="minorHAnsi"/>
          <w:sz w:val="24"/>
          <w:szCs w:val="24"/>
        </w:rPr>
        <w:t xml:space="preserve"> </w:t>
      </w:r>
      <w:r w:rsidR="00573E51" w:rsidRPr="00185946">
        <w:rPr>
          <w:rFonts w:cstheme="minorHAnsi"/>
          <w:sz w:val="24"/>
          <w:szCs w:val="24"/>
        </w:rPr>
        <w:t>w</w:t>
      </w:r>
      <w:r w:rsidR="002E6332" w:rsidRPr="00185946">
        <w:rPr>
          <w:rFonts w:cstheme="minorHAnsi"/>
          <w:sz w:val="24"/>
          <w:szCs w:val="24"/>
        </w:rPr>
        <w:t xml:space="preserve">e are also able to </w:t>
      </w:r>
      <w:r w:rsidR="00175776" w:rsidRPr="00185946">
        <w:rPr>
          <w:rFonts w:cstheme="minorHAnsi"/>
          <w:sz w:val="24"/>
          <w:szCs w:val="24"/>
        </w:rPr>
        <w:t>use our data to explore</w:t>
      </w:r>
      <w:r w:rsidR="002E6332" w:rsidRPr="00185946">
        <w:rPr>
          <w:rFonts w:cstheme="minorHAnsi"/>
          <w:sz w:val="24"/>
          <w:szCs w:val="24"/>
        </w:rPr>
        <w:t xml:space="preserve"> why</w:t>
      </w:r>
      <w:r w:rsidR="00D95E2C" w:rsidRPr="00185946">
        <w:rPr>
          <w:rFonts w:cstheme="minorHAnsi"/>
          <w:sz w:val="24"/>
          <w:szCs w:val="24"/>
        </w:rPr>
        <w:t xml:space="preserve"> the </w:t>
      </w:r>
      <w:r w:rsidR="00435CE0" w:rsidRPr="00185946">
        <w:rPr>
          <w:rFonts w:cstheme="minorHAnsi"/>
          <w:sz w:val="24"/>
          <w:szCs w:val="24"/>
        </w:rPr>
        <w:t>above-</w:t>
      </w:r>
      <w:r w:rsidR="00595A2D" w:rsidRPr="00185946">
        <w:rPr>
          <w:rFonts w:cstheme="minorHAnsi"/>
          <w:sz w:val="24"/>
          <w:szCs w:val="24"/>
        </w:rPr>
        <w:t>mentioned</w:t>
      </w:r>
      <w:r w:rsidR="00D95E2C" w:rsidRPr="00185946">
        <w:rPr>
          <w:rFonts w:cstheme="minorHAnsi"/>
          <w:sz w:val="24"/>
          <w:szCs w:val="24"/>
        </w:rPr>
        <w:t xml:space="preserve"> fears about the </w:t>
      </w:r>
      <w:r w:rsidR="00435CE0" w:rsidRPr="00185946">
        <w:rPr>
          <w:rFonts w:cstheme="minorHAnsi"/>
          <w:sz w:val="24"/>
          <w:szCs w:val="24"/>
        </w:rPr>
        <w:t xml:space="preserve">potential </w:t>
      </w:r>
      <w:r w:rsidR="00D95E2C" w:rsidRPr="00185946">
        <w:rPr>
          <w:rFonts w:cstheme="minorHAnsi"/>
          <w:sz w:val="24"/>
          <w:szCs w:val="24"/>
        </w:rPr>
        <w:t xml:space="preserve">negative effects of legal liability </w:t>
      </w:r>
      <w:r w:rsidR="00673D81" w:rsidRPr="00185946">
        <w:rPr>
          <w:rFonts w:cstheme="minorHAnsi"/>
          <w:sz w:val="24"/>
          <w:szCs w:val="24"/>
        </w:rPr>
        <w:t>had only limited purchase</w:t>
      </w:r>
      <w:r w:rsidR="00D95E2C" w:rsidRPr="00185946">
        <w:rPr>
          <w:rFonts w:cstheme="minorHAnsi"/>
          <w:sz w:val="24"/>
          <w:szCs w:val="24"/>
        </w:rPr>
        <w:t xml:space="preserve"> in our case studies. </w:t>
      </w:r>
      <w:r w:rsidR="00573E51" w:rsidRPr="00185946">
        <w:rPr>
          <w:rFonts w:cstheme="minorHAnsi"/>
          <w:sz w:val="24"/>
          <w:szCs w:val="24"/>
        </w:rPr>
        <w:t>This</w:t>
      </w:r>
      <w:r w:rsidR="00D95E2C" w:rsidRPr="00185946">
        <w:rPr>
          <w:rFonts w:cstheme="minorHAnsi"/>
          <w:sz w:val="24"/>
          <w:szCs w:val="24"/>
        </w:rPr>
        <w:t xml:space="preserve"> should equip us to assess better </w:t>
      </w:r>
      <w:r w:rsidR="008355AE">
        <w:rPr>
          <w:rFonts w:cstheme="minorHAnsi"/>
          <w:sz w:val="24"/>
          <w:szCs w:val="24"/>
        </w:rPr>
        <w:t>when and how</w:t>
      </w:r>
      <w:r w:rsidR="00D95E2C" w:rsidRPr="00185946">
        <w:rPr>
          <w:rFonts w:cstheme="minorHAnsi"/>
          <w:sz w:val="24"/>
          <w:szCs w:val="24"/>
        </w:rPr>
        <w:t xml:space="preserve"> tortious liability </w:t>
      </w:r>
      <w:r w:rsidR="008355AE">
        <w:rPr>
          <w:rFonts w:cstheme="minorHAnsi"/>
          <w:sz w:val="24"/>
          <w:szCs w:val="24"/>
        </w:rPr>
        <w:t xml:space="preserve">may pose an operational risk </w:t>
      </w:r>
      <w:r w:rsidR="00D95E2C" w:rsidRPr="00185946">
        <w:rPr>
          <w:rFonts w:cstheme="minorHAnsi"/>
          <w:sz w:val="24"/>
          <w:szCs w:val="24"/>
        </w:rPr>
        <w:t>to</w:t>
      </w:r>
      <w:r w:rsidR="004A3727">
        <w:rPr>
          <w:rFonts w:cstheme="minorHAnsi"/>
          <w:sz w:val="24"/>
          <w:szCs w:val="24"/>
        </w:rPr>
        <w:t xml:space="preserve"> the delivery of various</w:t>
      </w:r>
      <w:r w:rsidR="00D95E2C" w:rsidRPr="00185946">
        <w:rPr>
          <w:rFonts w:cstheme="minorHAnsi"/>
          <w:sz w:val="24"/>
          <w:szCs w:val="24"/>
        </w:rPr>
        <w:t xml:space="preserve"> public service</w:t>
      </w:r>
      <w:r w:rsidR="004A3727">
        <w:rPr>
          <w:rFonts w:cstheme="minorHAnsi"/>
          <w:sz w:val="24"/>
          <w:szCs w:val="24"/>
        </w:rPr>
        <w:t>s</w:t>
      </w:r>
      <w:r w:rsidR="00D95E2C" w:rsidRPr="00185946">
        <w:rPr>
          <w:rFonts w:cstheme="minorHAnsi"/>
          <w:sz w:val="24"/>
          <w:szCs w:val="24"/>
        </w:rPr>
        <w:t>.</w:t>
      </w:r>
    </w:p>
    <w:p w14:paraId="73606420" w14:textId="77777777" w:rsidR="003D6501" w:rsidRPr="00185946" w:rsidRDefault="00D95E2C" w:rsidP="007E7A8D">
      <w:pPr>
        <w:spacing w:after="0" w:line="480" w:lineRule="auto"/>
        <w:ind w:firstLine="720"/>
        <w:rPr>
          <w:rFonts w:cstheme="minorHAnsi"/>
          <w:sz w:val="24"/>
          <w:szCs w:val="24"/>
        </w:rPr>
      </w:pPr>
      <w:r w:rsidRPr="00185946">
        <w:rPr>
          <w:rFonts w:cstheme="minorHAnsi"/>
          <w:sz w:val="24"/>
          <w:szCs w:val="24"/>
        </w:rPr>
        <w:t xml:space="preserve">We present our data and develop these arguments in due course. Before doing so, however, we must make some introductory remarks about the research project itself and about the law of </w:t>
      </w:r>
      <w:r w:rsidR="00502340">
        <w:rPr>
          <w:rFonts w:cstheme="minorHAnsi"/>
          <w:sz w:val="24"/>
          <w:szCs w:val="24"/>
        </w:rPr>
        <w:t>tort</w:t>
      </w:r>
      <w:r w:rsidR="00C636EC">
        <w:rPr>
          <w:rFonts w:cstheme="minorHAnsi"/>
          <w:sz w:val="24"/>
          <w:szCs w:val="24"/>
        </w:rPr>
        <w:t>/delict</w:t>
      </w:r>
      <w:r w:rsidRPr="00185946">
        <w:rPr>
          <w:rFonts w:cstheme="minorHAnsi"/>
          <w:sz w:val="24"/>
          <w:szCs w:val="24"/>
        </w:rPr>
        <w:t xml:space="preserve"> in Irel</w:t>
      </w:r>
      <w:r w:rsidR="00EA272B" w:rsidRPr="00185946">
        <w:rPr>
          <w:rFonts w:cstheme="minorHAnsi"/>
          <w:sz w:val="24"/>
          <w:szCs w:val="24"/>
        </w:rPr>
        <w:t xml:space="preserve">and and Scotland as </w:t>
      </w:r>
      <w:r w:rsidR="00561B6C" w:rsidRPr="00185946">
        <w:rPr>
          <w:rFonts w:cstheme="minorHAnsi"/>
          <w:sz w:val="24"/>
          <w:szCs w:val="24"/>
        </w:rPr>
        <w:t>it</w:t>
      </w:r>
      <w:r w:rsidR="00EA272B" w:rsidRPr="00185946">
        <w:rPr>
          <w:rFonts w:cstheme="minorHAnsi"/>
          <w:sz w:val="24"/>
          <w:szCs w:val="24"/>
        </w:rPr>
        <w:t xml:space="preserve"> relate</w:t>
      </w:r>
      <w:r w:rsidR="00561B6C" w:rsidRPr="00185946">
        <w:rPr>
          <w:rFonts w:cstheme="minorHAnsi"/>
          <w:sz w:val="24"/>
          <w:szCs w:val="24"/>
        </w:rPr>
        <w:t>s</w:t>
      </w:r>
      <w:r w:rsidRPr="00185946">
        <w:rPr>
          <w:rFonts w:cstheme="minorHAnsi"/>
          <w:sz w:val="24"/>
          <w:szCs w:val="24"/>
        </w:rPr>
        <w:t xml:space="preserve"> to road maintenance.</w:t>
      </w:r>
    </w:p>
    <w:p w14:paraId="53EE121D" w14:textId="77777777" w:rsidR="003D6501" w:rsidRPr="00185946" w:rsidRDefault="003D6501" w:rsidP="007E7A8D">
      <w:pPr>
        <w:spacing w:after="0" w:line="480" w:lineRule="auto"/>
        <w:jc w:val="center"/>
        <w:rPr>
          <w:rFonts w:cstheme="minorHAnsi"/>
          <w:sz w:val="24"/>
          <w:szCs w:val="24"/>
        </w:rPr>
      </w:pPr>
    </w:p>
    <w:p w14:paraId="6F39D15A" w14:textId="77777777" w:rsidR="007E7A8D" w:rsidRDefault="007E7A8D" w:rsidP="007E7A8D">
      <w:pPr>
        <w:spacing w:after="0" w:line="480" w:lineRule="auto"/>
        <w:jc w:val="center"/>
        <w:rPr>
          <w:rFonts w:cstheme="minorHAnsi"/>
          <w:sz w:val="24"/>
          <w:szCs w:val="24"/>
        </w:rPr>
      </w:pPr>
    </w:p>
    <w:p w14:paraId="18215C57" w14:textId="77777777" w:rsidR="003D6501" w:rsidRPr="009D52A4" w:rsidRDefault="003D6501" w:rsidP="009D52A4">
      <w:pPr>
        <w:pStyle w:val="ListParagraph"/>
        <w:numPr>
          <w:ilvl w:val="0"/>
          <w:numId w:val="2"/>
        </w:numPr>
        <w:spacing w:after="0" w:line="480" w:lineRule="auto"/>
        <w:jc w:val="center"/>
        <w:rPr>
          <w:rFonts w:cstheme="minorHAnsi"/>
          <w:sz w:val="24"/>
          <w:szCs w:val="24"/>
        </w:rPr>
      </w:pPr>
      <w:r w:rsidRPr="009D52A4">
        <w:rPr>
          <w:rFonts w:cstheme="minorHAnsi"/>
          <w:sz w:val="24"/>
          <w:szCs w:val="24"/>
        </w:rPr>
        <w:t>THE RESEARCH PROJECT</w:t>
      </w:r>
      <w:r w:rsidR="00B57589" w:rsidRPr="009D52A4">
        <w:rPr>
          <w:rFonts w:cstheme="minorHAnsi"/>
          <w:sz w:val="24"/>
          <w:szCs w:val="24"/>
        </w:rPr>
        <w:t xml:space="preserve"> </w:t>
      </w:r>
    </w:p>
    <w:p w14:paraId="52E025C9" w14:textId="77777777" w:rsidR="00A745A2" w:rsidRPr="00185946" w:rsidRDefault="00A745A2" w:rsidP="007E7A8D">
      <w:pPr>
        <w:pStyle w:val="Default"/>
        <w:spacing w:line="480" w:lineRule="auto"/>
        <w:jc w:val="both"/>
        <w:rPr>
          <w:rFonts w:asciiTheme="minorHAnsi" w:hAnsiTheme="minorHAnsi" w:cstheme="minorHAnsi"/>
          <w:lang w:val="en-GB"/>
        </w:rPr>
      </w:pPr>
    </w:p>
    <w:p w14:paraId="7C1661FD" w14:textId="77777777" w:rsidR="00A745A2" w:rsidRPr="00185946" w:rsidRDefault="003D6501" w:rsidP="007E7A8D">
      <w:pPr>
        <w:pStyle w:val="Default"/>
        <w:spacing w:line="480" w:lineRule="auto"/>
        <w:rPr>
          <w:rFonts w:asciiTheme="minorHAnsi" w:hAnsiTheme="minorHAnsi" w:cstheme="minorHAnsi"/>
          <w:lang w:val="en-GB"/>
        </w:rPr>
      </w:pPr>
      <w:r w:rsidRPr="00185946">
        <w:rPr>
          <w:rFonts w:asciiTheme="minorHAnsi" w:hAnsiTheme="minorHAnsi" w:cstheme="minorHAnsi"/>
          <w:lang w:val="en-GB"/>
        </w:rPr>
        <w:t xml:space="preserve">The research </w:t>
      </w:r>
      <w:r w:rsidR="00E6616B" w:rsidRPr="00185946">
        <w:rPr>
          <w:rFonts w:asciiTheme="minorHAnsi" w:hAnsiTheme="minorHAnsi" w:cstheme="minorHAnsi"/>
          <w:lang w:val="en-GB"/>
        </w:rPr>
        <w:t xml:space="preserve">project </w:t>
      </w:r>
      <w:r w:rsidRPr="00185946">
        <w:rPr>
          <w:rFonts w:asciiTheme="minorHAnsi" w:hAnsiTheme="minorHAnsi" w:cstheme="minorHAnsi"/>
          <w:lang w:val="en-GB"/>
        </w:rPr>
        <w:t xml:space="preserve">was organized in two parts. The first phase involved the collection of survey data from all local authorities in Scotland and Ireland relating to (1) </w:t>
      </w:r>
      <w:r w:rsidR="00B57589" w:rsidRPr="00185946">
        <w:rPr>
          <w:rFonts w:asciiTheme="minorHAnsi" w:hAnsiTheme="minorHAnsi" w:cstheme="minorHAnsi"/>
          <w:lang w:val="en-GB"/>
        </w:rPr>
        <w:t xml:space="preserve">compensation </w:t>
      </w:r>
      <w:r w:rsidRPr="00185946">
        <w:rPr>
          <w:rFonts w:asciiTheme="minorHAnsi" w:hAnsiTheme="minorHAnsi" w:cstheme="minorHAnsi"/>
          <w:lang w:val="en-GB"/>
        </w:rPr>
        <w:t>claiming, compensation payments, and insurance provision; and (2) the delivery of road maintenance services. The second phase of the project</w:t>
      </w:r>
      <w:r w:rsidR="00684C28" w:rsidRPr="00185946">
        <w:rPr>
          <w:rFonts w:asciiTheme="minorHAnsi" w:hAnsiTheme="minorHAnsi" w:cstheme="minorHAnsi"/>
          <w:lang w:val="en-GB"/>
        </w:rPr>
        <w:t xml:space="preserve"> </w:t>
      </w:r>
      <w:r w:rsidRPr="00185946">
        <w:rPr>
          <w:rFonts w:asciiTheme="minorHAnsi" w:hAnsiTheme="minorHAnsi" w:cstheme="minorHAnsi"/>
          <w:lang w:val="en-GB"/>
        </w:rPr>
        <w:t xml:space="preserve">involved a qualitative assessment of road maintenance service delivery and </w:t>
      </w:r>
      <w:r w:rsidR="00E80F89">
        <w:rPr>
          <w:rFonts w:asciiTheme="minorHAnsi" w:hAnsiTheme="minorHAnsi" w:cstheme="minorHAnsi"/>
          <w:lang w:val="en-GB"/>
        </w:rPr>
        <w:t>organizational</w:t>
      </w:r>
      <w:r w:rsidRPr="00185946">
        <w:rPr>
          <w:rFonts w:asciiTheme="minorHAnsi" w:hAnsiTheme="minorHAnsi" w:cstheme="minorHAnsi"/>
          <w:lang w:val="en-GB"/>
        </w:rPr>
        <w:t xml:space="preserve"> responses to liability risks in selected authorities within the two jurisdictions. Three case studies were conducted in Scotland</w:t>
      </w:r>
      <w:r w:rsidR="00025E93">
        <w:rPr>
          <w:rFonts w:asciiTheme="minorHAnsi" w:hAnsiTheme="minorHAnsi" w:cstheme="minorHAnsi"/>
          <w:lang w:val="en-GB"/>
        </w:rPr>
        <w:t xml:space="preserve"> in 2008-9</w:t>
      </w:r>
      <w:r w:rsidRPr="00185946">
        <w:rPr>
          <w:rFonts w:asciiTheme="minorHAnsi" w:hAnsiTheme="minorHAnsi" w:cstheme="minorHAnsi"/>
          <w:lang w:val="en-GB"/>
        </w:rPr>
        <w:t xml:space="preserve">: in ‘Sodor’, ‘Beulah’ and ‘Knockbrex’ Councils, fieldwork in each case being conducted over the period of one month. Observation and interviews were deployed as key research methods, supplemented by documentary analysis. Additional interviews in Scotland were conducted with a wide range of actors concerned with road maintenance and/or liability issues: lawyers employed by or representing local authorities, local authority </w:t>
      </w:r>
      <w:r w:rsidRPr="00185946">
        <w:rPr>
          <w:rFonts w:asciiTheme="minorHAnsi" w:hAnsiTheme="minorHAnsi" w:cstheme="minorHAnsi"/>
          <w:lang w:val="en-GB"/>
        </w:rPr>
        <w:lastRenderedPageBreak/>
        <w:t>risk managers, local authority road engineers, private insurance personnel, private insurance claims handlers, representatives of the Society of Chief Officers of Transport in Scotland, the Public Risk Management Association, Audit Scotland and the UK Roads Liaison Group. In Ireland, four shorter case studies were conducted</w:t>
      </w:r>
      <w:r w:rsidR="00025E93">
        <w:rPr>
          <w:rFonts w:asciiTheme="minorHAnsi" w:hAnsiTheme="minorHAnsi" w:cstheme="minorHAnsi"/>
          <w:lang w:val="en-GB"/>
        </w:rPr>
        <w:t>, also during 2008-9</w:t>
      </w:r>
      <w:r w:rsidRPr="00185946">
        <w:rPr>
          <w:rFonts w:asciiTheme="minorHAnsi" w:hAnsiTheme="minorHAnsi" w:cstheme="minorHAnsi"/>
          <w:lang w:val="en-GB"/>
        </w:rPr>
        <w:t xml:space="preserve">: in ‘Bovarra’, ‘Riverton’, ‘Hillgrove’ and ‘Manorvale’ Councils. Additional interviews were conducted with private lawyers representing plaintiffs, </w:t>
      </w:r>
      <w:r w:rsidR="00273E2D" w:rsidRPr="00185946">
        <w:rPr>
          <w:rFonts w:asciiTheme="minorHAnsi" w:hAnsiTheme="minorHAnsi" w:cstheme="minorHAnsi"/>
          <w:lang w:val="en-GB"/>
        </w:rPr>
        <w:t xml:space="preserve">other </w:t>
      </w:r>
      <w:r w:rsidRPr="00185946">
        <w:rPr>
          <w:rFonts w:asciiTheme="minorHAnsi" w:hAnsiTheme="minorHAnsi" w:cstheme="minorHAnsi"/>
          <w:lang w:val="en-GB"/>
        </w:rPr>
        <w:t>local authority engineers and representatives from the monopoly public authority insurer and the Personal Injur</w:t>
      </w:r>
      <w:r w:rsidR="0082140C">
        <w:rPr>
          <w:rFonts w:asciiTheme="minorHAnsi" w:hAnsiTheme="minorHAnsi" w:cstheme="minorHAnsi"/>
          <w:lang w:val="en-GB"/>
        </w:rPr>
        <w:t>ies</w:t>
      </w:r>
      <w:r w:rsidR="00C13071">
        <w:rPr>
          <w:rFonts w:asciiTheme="minorHAnsi" w:hAnsiTheme="minorHAnsi" w:cstheme="minorHAnsi"/>
          <w:lang w:val="en-GB"/>
        </w:rPr>
        <w:t xml:space="preserve"> </w:t>
      </w:r>
      <w:r w:rsidR="00FE3B26">
        <w:rPr>
          <w:rFonts w:asciiTheme="minorHAnsi" w:hAnsiTheme="minorHAnsi" w:cstheme="minorHAnsi"/>
          <w:lang w:val="en-GB"/>
        </w:rPr>
        <w:t>Assessment</w:t>
      </w:r>
      <w:r w:rsidRPr="00185946">
        <w:rPr>
          <w:rFonts w:asciiTheme="minorHAnsi" w:hAnsiTheme="minorHAnsi" w:cstheme="minorHAnsi"/>
          <w:lang w:val="en-GB"/>
        </w:rPr>
        <w:t xml:space="preserve"> Board</w:t>
      </w:r>
      <w:r w:rsidR="00FE3B26">
        <w:rPr>
          <w:rFonts w:asciiTheme="minorHAnsi" w:hAnsiTheme="minorHAnsi" w:cstheme="minorHAnsi"/>
          <w:lang w:val="en-GB"/>
        </w:rPr>
        <w:t xml:space="preserve"> (‘PIAB’), </w:t>
      </w:r>
      <w:r w:rsidR="00FE3B26">
        <w:rPr>
          <w:rFonts w:cstheme="minorHAnsi"/>
        </w:rPr>
        <w:t>the government agency which has, since 2004, been charged with assessing and determining damages in negligence claims</w:t>
      </w:r>
      <w:r w:rsidRPr="00185946">
        <w:rPr>
          <w:rFonts w:asciiTheme="minorHAnsi" w:hAnsiTheme="minorHAnsi" w:cstheme="minorHAnsi"/>
          <w:lang w:val="en-GB"/>
        </w:rPr>
        <w:t xml:space="preserve">. </w:t>
      </w:r>
    </w:p>
    <w:p w14:paraId="01BA1C2D" w14:textId="77777777" w:rsidR="00B47E03" w:rsidRPr="00185946" w:rsidRDefault="00B47E03" w:rsidP="007E7A8D">
      <w:pPr>
        <w:pStyle w:val="Default"/>
        <w:spacing w:line="480" w:lineRule="auto"/>
        <w:rPr>
          <w:rFonts w:asciiTheme="minorHAnsi" w:hAnsiTheme="minorHAnsi" w:cstheme="minorHAnsi"/>
          <w:lang w:val="en-GB"/>
        </w:rPr>
      </w:pPr>
    </w:p>
    <w:p w14:paraId="5BD7A82A" w14:textId="77777777" w:rsidR="00A745A2" w:rsidRPr="00185946" w:rsidRDefault="00A745A2" w:rsidP="007E7A8D">
      <w:pPr>
        <w:pStyle w:val="Default"/>
        <w:spacing w:line="480" w:lineRule="auto"/>
        <w:jc w:val="both"/>
        <w:rPr>
          <w:rFonts w:asciiTheme="minorHAnsi" w:hAnsiTheme="minorHAnsi" w:cstheme="minorHAnsi"/>
          <w:lang w:val="en-GB"/>
        </w:rPr>
      </w:pPr>
    </w:p>
    <w:p w14:paraId="7B5B277A" w14:textId="77777777" w:rsidR="00B47E03" w:rsidRPr="00185946" w:rsidRDefault="00B47E03" w:rsidP="009D52A4">
      <w:pPr>
        <w:pStyle w:val="Default"/>
        <w:numPr>
          <w:ilvl w:val="0"/>
          <w:numId w:val="2"/>
        </w:numPr>
        <w:spacing w:line="480" w:lineRule="auto"/>
        <w:jc w:val="center"/>
        <w:rPr>
          <w:rFonts w:asciiTheme="minorHAnsi" w:hAnsiTheme="minorHAnsi" w:cstheme="minorHAnsi"/>
        </w:rPr>
      </w:pPr>
      <w:r w:rsidRPr="00185946">
        <w:rPr>
          <w:rFonts w:asciiTheme="minorHAnsi" w:hAnsiTheme="minorHAnsi" w:cstheme="minorHAnsi"/>
        </w:rPr>
        <w:t>ROAD MAINTENANCE LAW IN IRELAND AND SCOTLAND</w:t>
      </w:r>
    </w:p>
    <w:p w14:paraId="73066A74" w14:textId="77777777" w:rsidR="00B47E03" w:rsidRPr="00185946" w:rsidRDefault="00B47E03" w:rsidP="007E7A8D">
      <w:pPr>
        <w:pStyle w:val="Default"/>
        <w:spacing w:line="480" w:lineRule="auto"/>
        <w:rPr>
          <w:rFonts w:asciiTheme="minorHAnsi" w:hAnsiTheme="minorHAnsi" w:cstheme="minorHAnsi"/>
        </w:rPr>
      </w:pPr>
    </w:p>
    <w:p w14:paraId="582EDD26" w14:textId="77777777" w:rsidR="00A745A2" w:rsidRPr="00185946" w:rsidRDefault="00B57589" w:rsidP="007E7A8D">
      <w:pPr>
        <w:pStyle w:val="Default"/>
        <w:spacing w:line="480" w:lineRule="auto"/>
        <w:rPr>
          <w:rFonts w:asciiTheme="minorHAnsi" w:hAnsiTheme="minorHAnsi" w:cstheme="minorHAnsi"/>
        </w:rPr>
      </w:pPr>
      <w:r w:rsidRPr="00185946">
        <w:rPr>
          <w:rFonts w:asciiTheme="minorHAnsi" w:hAnsiTheme="minorHAnsi" w:cstheme="minorHAnsi"/>
        </w:rPr>
        <w:t>T</w:t>
      </w:r>
      <w:r w:rsidR="0024243F" w:rsidRPr="00185946">
        <w:rPr>
          <w:rFonts w:asciiTheme="minorHAnsi" w:hAnsiTheme="minorHAnsi" w:cstheme="minorHAnsi"/>
        </w:rPr>
        <w:t>here are important points of difference</w:t>
      </w:r>
      <w:r w:rsidRPr="00185946">
        <w:rPr>
          <w:rFonts w:asciiTheme="minorHAnsi" w:hAnsiTheme="minorHAnsi" w:cstheme="minorHAnsi"/>
        </w:rPr>
        <w:t xml:space="preserve"> between Ireland and Scotland</w:t>
      </w:r>
      <w:r w:rsidR="0024243F" w:rsidRPr="00185946">
        <w:rPr>
          <w:rFonts w:asciiTheme="minorHAnsi" w:hAnsiTheme="minorHAnsi" w:cstheme="minorHAnsi"/>
        </w:rPr>
        <w:t xml:space="preserve"> in</w:t>
      </w:r>
      <w:r w:rsidRPr="00185946">
        <w:rPr>
          <w:rFonts w:asciiTheme="minorHAnsi" w:hAnsiTheme="minorHAnsi" w:cstheme="minorHAnsi"/>
        </w:rPr>
        <w:t xml:space="preserve"> relation to their</w:t>
      </w:r>
      <w:r w:rsidR="0024243F" w:rsidRPr="00185946">
        <w:rPr>
          <w:rFonts w:asciiTheme="minorHAnsi" w:hAnsiTheme="minorHAnsi" w:cstheme="minorHAnsi"/>
        </w:rPr>
        <w:t xml:space="preserve"> liability regimes as they affect road</w:t>
      </w:r>
      <w:r w:rsidRPr="00185946">
        <w:rPr>
          <w:rFonts w:asciiTheme="minorHAnsi" w:hAnsiTheme="minorHAnsi" w:cstheme="minorHAnsi"/>
        </w:rPr>
        <w:t xml:space="preserve"> maintenance</w:t>
      </w:r>
      <w:r w:rsidR="0024243F" w:rsidRPr="00185946">
        <w:rPr>
          <w:rFonts w:asciiTheme="minorHAnsi" w:hAnsiTheme="minorHAnsi" w:cstheme="minorHAnsi"/>
        </w:rPr>
        <w:t>. In Ireland, local authorities retain a statutory immunity from liability for their operations under roads legislation.</w:t>
      </w:r>
      <w:r w:rsidR="008C5358">
        <w:rPr>
          <w:rStyle w:val="FootnoteReference"/>
          <w:rFonts w:asciiTheme="minorHAnsi" w:hAnsiTheme="minorHAnsi" w:cstheme="minorHAnsi"/>
        </w:rPr>
        <w:footnoteReference w:id="14"/>
      </w:r>
      <w:r w:rsidR="0024243F" w:rsidRPr="00185946">
        <w:rPr>
          <w:rFonts w:asciiTheme="minorHAnsi" w:hAnsiTheme="minorHAnsi" w:cstheme="minorHAnsi"/>
        </w:rPr>
        <w:t xml:space="preserve"> Liability is, instead, restricted to harm caused by breaches of the common law duty of care.</w:t>
      </w:r>
      <w:r w:rsidR="008D7AD0" w:rsidRPr="00185946">
        <w:rPr>
          <w:rStyle w:val="FootnoteReference"/>
          <w:rFonts w:asciiTheme="minorHAnsi" w:hAnsiTheme="minorHAnsi" w:cstheme="minorHAnsi"/>
        </w:rPr>
        <w:footnoteReference w:id="15"/>
      </w:r>
      <w:r w:rsidR="0024243F" w:rsidRPr="00185946">
        <w:rPr>
          <w:rFonts w:asciiTheme="minorHAnsi" w:hAnsiTheme="minorHAnsi" w:cstheme="minorHAnsi"/>
        </w:rPr>
        <w:t xml:space="preserve"> However, even at common law a strong distinction has been main</w:t>
      </w:r>
      <w:r w:rsidR="00AA5FF4" w:rsidRPr="00185946">
        <w:rPr>
          <w:rFonts w:asciiTheme="minorHAnsi" w:hAnsiTheme="minorHAnsi" w:cstheme="minorHAnsi"/>
        </w:rPr>
        <w:t>tained between the misfeasance</w:t>
      </w:r>
      <w:r w:rsidR="0024243F" w:rsidRPr="00185946">
        <w:rPr>
          <w:rFonts w:asciiTheme="minorHAnsi" w:hAnsiTheme="minorHAnsi" w:cstheme="minorHAnsi"/>
        </w:rPr>
        <w:t xml:space="preserve"> </w:t>
      </w:r>
      <w:r w:rsidR="00AA5FF4" w:rsidRPr="00185946">
        <w:rPr>
          <w:rFonts w:asciiTheme="minorHAnsi" w:hAnsiTheme="minorHAnsi" w:cstheme="minorHAnsi"/>
        </w:rPr>
        <w:t>and nonfeasance</w:t>
      </w:r>
      <w:r w:rsidR="0024243F" w:rsidRPr="00185946">
        <w:rPr>
          <w:rFonts w:asciiTheme="minorHAnsi" w:hAnsiTheme="minorHAnsi" w:cstheme="minorHAnsi"/>
        </w:rPr>
        <w:t xml:space="preserve"> of public authorities. Authorities are not legally responsible for nonfeasance. This means that</w:t>
      </w:r>
      <w:r w:rsidR="00485CE1" w:rsidRPr="00185946">
        <w:rPr>
          <w:rFonts w:asciiTheme="minorHAnsi" w:hAnsiTheme="minorHAnsi" w:cstheme="minorHAnsi"/>
        </w:rPr>
        <w:t>, doctrinally,</w:t>
      </w:r>
      <w:r w:rsidR="0024243F" w:rsidRPr="00185946">
        <w:rPr>
          <w:rFonts w:asciiTheme="minorHAnsi" w:hAnsiTheme="minorHAnsi" w:cstheme="minorHAnsi"/>
        </w:rPr>
        <w:t xml:space="preserve"> no liability attaches for the failure to maintain a road. Liability arises only if a repair is carried out negligently. </w:t>
      </w:r>
      <w:r w:rsidR="00FE3B26">
        <w:rPr>
          <w:rFonts w:cstheme="minorHAnsi"/>
        </w:rPr>
        <w:t xml:space="preserve">Longstanding arguments about the injustice of the principle of immunity for nonfeasance underpinned its abolition in </w:t>
      </w:r>
      <w:r w:rsidR="00FE3B26">
        <w:rPr>
          <w:rFonts w:cstheme="minorHAnsi"/>
        </w:rPr>
        <w:lastRenderedPageBreak/>
        <w:t>England and Wales in 1961 .</w:t>
      </w:r>
      <w:r w:rsidR="0082140C">
        <w:rPr>
          <w:rStyle w:val="FootnoteReference"/>
          <w:rFonts w:cstheme="minorHAnsi"/>
        </w:rPr>
        <w:footnoteReference w:id="16"/>
      </w:r>
      <w:r w:rsidR="00FE3B26">
        <w:rPr>
          <w:rFonts w:cstheme="minorHAnsi"/>
        </w:rPr>
        <w:t xml:space="preserve"> Beyond the justice issues the doctrine </w:t>
      </w:r>
      <w:r w:rsidR="0024243F" w:rsidRPr="00185946">
        <w:rPr>
          <w:rFonts w:asciiTheme="minorHAnsi" w:hAnsiTheme="minorHAnsi" w:cstheme="minorHAnsi"/>
        </w:rPr>
        <w:t xml:space="preserve">incentivizes roads authorities to neglect the maintenance of roads. </w:t>
      </w:r>
    </w:p>
    <w:p w14:paraId="18E6E222" w14:textId="77777777" w:rsidR="001B3FB0" w:rsidRPr="00185946" w:rsidRDefault="00AA5FF4" w:rsidP="00527616">
      <w:pPr>
        <w:spacing w:after="0" w:line="480" w:lineRule="auto"/>
        <w:ind w:firstLine="720"/>
        <w:rPr>
          <w:rFonts w:cstheme="minorHAnsi"/>
          <w:sz w:val="24"/>
          <w:szCs w:val="24"/>
        </w:rPr>
      </w:pPr>
      <w:r w:rsidRPr="00185946">
        <w:rPr>
          <w:rFonts w:cstheme="minorHAnsi"/>
          <w:sz w:val="24"/>
          <w:szCs w:val="24"/>
        </w:rPr>
        <w:t>In Scots law</w:t>
      </w:r>
      <w:r w:rsidR="0024243F" w:rsidRPr="00185946">
        <w:rPr>
          <w:rFonts w:cstheme="minorHAnsi"/>
          <w:sz w:val="24"/>
          <w:szCs w:val="24"/>
        </w:rPr>
        <w:t>, a distinction between nonfeasance and misfeasance has not been recognised.</w:t>
      </w:r>
      <w:r w:rsidR="008D7AD0" w:rsidRPr="00185946">
        <w:rPr>
          <w:rStyle w:val="FootnoteReference"/>
          <w:rFonts w:cstheme="minorHAnsi"/>
          <w:sz w:val="24"/>
          <w:szCs w:val="24"/>
        </w:rPr>
        <w:footnoteReference w:id="17"/>
      </w:r>
      <w:r w:rsidR="0024243F" w:rsidRPr="00185946">
        <w:rPr>
          <w:rFonts w:cstheme="minorHAnsi"/>
          <w:sz w:val="24"/>
          <w:szCs w:val="24"/>
        </w:rPr>
        <w:t xml:space="preserve"> The long-established common law position is that local authorities have a duty to </w:t>
      </w:r>
      <w:r w:rsidR="0024243F" w:rsidRPr="00185946">
        <w:rPr>
          <w:rFonts w:eastAsia="Batang" w:cstheme="minorHAnsi"/>
          <w:sz w:val="24"/>
          <w:szCs w:val="24"/>
        </w:rPr>
        <w:t>maintain roads in a safe and secure condition for the passage of those entitled to use them</w:t>
      </w:r>
      <w:r w:rsidR="0024243F" w:rsidRPr="00185946">
        <w:rPr>
          <w:rFonts w:cstheme="minorHAnsi"/>
          <w:sz w:val="24"/>
          <w:szCs w:val="24"/>
          <w:lang w:val="en-AU"/>
        </w:rPr>
        <w:t>.</w:t>
      </w:r>
      <w:r w:rsidR="008D7AD0" w:rsidRPr="00185946">
        <w:rPr>
          <w:rStyle w:val="FootnoteReference"/>
          <w:rFonts w:cstheme="minorHAnsi"/>
          <w:sz w:val="24"/>
          <w:szCs w:val="24"/>
          <w:lang w:val="en-AU"/>
        </w:rPr>
        <w:footnoteReference w:id="18"/>
      </w:r>
      <w:r w:rsidR="0024243F" w:rsidRPr="00185946">
        <w:rPr>
          <w:rFonts w:eastAsia="Batang" w:cstheme="minorHAnsi"/>
          <w:sz w:val="24"/>
          <w:szCs w:val="24"/>
        </w:rPr>
        <w:t xml:space="preserve"> </w:t>
      </w:r>
      <w:r w:rsidR="00142C6A">
        <w:rPr>
          <w:rFonts w:eastAsia="Batang" w:cstheme="minorHAnsi"/>
          <w:sz w:val="24"/>
          <w:szCs w:val="24"/>
        </w:rPr>
        <w:t>Further, like local authorities in England and Wales,</w:t>
      </w:r>
      <w:r w:rsidR="00142C6A">
        <w:rPr>
          <w:rStyle w:val="FootnoteReference"/>
          <w:rFonts w:eastAsia="Batang" w:cstheme="minorHAnsi"/>
          <w:sz w:val="24"/>
          <w:szCs w:val="24"/>
        </w:rPr>
        <w:footnoteReference w:id="19"/>
      </w:r>
      <w:r w:rsidR="00142C6A">
        <w:rPr>
          <w:rFonts w:eastAsia="Batang" w:cstheme="minorHAnsi"/>
          <w:sz w:val="24"/>
          <w:szCs w:val="24"/>
        </w:rPr>
        <w:t xml:space="preserve"> Scottish authorities have a </w:t>
      </w:r>
      <w:r w:rsidR="0024243F" w:rsidRPr="00185946">
        <w:rPr>
          <w:rFonts w:eastAsia="Batang" w:cstheme="minorHAnsi"/>
          <w:sz w:val="24"/>
          <w:szCs w:val="24"/>
        </w:rPr>
        <w:t>statutory obligation to manage and maintain roads.</w:t>
      </w:r>
      <w:r w:rsidR="0077542C">
        <w:rPr>
          <w:rStyle w:val="FootnoteReference"/>
          <w:rFonts w:eastAsia="Batang" w:cstheme="minorHAnsi"/>
          <w:sz w:val="24"/>
          <w:szCs w:val="24"/>
        </w:rPr>
        <w:footnoteReference w:id="20"/>
      </w:r>
      <w:r w:rsidR="0024243F" w:rsidRPr="00185946">
        <w:rPr>
          <w:rFonts w:eastAsia="Batang" w:cstheme="minorHAnsi"/>
          <w:sz w:val="24"/>
          <w:szCs w:val="24"/>
        </w:rPr>
        <w:t xml:space="preserve"> Failure to meet this statutory obligation would give rise to liability. </w:t>
      </w:r>
      <w:r w:rsidR="0024243F" w:rsidRPr="00185946">
        <w:rPr>
          <w:rFonts w:cstheme="minorHAnsi"/>
          <w:sz w:val="24"/>
          <w:szCs w:val="24"/>
        </w:rPr>
        <w:t xml:space="preserve">The standard of care required is that authorities must </w:t>
      </w:r>
      <w:r w:rsidR="0024243F" w:rsidRPr="00185946">
        <w:rPr>
          <w:rFonts w:eastAsia="Batang" w:cstheme="minorHAnsi"/>
          <w:sz w:val="24"/>
          <w:szCs w:val="24"/>
        </w:rPr>
        <w:t>inspect carriageways and footways for safety defects in accordance with the common and accepted practice of local authorities.</w:t>
      </w:r>
      <w:r w:rsidR="008D7AD0" w:rsidRPr="00185946">
        <w:rPr>
          <w:rStyle w:val="FootnoteReference"/>
          <w:rFonts w:eastAsia="Batang" w:cstheme="minorHAnsi"/>
          <w:sz w:val="24"/>
          <w:szCs w:val="24"/>
        </w:rPr>
        <w:footnoteReference w:id="21"/>
      </w:r>
      <w:r w:rsidR="0024243F" w:rsidRPr="00185946">
        <w:rPr>
          <w:rFonts w:eastAsia="Batang" w:cstheme="minorHAnsi"/>
          <w:sz w:val="24"/>
          <w:szCs w:val="24"/>
        </w:rPr>
        <w:t xml:space="preserve"> Where hazards are found, or are otherwise brought to the attention of the authority, it has a duty to carry out the repair to make the road safe again.</w:t>
      </w:r>
      <w:r w:rsidR="008D7AD0" w:rsidRPr="00185946">
        <w:rPr>
          <w:rStyle w:val="FootnoteReference"/>
          <w:rFonts w:eastAsia="Batang" w:cstheme="minorHAnsi"/>
          <w:sz w:val="24"/>
          <w:szCs w:val="24"/>
        </w:rPr>
        <w:footnoteReference w:id="22"/>
      </w:r>
      <w:r w:rsidR="001151A0" w:rsidRPr="00185946">
        <w:rPr>
          <w:rFonts w:eastAsia="Batang" w:cstheme="minorHAnsi"/>
          <w:sz w:val="24"/>
          <w:szCs w:val="24"/>
        </w:rPr>
        <w:t xml:space="preserve"> </w:t>
      </w:r>
      <w:r w:rsidR="00FF1271" w:rsidRPr="00185946">
        <w:rPr>
          <w:rFonts w:cstheme="minorHAnsi"/>
          <w:sz w:val="24"/>
          <w:szCs w:val="24"/>
        </w:rPr>
        <w:t xml:space="preserve">Litigants in </w:t>
      </w:r>
      <w:r w:rsidR="00502340">
        <w:rPr>
          <w:rFonts w:cstheme="minorHAnsi"/>
          <w:sz w:val="24"/>
          <w:szCs w:val="24"/>
        </w:rPr>
        <w:t>delictual</w:t>
      </w:r>
      <w:r w:rsidR="00FF1271" w:rsidRPr="00185946">
        <w:rPr>
          <w:rFonts w:cstheme="minorHAnsi"/>
          <w:sz w:val="24"/>
          <w:szCs w:val="24"/>
        </w:rPr>
        <w:t xml:space="preserve"> actions commonly refer to </w:t>
      </w:r>
      <w:r w:rsidR="0077542C">
        <w:rPr>
          <w:rFonts w:cstheme="minorHAnsi"/>
          <w:sz w:val="24"/>
          <w:szCs w:val="24"/>
        </w:rPr>
        <w:t>a professional code of practice</w:t>
      </w:r>
      <w:r w:rsidR="0077542C">
        <w:rPr>
          <w:rStyle w:val="FootnoteReference"/>
          <w:rFonts w:cstheme="minorHAnsi"/>
          <w:sz w:val="24"/>
          <w:szCs w:val="24"/>
        </w:rPr>
        <w:footnoteReference w:id="23"/>
      </w:r>
      <w:r w:rsidR="00FF1271" w:rsidRPr="00185946">
        <w:rPr>
          <w:rFonts w:cstheme="minorHAnsi"/>
          <w:sz w:val="24"/>
          <w:szCs w:val="24"/>
        </w:rPr>
        <w:t xml:space="preserve"> to substantiate their arguments about what is the “common and accepted” practice of local authorities. </w:t>
      </w:r>
      <w:r w:rsidR="001B3FB0" w:rsidRPr="00185946">
        <w:rPr>
          <w:rFonts w:cstheme="minorHAnsi"/>
          <w:sz w:val="24"/>
          <w:szCs w:val="24"/>
        </w:rPr>
        <w:t>Although the Scottish courts have generally been reluctant to formally rule on the exact status of the code in relation to standards of care, it is clear that certain aspects of it, particularly relating to inspection frequencies, have been accepted as indicating accepted stand</w:t>
      </w:r>
      <w:r w:rsidR="001567D3">
        <w:rPr>
          <w:rFonts w:cstheme="minorHAnsi"/>
          <w:sz w:val="24"/>
          <w:szCs w:val="24"/>
        </w:rPr>
        <w:t>ards and so acceptable practice,</w:t>
      </w:r>
      <w:r w:rsidR="001B3FB0" w:rsidRPr="00185946">
        <w:rPr>
          <w:rStyle w:val="FootnoteReference"/>
          <w:rFonts w:cstheme="minorHAnsi"/>
          <w:sz w:val="24"/>
          <w:szCs w:val="24"/>
        </w:rPr>
        <w:footnoteReference w:id="24"/>
      </w:r>
      <w:r w:rsidR="001567D3">
        <w:rPr>
          <w:rFonts w:cstheme="minorHAnsi"/>
          <w:sz w:val="24"/>
          <w:szCs w:val="24"/>
        </w:rPr>
        <w:t xml:space="preserve"> a position similar to the English courts.</w:t>
      </w:r>
      <w:r w:rsidR="001567D3">
        <w:rPr>
          <w:rStyle w:val="FootnoteReference"/>
          <w:rFonts w:cstheme="minorHAnsi"/>
          <w:sz w:val="24"/>
          <w:szCs w:val="24"/>
        </w:rPr>
        <w:footnoteReference w:id="25"/>
      </w:r>
      <w:r w:rsidR="001567D3">
        <w:rPr>
          <w:rFonts w:cstheme="minorHAnsi"/>
          <w:sz w:val="24"/>
          <w:szCs w:val="24"/>
        </w:rPr>
        <w:t xml:space="preserve"> </w:t>
      </w:r>
      <w:r w:rsidR="001B3FB0" w:rsidRPr="00185946">
        <w:rPr>
          <w:rFonts w:cstheme="minorHAnsi"/>
          <w:sz w:val="24"/>
          <w:szCs w:val="24"/>
        </w:rPr>
        <w:t xml:space="preserve">In other </w:t>
      </w:r>
      <w:r w:rsidR="001B3FB0" w:rsidRPr="00185946">
        <w:rPr>
          <w:rFonts w:cstheme="minorHAnsi"/>
          <w:sz w:val="24"/>
          <w:szCs w:val="24"/>
        </w:rPr>
        <w:lastRenderedPageBreak/>
        <w:t>words, the courts have deferred to and incorporated into their jurisprudence the code’s assertions about good road maintenance practice.</w:t>
      </w:r>
    </w:p>
    <w:p w14:paraId="6C7DF855" w14:textId="77777777" w:rsidR="001B3FB0" w:rsidRDefault="001B3FB0" w:rsidP="00527616">
      <w:pPr>
        <w:spacing w:line="480" w:lineRule="auto"/>
        <w:ind w:firstLine="720"/>
        <w:jc w:val="both"/>
        <w:rPr>
          <w:rFonts w:eastAsia="Batang"/>
          <w:sz w:val="24"/>
          <w:szCs w:val="24"/>
        </w:rPr>
      </w:pPr>
      <w:r w:rsidRPr="00185946">
        <w:rPr>
          <w:rFonts w:cstheme="minorHAnsi"/>
          <w:sz w:val="24"/>
          <w:szCs w:val="24"/>
        </w:rPr>
        <w:t xml:space="preserve">The standard of care owed by </w:t>
      </w:r>
      <w:r w:rsidR="00D055DC">
        <w:rPr>
          <w:rFonts w:cstheme="minorHAnsi"/>
          <w:sz w:val="24"/>
          <w:szCs w:val="24"/>
        </w:rPr>
        <w:t xml:space="preserve">Scottish </w:t>
      </w:r>
      <w:r w:rsidRPr="00185946">
        <w:rPr>
          <w:rFonts w:cstheme="minorHAnsi"/>
          <w:sz w:val="24"/>
          <w:szCs w:val="24"/>
        </w:rPr>
        <w:t xml:space="preserve">local authorities to road users can be broken down into three </w:t>
      </w:r>
      <w:r w:rsidR="00B31530" w:rsidRPr="00185946">
        <w:rPr>
          <w:rFonts w:cstheme="minorHAnsi"/>
          <w:sz w:val="24"/>
          <w:szCs w:val="24"/>
        </w:rPr>
        <w:t>components</w:t>
      </w:r>
      <w:r w:rsidRPr="00185946">
        <w:rPr>
          <w:rFonts w:cstheme="minorHAnsi"/>
          <w:sz w:val="24"/>
          <w:szCs w:val="24"/>
        </w:rPr>
        <w:t>. First</w:t>
      </w:r>
      <w:r w:rsidR="00B31530" w:rsidRPr="00185946">
        <w:rPr>
          <w:rFonts w:cstheme="minorHAnsi"/>
          <w:sz w:val="24"/>
          <w:szCs w:val="24"/>
        </w:rPr>
        <w:t>,</w:t>
      </w:r>
      <w:r w:rsidRPr="00185946">
        <w:rPr>
          <w:rFonts w:cstheme="minorHAnsi"/>
          <w:sz w:val="24"/>
          <w:szCs w:val="24"/>
        </w:rPr>
        <w:t xml:space="preserve"> local authorities must </w:t>
      </w:r>
      <w:r w:rsidR="00D055DC">
        <w:rPr>
          <w:rFonts w:cstheme="minorHAnsi"/>
          <w:sz w:val="24"/>
          <w:szCs w:val="24"/>
        </w:rPr>
        <w:t>operate</w:t>
      </w:r>
      <w:r w:rsidRPr="00185946">
        <w:rPr>
          <w:rFonts w:cstheme="minorHAnsi"/>
          <w:sz w:val="24"/>
          <w:szCs w:val="24"/>
        </w:rPr>
        <w:t xml:space="preserve"> an inspection system to detect safety defects. </w:t>
      </w:r>
      <w:r w:rsidRPr="00185946">
        <w:rPr>
          <w:i/>
          <w:iCs/>
          <w:sz w:val="24"/>
          <w:szCs w:val="24"/>
        </w:rPr>
        <w:t>Well Maintained Highways</w:t>
      </w:r>
      <w:r w:rsidR="0077542C">
        <w:rPr>
          <w:rStyle w:val="FootnoteReference"/>
          <w:i/>
          <w:iCs/>
          <w:sz w:val="24"/>
          <w:szCs w:val="24"/>
        </w:rPr>
        <w:footnoteReference w:id="26"/>
      </w:r>
      <w:r w:rsidRPr="00185946">
        <w:rPr>
          <w:sz w:val="24"/>
          <w:szCs w:val="24"/>
        </w:rPr>
        <w:t xml:space="preserve"> </w:t>
      </w:r>
      <w:r w:rsidRPr="00185946">
        <w:rPr>
          <w:rFonts w:eastAsia="Batang"/>
          <w:sz w:val="24"/>
          <w:szCs w:val="24"/>
        </w:rPr>
        <w:t>stipulates that local authorities should</w:t>
      </w:r>
      <w:r w:rsidR="00B31530" w:rsidRPr="00185946">
        <w:rPr>
          <w:rFonts w:eastAsia="Batang"/>
          <w:sz w:val="24"/>
          <w:szCs w:val="24"/>
        </w:rPr>
        <w:t xml:space="preserve"> adopt</w:t>
      </w:r>
      <w:r w:rsidRPr="00185946">
        <w:rPr>
          <w:rFonts w:eastAsia="Batang"/>
          <w:sz w:val="24"/>
          <w:szCs w:val="24"/>
        </w:rPr>
        <w:t xml:space="preserve"> a hierarchy of roads within its network and assign carriageways and footways to a category which reflects their priority and use. Frequency of inspections should vary, in the main, according to the category within the network hierarchy:</w:t>
      </w:r>
    </w:p>
    <w:p w14:paraId="37ACC7BF" w14:textId="77777777" w:rsidR="0077542C" w:rsidRPr="00185946" w:rsidRDefault="0077542C" w:rsidP="00EB61CA">
      <w:pPr>
        <w:spacing w:line="480" w:lineRule="auto"/>
        <w:jc w:val="center"/>
        <w:rPr>
          <w:rFonts w:eastAsia="Batang"/>
          <w:sz w:val="24"/>
          <w:szCs w:val="24"/>
        </w:rPr>
      </w:pPr>
      <w:r>
        <w:rPr>
          <w:rFonts w:eastAsia="Batang"/>
          <w:sz w:val="24"/>
          <w:szCs w:val="24"/>
        </w:rPr>
        <w:t>Insert figure 1 here</w:t>
      </w:r>
    </w:p>
    <w:p w14:paraId="7A77AF64" w14:textId="77777777" w:rsidR="001B3FB0" w:rsidRPr="00B31530" w:rsidRDefault="001B3FB0" w:rsidP="00527616">
      <w:pPr>
        <w:spacing w:line="480" w:lineRule="auto"/>
        <w:ind w:firstLine="720"/>
        <w:jc w:val="both"/>
        <w:rPr>
          <w:i/>
          <w:sz w:val="24"/>
          <w:szCs w:val="24"/>
        </w:rPr>
      </w:pPr>
      <w:r w:rsidRPr="001B3FB0">
        <w:rPr>
          <w:rFonts w:cstheme="minorHAnsi"/>
          <w:sz w:val="24"/>
          <w:szCs w:val="24"/>
        </w:rPr>
        <w:t xml:space="preserve">Second, local authorities must determine which defects constitute a hazard requiring repair. </w:t>
      </w:r>
      <w:r w:rsidRPr="001B3FB0">
        <w:rPr>
          <w:sz w:val="24"/>
          <w:szCs w:val="24"/>
        </w:rPr>
        <w:t xml:space="preserve">Unlike the issue of inspection frequency, the code is not prescriptive about the precise parameters of hazardousness. Rather, it recommends a risk assessment approach and the use of local discretion about what constitutes a safety risk. </w:t>
      </w:r>
      <w:r>
        <w:rPr>
          <w:sz w:val="24"/>
          <w:szCs w:val="24"/>
        </w:rPr>
        <w:t>The stipulations of the code</w:t>
      </w:r>
      <w:r w:rsidRPr="001B3FB0">
        <w:rPr>
          <w:sz w:val="24"/>
          <w:szCs w:val="24"/>
        </w:rPr>
        <w:t xml:space="preserve"> on this issue, then, </w:t>
      </w:r>
      <w:r>
        <w:rPr>
          <w:sz w:val="24"/>
          <w:szCs w:val="24"/>
        </w:rPr>
        <w:t>are</w:t>
      </w:r>
      <w:r w:rsidRPr="001B3FB0">
        <w:rPr>
          <w:sz w:val="24"/>
          <w:szCs w:val="24"/>
        </w:rPr>
        <w:t xml:space="preserve"> more at a level of principle than detailed rule</w:t>
      </w:r>
      <w:r>
        <w:rPr>
          <w:sz w:val="24"/>
          <w:szCs w:val="24"/>
        </w:rPr>
        <w:t xml:space="preserve">, </w:t>
      </w:r>
      <w:r w:rsidR="00185946">
        <w:rPr>
          <w:sz w:val="24"/>
          <w:szCs w:val="24"/>
        </w:rPr>
        <w:t>mirroring</w:t>
      </w:r>
      <w:r>
        <w:rPr>
          <w:sz w:val="24"/>
          <w:szCs w:val="24"/>
        </w:rPr>
        <w:t xml:space="preserve"> the approach of the courts</w:t>
      </w:r>
      <w:r w:rsidRPr="001B3FB0">
        <w:rPr>
          <w:sz w:val="24"/>
          <w:szCs w:val="24"/>
        </w:rPr>
        <w:t>.</w:t>
      </w:r>
      <w:r w:rsidRPr="001B3FB0">
        <w:rPr>
          <w:rStyle w:val="FootnoteReference"/>
          <w:sz w:val="24"/>
          <w:szCs w:val="24"/>
        </w:rPr>
        <w:footnoteReference w:id="27"/>
      </w:r>
      <w:r w:rsidRPr="001B3FB0">
        <w:rPr>
          <w:sz w:val="24"/>
          <w:szCs w:val="24"/>
        </w:rPr>
        <w:t xml:space="preserve"> </w:t>
      </w:r>
      <w:r w:rsidRPr="001B3FB0">
        <w:rPr>
          <w:rFonts w:eastAsia="Batang"/>
          <w:sz w:val="24"/>
          <w:szCs w:val="24"/>
        </w:rPr>
        <w:t>The code sets out the features of a defect which should be considered when making such local individual risk assessments, including the depth, surface area or other degree of deficiency of the defect, and the volume, characteristics and speed of traffic.  It then goes on to give three examples of local authority practice in England, Scotland and Northern Ireland</w:t>
      </w:r>
      <w:r w:rsidR="00185946">
        <w:rPr>
          <w:rFonts w:eastAsia="Batang"/>
          <w:sz w:val="24"/>
          <w:szCs w:val="24"/>
        </w:rPr>
        <w:t>, each of which has a safety threshold different from the others.</w:t>
      </w:r>
      <w:r w:rsidRPr="001B3FB0">
        <w:rPr>
          <w:rFonts w:eastAsia="Batang"/>
          <w:sz w:val="24"/>
          <w:szCs w:val="24"/>
        </w:rPr>
        <w:t xml:space="preserve"> </w:t>
      </w:r>
      <w:r w:rsidR="00185946">
        <w:rPr>
          <w:rFonts w:eastAsia="Batang"/>
          <w:sz w:val="24"/>
          <w:szCs w:val="24"/>
        </w:rPr>
        <w:t>This serves to</w:t>
      </w:r>
      <w:r w:rsidRPr="001B3FB0">
        <w:rPr>
          <w:rFonts w:eastAsia="Batang"/>
          <w:sz w:val="24"/>
          <w:szCs w:val="24"/>
        </w:rPr>
        <w:t xml:space="preserve"> reinforce the code’s message that risk assessment based on local standards is required. </w:t>
      </w:r>
    </w:p>
    <w:p w14:paraId="5C909AB1" w14:textId="77777777" w:rsidR="007D7397" w:rsidRDefault="007D7397" w:rsidP="00527616">
      <w:pPr>
        <w:spacing w:line="480" w:lineRule="auto"/>
        <w:ind w:firstLine="720"/>
        <w:jc w:val="both"/>
        <w:rPr>
          <w:rFonts w:eastAsia="Batang" w:cstheme="minorHAnsi"/>
          <w:sz w:val="24"/>
          <w:szCs w:val="24"/>
        </w:rPr>
      </w:pPr>
      <w:r>
        <w:rPr>
          <w:rFonts w:cstheme="minorHAnsi"/>
          <w:sz w:val="24"/>
          <w:szCs w:val="24"/>
        </w:rPr>
        <w:lastRenderedPageBreak/>
        <w:t>The third component of the standard of care owed by Scottish local authorities is the issue of how quickly a hazardous defect should be made safe</w:t>
      </w:r>
      <w:r w:rsidRPr="007D7397">
        <w:rPr>
          <w:rFonts w:cstheme="minorHAnsi"/>
          <w:sz w:val="24"/>
          <w:szCs w:val="24"/>
        </w:rPr>
        <w:t xml:space="preserve">. </w:t>
      </w:r>
      <w:r w:rsidRPr="007D7397">
        <w:rPr>
          <w:rFonts w:eastAsia="Batang" w:cstheme="minorHAnsi"/>
          <w:sz w:val="24"/>
          <w:szCs w:val="24"/>
        </w:rPr>
        <w:t xml:space="preserve">The </w:t>
      </w:r>
      <w:r w:rsidR="00D055DC">
        <w:rPr>
          <w:rFonts w:eastAsia="Batang" w:cstheme="minorHAnsi"/>
          <w:sz w:val="24"/>
          <w:szCs w:val="24"/>
        </w:rPr>
        <w:t>c</w:t>
      </w:r>
      <w:r w:rsidRPr="007D7397">
        <w:rPr>
          <w:rFonts w:eastAsia="Batang" w:cstheme="minorHAnsi"/>
          <w:sz w:val="24"/>
          <w:szCs w:val="24"/>
        </w:rPr>
        <w:t>ode, in keeping with its risk assessment approach, recommends that local authorities rate defects on a 1 – 4 scale in relation to</w:t>
      </w:r>
      <w:r>
        <w:rPr>
          <w:rFonts w:eastAsia="Batang" w:cstheme="minorHAnsi"/>
          <w:sz w:val="24"/>
          <w:szCs w:val="24"/>
        </w:rPr>
        <w:t xml:space="preserve"> the</w:t>
      </w:r>
      <w:r w:rsidRPr="007D7397">
        <w:rPr>
          <w:rFonts w:eastAsia="Batang" w:cstheme="minorHAnsi"/>
          <w:sz w:val="24"/>
          <w:szCs w:val="24"/>
        </w:rPr>
        <w:t xml:space="preserve"> two dimensions of risk: (1) the </w:t>
      </w:r>
      <w:r>
        <w:rPr>
          <w:rFonts w:eastAsia="Batang" w:cstheme="minorHAnsi"/>
          <w:sz w:val="24"/>
          <w:szCs w:val="24"/>
        </w:rPr>
        <w:t>probability</w:t>
      </w:r>
      <w:r w:rsidRPr="007D7397">
        <w:rPr>
          <w:rFonts w:eastAsia="Batang" w:cstheme="minorHAnsi"/>
          <w:sz w:val="24"/>
          <w:szCs w:val="24"/>
        </w:rPr>
        <w:t xml:space="preserve"> of the risk eventuating; and (2) the likely impact should this occur. The combination of these two risk measurements produces a suggested risk matrix, as follows:</w:t>
      </w:r>
    </w:p>
    <w:p w14:paraId="328B72CF" w14:textId="77777777" w:rsidR="00EB61CA" w:rsidRPr="007D7397" w:rsidRDefault="00EB61CA" w:rsidP="00EB61CA">
      <w:pPr>
        <w:spacing w:line="480" w:lineRule="auto"/>
        <w:jc w:val="center"/>
        <w:rPr>
          <w:rFonts w:cstheme="minorHAnsi"/>
          <w:sz w:val="24"/>
          <w:szCs w:val="24"/>
        </w:rPr>
      </w:pPr>
      <w:r>
        <w:rPr>
          <w:rFonts w:eastAsia="Batang" w:cstheme="minorHAnsi"/>
          <w:sz w:val="24"/>
          <w:szCs w:val="24"/>
        </w:rPr>
        <w:t>Insert  Figure 2 here</w:t>
      </w:r>
    </w:p>
    <w:p w14:paraId="2AC0485E" w14:textId="77777777" w:rsidR="007D7397" w:rsidRDefault="007D7397" w:rsidP="00527616">
      <w:pPr>
        <w:spacing w:line="480" w:lineRule="auto"/>
        <w:ind w:firstLine="720"/>
        <w:jc w:val="both"/>
        <w:rPr>
          <w:rFonts w:eastAsia="Batang" w:cstheme="minorHAnsi"/>
          <w:sz w:val="24"/>
          <w:szCs w:val="24"/>
        </w:rPr>
      </w:pPr>
      <w:r w:rsidRPr="007D7397">
        <w:rPr>
          <w:rFonts w:eastAsia="Batang" w:cstheme="minorHAnsi"/>
          <w:sz w:val="24"/>
          <w:szCs w:val="24"/>
        </w:rPr>
        <w:t>The matrix, as we can see, produces a risk factor associated with individual carriageway or footway defects. In turn, these risk factors correspond to a sliding scale relating to how quickly the defect should be made safe:</w:t>
      </w:r>
    </w:p>
    <w:p w14:paraId="2DA4F778" w14:textId="77777777" w:rsidR="00EB61CA" w:rsidRPr="007D7397" w:rsidRDefault="00EB61CA" w:rsidP="00EB61CA">
      <w:pPr>
        <w:spacing w:line="480" w:lineRule="auto"/>
        <w:jc w:val="center"/>
        <w:rPr>
          <w:rFonts w:eastAsia="Batang" w:cstheme="minorHAnsi"/>
          <w:sz w:val="24"/>
          <w:szCs w:val="24"/>
        </w:rPr>
      </w:pPr>
      <w:r>
        <w:rPr>
          <w:rFonts w:eastAsia="Batang" w:cstheme="minorHAnsi"/>
          <w:sz w:val="24"/>
          <w:szCs w:val="24"/>
        </w:rPr>
        <w:t>Insert Figure 3 here</w:t>
      </w:r>
    </w:p>
    <w:p w14:paraId="2CB68EB6" w14:textId="77777777" w:rsidR="0077542C" w:rsidRDefault="007D7397" w:rsidP="00527616">
      <w:pPr>
        <w:spacing w:line="480" w:lineRule="auto"/>
        <w:ind w:firstLine="720"/>
        <w:jc w:val="both"/>
        <w:rPr>
          <w:rFonts w:eastAsia="Batang" w:cstheme="minorHAnsi"/>
          <w:sz w:val="24"/>
          <w:szCs w:val="24"/>
        </w:rPr>
      </w:pPr>
      <w:r w:rsidRPr="007D7397">
        <w:rPr>
          <w:rFonts w:eastAsia="Batang" w:cstheme="minorHAnsi"/>
          <w:sz w:val="24"/>
          <w:szCs w:val="24"/>
        </w:rPr>
        <w:t>Category 1 defects</w:t>
      </w:r>
      <w:r>
        <w:rPr>
          <w:rFonts w:eastAsia="Batang" w:cstheme="minorHAnsi"/>
          <w:sz w:val="24"/>
          <w:szCs w:val="24"/>
        </w:rPr>
        <w:t xml:space="preserve"> </w:t>
      </w:r>
      <w:r w:rsidRPr="007D7397">
        <w:rPr>
          <w:rFonts w:eastAsia="Batang" w:cstheme="minorHAnsi"/>
          <w:sz w:val="24"/>
          <w:szCs w:val="24"/>
        </w:rPr>
        <w:t>(</w:t>
      </w:r>
      <w:r>
        <w:rPr>
          <w:sz w:val="24"/>
          <w:szCs w:val="24"/>
        </w:rPr>
        <w:t>“t</w:t>
      </w:r>
      <w:r w:rsidRPr="007D7397">
        <w:rPr>
          <w:rFonts w:eastAsia="Batang"/>
          <w:sz w:val="24"/>
          <w:szCs w:val="24"/>
        </w:rPr>
        <w:t>hose that require prompt attention because they represent an immediate o</w:t>
      </w:r>
      <w:r w:rsidR="00B31530">
        <w:rPr>
          <w:rFonts w:eastAsia="Batang"/>
          <w:sz w:val="24"/>
          <w:szCs w:val="24"/>
        </w:rPr>
        <w:t>r</w:t>
      </w:r>
      <w:r w:rsidRPr="007D7397">
        <w:rPr>
          <w:rFonts w:eastAsia="Batang"/>
          <w:sz w:val="24"/>
          <w:szCs w:val="24"/>
        </w:rPr>
        <w:t xml:space="preserve"> imminent hazard or because there is a risk of short-term structural deterioration”)</w:t>
      </w:r>
      <w:r>
        <w:rPr>
          <w:rFonts w:eastAsia="Batang"/>
        </w:rPr>
        <w:t xml:space="preserve"> </w:t>
      </w:r>
      <w:r w:rsidRPr="007D7397">
        <w:rPr>
          <w:rFonts w:eastAsia="Batang" w:cstheme="minorHAnsi"/>
          <w:sz w:val="24"/>
          <w:szCs w:val="24"/>
        </w:rPr>
        <w:t>should, according to the code, be repaired or made safe immediately on inspection. Where this is not possible, they should, at the latest, be repaired or made safe within 24 hours (though the code recognises that some local authorities have adopted a target response time of 2 hours). The code does not stipulate how quickly Category 2 risks</w:t>
      </w:r>
      <w:r>
        <w:rPr>
          <w:rFonts w:eastAsia="Batang" w:cstheme="minorHAnsi"/>
          <w:sz w:val="24"/>
          <w:szCs w:val="24"/>
        </w:rPr>
        <w:t xml:space="preserve"> (i.e. all other safety defects) </w:t>
      </w:r>
      <w:r w:rsidRPr="007D7397">
        <w:rPr>
          <w:rFonts w:eastAsia="Batang" w:cstheme="minorHAnsi"/>
          <w:sz w:val="24"/>
          <w:szCs w:val="24"/>
        </w:rPr>
        <w:t>should be repai</w:t>
      </w:r>
      <w:r w:rsidR="0077542C">
        <w:rPr>
          <w:rFonts w:eastAsia="Batang" w:cstheme="minorHAnsi"/>
          <w:sz w:val="24"/>
          <w:szCs w:val="24"/>
        </w:rPr>
        <w:t xml:space="preserve">red. Rather, it states </w:t>
      </w:r>
    </w:p>
    <w:p w14:paraId="728DA6F8" w14:textId="77777777" w:rsidR="007D7397" w:rsidRPr="007D7397" w:rsidRDefault="007D7397" w:rsidP="0077542C">
      <w:pPr>
        <w:spacing w:line="240" w:lineRule="auto"/>
        <w:ind w:left="720" w:right="737"/>
        <w:jc w:val="both"/>
        <w:rPr>
          <w:rFonts w:eastAsia="Batang" w:cstheme="minorHAnsi"/>
          <w:sz w:val="24"/>
          <w:szCs w:val="24"/>
        </w:rPr>
      </w:pPr>
      <w:r w:rsidRPr="007D7397">
        <w:rPr>
          <w:rFonts w:eastAsia="Batang" w:cstheme="minorHAnsi"/>
          <w:sz w:val="24"/>
          <w:szCs w:val="24"/>
        </w:rPr>
        <w:t>[t]hese defects are not required to be urgently rectified, and those for which repairs are required shall be undertaken within a planned programme of works, with the priority as determined by risk assessment”.</w:t>
      </w:r>
      <w:r w:rsidR="0077542C">
        <w:rPr>
          <w:rStyle w:val="FootnoteReference"/>
          <w:rFonts w:eastAsia="Batang" w:cstheme="minorHAnsi"/>
          <w:sz w:val="24"/>
          <w:szCs w:val="24"/>
        </w:rPr>
        <w:footnoteReference w:id="28"/>
      </w:r>
    </w:p>
    <w:p w14:paraId="3F4B638B" w14:textId="77777777" w:rsidR="0077542C" w:rsidRDefault="0077542C" w:rsidP="00527616">
      <w:pPr>
        <w:spacing w:after="0" w:line="480" w:lineRule="auto"/>
        <w:ind w:firstLine="720"/>
        <w:rPr>
          <w:rFonts w:eastAsia="Batang" w:cstheme="minorHAnsi"/>
          <w:sz w:val="24"/>
          <w:szCs w:val="24"/>
        </w:rPr>
      </w:pPr>
    </w:p>
    <w:p w14:paraId="4A369141" w14:textId="77777777" w:rsidR="001B3FB0" w:rsidRDefault="007D7397" w:rsidP="00527616">
      <w:pPr>
        <w:spacing w:after="0" w:line="480" w:lineRule="auto"/>
        <w:ind w:firstLine="720"/>
        <w:rPr>
          <w:rFonts w:eastAsia="Batang" w:cstheme="minorHAnsi"/>
          <w:sz w:val="24"/>
          <w:szCs w:val="24"/>
        </w:rPr>
      </w:pPr>
      <w:r>
        <w:rPr>
          <w:rFonts w:eastAsia="Batang" w:cstheme="minorHAnsi"/>
          <w:sz w:val="24"/>
          <w:szCs w:val="24"/>
        </w:rPr>
        <w:lastRenderedPageBreak/>
        <w:t xml:space="preserve">For Scottish authorities, then, the duty of care in relation to road maintenance comprises a mix of rules and principles. </w:t>
      </w:r>
      <w:r w:rsidR="001B3FB0" w:rsidRPr="004350D8">
        <w:rPr>
          <w:rFonts w:eastAsia="Batang" w:cstheme="minorHAnsi"/>
          <w:sz w:val="24"/>
          <w:szCs w:val="24"/>
        </w:rPr>
        <w:t>Liability attaches</w:t>
      </w:r>
      <w:r>
        <w:rPr>
          <w:rFonts w:eastAsia="Batang" w:cstheme="minorHAnsi"/>
          <w:sz w:val="24"/>
          <w:szCs w:val="24"/>
        </w:rPr>
        <w:t xml:space="preserve"> </w:t>
      </w:r>
      <w:r w:rsidR="001B3FB0" w:rsidRPr="004350D8">
        <w:rPr>
          <w:rFonts w:eastAsia="Batang" w:cstheme="minorHAnsi"/>
          <w:sz w:val="24"/>
          <w:szCs w:val="24"/>
        </w:rPr>
        <w:t xml:space="preserve">where </w:t>
      </w:r>
      <w:r>
        <w:rPr>
          <w:rFonts w:eastAsia="Batang" w:cstheme="minorHAnsi"/>
          <w:sz w:val="24"/>
          <w:szCs w:val="24"/>
        </w:rPr>
        <w:t xml:space="preserve">(1) </w:t>
      </w:r>
      <w:r w:rsidR="001B3FB0" w:rsidRPr="004350D8">
        <w:rPr>
          <w:rFonts w:eastAsia="Batang" w:cstheme="minorHAnsi"/>
          <w:sz w:val="24"/>
          <w:szCs w:val="24"/>
        </w:rPr>
        <w:t xml:space="preserve">there has been a failure </w:t>
      </w:r>
      <w:r>
        <w:rPr>
          <w:rFonts w:eastAsia="Batang" w:cstheme="minorHAnsi"/>
          <w:sz w:val="24"/>
          <w:szCs w:val="24"/>
        </w:rPr>
        <w:t xml:space="preserve">to comply with the rules about </w:t>
      </w:r>
      <w:r w:rsidR="001B3FB0" w:rsidRPr="004350D8">
        <w:rPr>
          <w:rFonts w:eastAsia="Batang" w:cstheme="minorHAnsi"/>
          <w:sz w:val="24"/>
          <w:szCs w:val="24"/>
        </w:rPr>
        <w:t xml:space="preserve">inspection </w:t>
      </w:r>
      <w:r>
        <w:rPr>
          <w:rFonts w:eastAsia="Batang" w:cstheme="minorHAnsi"/>
          <w:sz w:val="24"/>
          <w:szCs w:val="24"/>
        </w:rPr>
        <w:t>frequency; (2)</w:t>
      </w:r>
      <w:r w:rsidR="001B3FB0" w:rsidRPr="004350D8">
        <w:rPr>
          <w:rFonts w:eastAsia="Batang" w:cstheme="minorHAnsi"/>
          <w:sz w:val="24"/>
          <w:szCs w:val="24"/>
        </w:rPr>
        <w:t xml:space="preserve"> where defects </w:t>
      </w:r>
      <w:r>
        <w:rPr>
          <w:rFonts w:eastAsia="Batang" w:cstheme="minorHAnsi"/>
          <w:sz w:val="24"/>
          <w:szCs w:val="24"/>
        </w:rPr>
        <w:t xml:space="preserve">have not been adequately recognised as hazardous; or (3) where safety defects </w:t>
      </w:r>
      <w:r w:rsidR="001B3FB0" w:rsidRPr="004350D8">
        <w:rPr>
          <w:rFonts w:eastAsia="Batang" w:cstheme="minorHAnsi"/>
          <w:sz w:val="24"/>
          <w:szCs w:val="24"/>
        </w:rPr>
        <w:t>have not been repaired sufficiently quickly.</w:t>
      </w:r>
    </w:p>
    <w:p w14:paraId="2A6F4893" w14:textId="77777777" w:rsidR="00086136" w:rsidRDefault="0024243F" w:rsidP="00527616">
      <w:pPr>
        <w:pStyle w:val="Default"/>
        <w:spacing w:line="480" w:lineRule="auto"/>
        <w:ind w:firstLine="720"/>
        <w:rPr>
          <w:rFonts w:asciiTheme="minorHAnsi" w:hAnsiTheme="minorHAnsi" w:cstheme="minorHAnsi"/>
          <w:bCs/>
        </w:rPr>
      </w:pPr>
      <w:r w:rsidRPr="004350D8">
        <w:rPr>
          <w:rFonts w:asciiTheme="minorHAnsi" w:hAnsiTheme="minorHAnsi" w:cstheme="minorHAnsi"/>
          <w:lang w:val="en-GB"/>
        </w:rPr>
        <w:t>Just as significant as the differences in legal doctrine between Ireland and Scotland</w:t>
      </w:r>
      <w:r w:rsidR="00B31530">
        <w:rPr>
          <w:rFonts w:asciiTheme="minorHAnsi" w:hAnsiTheme="minorHAnsi" w:cstheme="minorHAnsi"/>
          <w:lang w:val="en-GB"/>
        </w:rPr>
        <w:t>, however,</w:t>
      </w:r>
      <w:r w:rsidRPr="004350D8">
        <w:rPr>
          <w:rFonts w:asciiTheme="minorHAnsi" w:hAnsiTheme="minorHAnsi" w:cstheme="minorHAnsi"/>
          <w:lang w:val="en-GB"/>
        </w:rPr>
        <w:t xml:space="preserve"> are the perceptions within local authorities in the two jurisdictions concerning legal certainty. Whilst authorities in Ireland are apparently protected by the misfeasance/nonfeasance distinction and a more general recognition by the Irish Courts of public policy reasons for not applying too extensive principles of liability to public authorities,</w:t>
      </w:r>
      <w:r w:rsidR="008D7AD0" w:rsidRPr="004350D8">
        <w:rPr>
          <w:rStyle w:val="FootnoteReference"/>
          <w:rFonts w:asciiTheme="minorHAnsi" w:hAnsiTheme="minorHAnsi" w:cstheme="minorHAnsi"/>
          <w:lang w:val="en-GB"/>
        </w:rPr>
        <w:footnoteReference w:id="29"/>
      </w:r>
      <w:r w:rsidRPr="004350D8">
        <w:rPr>
          <w:rFonts w:asciiTheme="minorHAnsi" w:hAnsiTheme="minorHAnsi" w:cstheme="minorHAnsi"/>
          <w:lang w:val="en-GB"/>
        </w:rPr>
        <w:t xml:space="preserve"> </w:t>
      </w:r>
      <w:r w:rsidR="00AA5FF4" w:rsidRPr="004350D8">
        <w:rPr>
          <w:rFonts w:asciiTheme="minorHAnsi" w:hAnsiTheme="minorHAnsi" w:cstheme="minorHAnsi"/>
          <w:lang w:val="en-GB"/>
        </w:rPr>
        <w:t xml:space="preserve">the local authority </w:t>
      </w:r>
      <w:r w:rsidRPr="004350D8">
        <w:rPr>
          <w:rFonts w:asciiTheme="minorHAnsi" w:hAnsiTheme="minorHAnsi" w:cstheme="minorHAnsi"/>
          <w:bCs/>
        </w:rPr>
        <w:t xml:space="preserve">staff </w:t>
      </w:r>
      <w:r w:rsidR="00AA5FF4" w:rsidRPr="004350D8">
        <w:rPr>
          <w:rFonts w:asciiTheme="minorHAnsi" w:hAnsiTheme="minorHAnsi" w:cstheme="minorHAnsi"/>
          <w:bCs/>
        </w:rPr>
        <w:t xml:space="preserve">in our Irish case studies </w:t>
      </w:r>
      <w:r w:rsidRPr="004350D8">
        <w:rPr>
          <w:rFonts w:asciiTheme="minorHAnsi" w:hAnsiTheme="minorHAnsi" w:cstheme="minorHAnsi"/>
          <w:bCs/>
        </w:rPr>
        <w:t>act</w:t>
      </w:r>
      <w:r w:rsidR="00AA5FF4" w:rsidRPr="004350D8">
        <w:rPr>
          <w:rFonts w:asciiTheme="minorHAnsi" w:hAnsiTheme="minorHAnsi" w:cstheme="minorHAnsi"/>
          <w:bCs/>
        </w:rPr>
        <w:t>ed</w:t>
      </w:r>
      <w:r w:rsidRPr="004350D8">
        <w:rPr>
          <w:rFonts w:asciiTheme="minorHAnsi" w:hAnsiTheme="minorHAnsi" w:cstheme="minorHAnsi"/>
          <w:bCs/>
        </w:rPr>
        <w:t xml:space="preserve"> on the basis that outcomes of litigation </w:t>
      </w:r>
      <w:r w:rsidR="00DF12DC" w:rsidRPr="004350D8">
        <w:rPr>
          <w:rFonts w:asciiTheme="minorHAnsi" w:hAnsiTheme="minorHAnsi" w:cstheme="minorHAnsi"/>
          <w:bCs/>
        </w:rPr>
        <w:t>were</w:t>
      </w:r>
      <w:r w:rsidRPr="004350D8">
        <w:rPr>
          <w:rFonts w:asciiTheme="minorHAnsi" w:hAnsiTheme="minorHAnsi" w:cstheme="minorHAnsi"/>
          <w:bCs/>
        </w:rPr>
        <w:t xml:space="preserve"> difficult to predict. </w:t>
      </w:r>
      <w:r w:rsidR="00D71054">
        <w:rPr>
          <w:rFonts w:asciiTheme="minorHAnsi" w:eastAsia="Batang" w:hAnsiTheme="minorHAnsi" w:cstheme="minorHAnsi"/>
        </w:rPr>
        <w:t>W</w:t>
      </w:r>
      <w:r w:rsidR="00D71054" w:rsidRPr="004350D8">
        <w:rPr>
          <w:rFonts w:asciiTheme="minorHAnsi" w:eastAsia="Batang" w:hAnsiTheme="minorHAnsi" w:cstheme="minorHAnsi"/>
        </w:rPr>
        <w:t>hereas some Irish authorities appl</w:t>
      </w:r>
      <w:r w:rsidR="00D71054">
        <w:rPr>
          <w:rFonts w:asciiTheme="minorHAnsi" w:eastAsia="Batang" w:hAnsiTheme="minorHAnsi" w:cstheme="minorHAnsi"/>
        </w:rPr>
        <w:t>ied</w:t>
      </w:r>
      <w:r w:rsidR="00D71054" w:rsidRPr="004350D8">
        <w:rPr>
          <w:rFonts w:asciiTheme="minorHAnsi" w:eastAsia="Batang" w:hAnsiTheme="minorHAnsi" w:cstheme="minorHAnsi"/>
        </w:rPr>
        <w:t xml:space="preserve"> the nonfeasance doctrine in refraining from repairing certain sections of road, other authorities pa</w:t>
      </w:r>
      <w:r w:rsidR="00D71054">
        <w:rPr>
          <w:rFonts w:asciiTheme="minorHAnsi" w:eastAsia="Batang" w:hAnsiTheme="minorHAnsi" w:cstheme="minorHAnsi"/>
        </w:rPr>
        <w:t>id</w:t>
      </w:r>
      <w:r w:rsidR="00D71054" w:rsidRPr="004350D8">
        <w:rPr>
          <w:rFonts w:asciiTheme="minorHAnsi" w:eastAsia="Batang" w:hAnsiTheme="minorHAnsi" w:cstheme="minorHAnsi"/>
        </w:rPr>
        <w:t xml:space="preserve"> little attention to it. </w:t>
      </w:r>
      <w:r w:rsidRPr="004350D8">
        <w:rPr>
          <w:rFonts w:asciiTheme="minorHAnsi" w:hAnsiTheme="minorHAnsi" w:cstheme="minorHAnsi"/>
          <w:bCs/>
        </w:rPr>
        <w:t xml:space="preserve">There </w:t>
      </w:r>
      <w:r w:rsidR="00DF12DC" w:rsidRPr="004350D8">
        <w:rPr>
          <w:rFonts w:asciiTheme="minorHAnsi" w:hAnsiTheme="minorHAnsi" w:cstheme="minorHAnsi"/>
          <w:bCs/>
        </w:rPr>
        <w:t>was</w:t>
      </w:r>
      <w:r w:rsidRPr="004350D8">
        <w:rPr>
          <w:rFonts w:asciiTheme="minorHAnsi" w:hAnsiTheme="minorHAnsi" w:cstheme="minorHAnsi"/>
          <w:bCs/>
        </w:rPr>
        <w:t xml:space="preserve"> a perception </w:t>
      </w:r>
      <w:r w:rsidR="00D71054">
        <w:rPr>
          <w:rFonts w:asciiTheme="minorHAnsi" w:hAnsiTheme="minorHAnsi" w:cstheme="minorHAnsi"/>
          <w:bCs/>
        </w:rPr>
        <w:t xml:space="preserve">amongst some </w:t>
      </w:r>
      <w:r w:rsidRPr="004350D8">
        <w:rPr>
          <w:rFonts w:asciiTheme="minorHAnsi" w:hAnsiTheme="minorHAnsi" w:cstheme="minorHAnsi"/>
          <w:bCs/>
        </w:rPr>
        <w:t xml:space="preserve">that judges in the lower courts </w:t>
      </w:r>
      <w:r w:rsidR="00DF12DC" w:rsidRPr="004350D8">
        <w:rPr>
          <w:rFonts w:asciiTheme="minorHAnsi" w:hAnsiTheme="minorHAnsi" w:cstheme="minorHAnsi"/>
          <w:bCs/>
        </w:rPr>
        <w:t>were</w:t>
      </w:r>
      <w:r w:rsidRPr="004350D8">
        <w:rPr>
          <w:rFonts w:asciiTheme="minorHAnsi" w:hAnsiTheme="minorHAnsi" w:cstheme="minorHAnsi"/>
          <w:bCs/>
        </w:rPr>
        <w:t xml:space="preserve"> as likely to have their judgments shaped by the justice of the particular case as by the strict application of legal doctrine. </w:t>
      </w:r>
      <w:r w:rsidR="00786D9F" w:rsidRPr="004350D8">
        <w:rPr>
          <w:rFonts w:asciiTheme="minorHAnsi" w:hAnsiTheme="minorHAnsi" w:cstheme="minorHAnsi"/>
          <w:bCs/>
        </w:rPr>
        <w:t>One local authority risk manager, for example, suggested to us that “the attitude of the legal system is that our public liability insurance is in fact accident insurance” and that the court’s main concern is to ensure that claimants receive payouts for accidents.</w:t>
      </w:r>
    </w:p>
    <w:p w14:paraId="0A4000B4" w14:textId="77777777" w:rsidR="00367BB4" w:rsidRDefault="00AA5FF4" w:rsidP="00527616">
      <w:pPr>
        <w:pStyle w:val="Default"/>
        <w:spacing w:line="480" w:lineRule="auto"/>
        <w:ind w:firstLine="720"/>
        <w:rPr>
          <w:lang w:val="en-GB"/>
        </w:rPr>
      </w:pPr>
      <w:r w:rsidRPr="004350D8">
        <w:rPr>
          <w:rFonts w:asciiTheme="minorHAnsi" w:hAnsiTheme="minorHAnsi" w:cstheme="minorHAnsi"/>
          <w:bCs/>
        </w:rPr>
        <w:t>This situation contrasts with Scotland where</w:t>
      </w:r>
      <w:r w:rsidR="00086136">
        <w:rPr>
          <w:rFonts w:asciiTheme="minorHAnsi" w:hAnsiTheme="minorHAnsi" w:cstheme="minorHAnsi"/>
          <w:bCs/>
        </w:rPr>
        <w:t xml:space="preserve">, notwithstanding the mix of rules and principles constituting the duty of care, local authorities developed practice rules for establishing thresholds of hazardousness and  repair deadlines in addition to complying with the rules of inspection frequency stipulated in the code. </w:t>
      </w:r>
      <w:r w:rsidR="00367BB4">
        <w:rPr>
          <w:rFonts w:asciiTheme="minorHAnsi" w:hAnsiTheme="minorHAnsi" w:cstheme="minorHAnsi"/>
          <w:bCs/>
        </w:rPr>
        <w:t xml:space="preserve">Sodor and Beulah Councils, for </w:t>
      </w:r>
      <w:r w:rsidR="00367BB4">
        <w:rPr>
          <w:rFonts w:asciiTheme="minorHAnsi" w:hAnsiTheme="minorHAnsi" w:cstheme="minorHAnsi"/>
          <w:bCs/>
        </w:rPr>
        <w:lastRenderedPageBreak/>
        <w:t xml:space="preserve">example, </w:t>
      </w:r>
      <w:r w:rsidR="00367BB4">
        <w:rPr>
          <w:lang w:val="en-GB"/>
        </w:rPr>
        <w:t xml:space="preserve">used thresholds of 20mm depth for footways and 40mm depth for carriageways to determine the hazardousness of defects whilst Knockbrex used thresholds of 25mm and 50mm. In relation to </w:t>
      </w:r>
      <w:r w:rsidR="00B31530">
        <w:rPr>
          <w:lang w:val="en-GB"/>
        </w:rPr>
        <w:t xml:space="preserve">Sodor’s </w:t>
      </w:r>
      <w:r w:rsidR="00367BB4">
        <w:rPr>
          <w:lang w:val="en-GB"/>
        </w:rPr>
        <w:t xml:space="preserve">repair times, </w:t>
      </w:r>
      <w:r w:rsidR="00B31530">
        <w:rPr>
          <w:rFonts w:eastAsia="Batang"/>
        </w:rPr>
        <w:t xml:space="preserve">repairs </w:t>
      </w:r>
      <w:r w:rsidR="00367BB4">
        <w:rPr>
          <w:rFonts w:eastAsia="Batang"/>
        </w:rPr>
        <w:t>could be ordered</w:t>
      </w:r>
      <w:r w:rsidR="00B31530">
        <w:rPr>
          <w:rFonts w:eastAsia="Batang"/>
        </w:rPr>
        <w:t xml:space="preserve"> for completion</w:t>
      </w:r>
      <w:r w:rsidR="00367BB4">
        <w:rPr>
          <w:rFonts w:eastAsia="Batang"/>
        </w:rPr>
        <w:t xml:space="preserve"> within 2 hours for imminent risks requiring immediate repair, or within 24 hours for serious risks requiring urgent repair. For category 2 defects, repairs could be ordered within 5 days, 28 days or up to 6 months. </w:t>
      </w:r>
      <w:r w:rsidR="00B31530">
        <w:rPr>
          <w:rFonts w:eastAsia="Batang"/>
        </w:rPr>
        <w:t xml:space="preserve">In </w:t>
      </w:r>
      <w:r w:rsidR="00367BB4">
        <w:rPr>
          <w:rFonts w:eastAsia="Batang"/>
        </w:rPr>
        <w:t>K</w:t>
      </w:r>
      <w:r w:rsidR="00B31530">
        <w:rPr>
          <w:rFonts w:eastAsia="Batang"/>
        </w:rPr>
        <w:t>nockbrex,</w:t>
      </w:r>
      <w:r w:rsidR="00367BB4">
        <w:rPr>
          <w:rFonts w:eastAsia="Batang"/>
        </w:rPr>
        <w:t xml:space="preserve"> repairs could be ordered immediately for defects “presenting an immediate and critical hazard to road users” or within 2 days for defects “presenting an urgent or imminent hazard or risk of rapid structural deterioration”. Category 2 defects in Knockbrex could be ordered for repair within 10 days or 20 days. Buelah’s category 1 repairs could be ordered immediately or within 2 days. Category 2 defects in Beulah could be ordered for repair within 5 days.</w:t>
      </w:r>
    </w:p>
    <w:p w14:paraId="5467AFF0" w14:textId="77777777" w:rsidR="00086136" w:rsidRDefault="00EE328F" w:rsidP="00527616">
      <w:pPr>
        <w:pStyle w:val="Default"/>
        <w:spacing w:line="480" w:lineRule="auto"/>
        <w:ind w:firstLine="720"/>
        <w:rPr>
          <w:rFonts w:asciiTheme="minorHAnsi" w:hAnsiTheme="minorHAnsi" w:cstheme="minorHAnsi"/>
          <w:bCs/>
        </w:rPr>
      </w:pPr>
      <w:r>
        <w:rPr>
          <w:rFonts w:asciiTheme="minorHAnsi" w:hAnsiTheme="minorHAnsi" w:cstheme="minorHAnsi"/>
          <w:bCs/>
        </w:rPr>
        <w:t xml:space="preserve">The </w:t>
      </w:r>
      <w:r w:rsidR="00185946">
        <w:rPr>
          <w:rFonts w:asciiTheme="minorHAnsi" w:hAnsiTheme="minorHAnsi" w:cstheme="minorHAnsi"/>
          <w:bCs/>
        </w:rPr>
        <w:t>internal</w:t>
      </w:r>
      <w:r>
        <w:rPr>
          <w:rFonts w:asciiTheme="minorHAnsi" w:hAnsiTheme="minorHAnsi" w:cstheme="minorHAnsi"/>
          <w:bCs/>
        </w:rPr>
        <w:t xml:space="preserve"> development of rules</w:t>
      </w:r>
      <w:r w:rsidR="00185946">
        <w:rPr>
          <w:rFonts w:asciiTheme="minorHAnsi" w:hAnsiTheme="minorHAnsi" w:cstheme="minorHAnsi"/>
          <w:bCs/>
        </w:rPr>
        <w:t xml:space="preserve"> and routines in order to streamline bureaucratic action is</w:t>
      </w:r>
      <w:r>
        <w:rPr>
          <w:rFonts w:asciiTheme="minorHAnsi" w:hAnsiTheme="minorHAnsi" w:cstheme="minorHAnsi"/>
          <w:bCs/>
        </w:rPr>
        <w:t>, of course, a familiar and inevitable feature of public administration.</w:t>
      </w:r>
      <w:r w:rsidR="00EB61CA">
        <w:rPr>
          <w:rStyle w:val="FootnoteReference"/>
          <w:rFonts w:asciiTheme="minorHAnsi" w:hAnsiTheme="minorHAnsi" w:cstheme="minorHAnsi"/>
          <w:bCs/>
        </w:rPr>
        <w:footnoteReference w:id="30"/>
      </w:r>
      <w:r>
        <w:rPr>
          <w:rFonts w:asciiTheme="minorHAnsi" w:hAnsiTheme="minorHAnsi" w:cstheme="minorHAnsi"/>
          <w:bCs/>
        </w:rPr>
        <w:t xml:space="preserve"> Significantly for our purposes here, though, i</w:t>
      </w:r>
      <w:r w:rsidR="00B31530">
        <w:rPr>
          <w:rFonts w:asciiTheme="minorHAnsi" w:hAnsiTheme="minorHAnsi" w:cstheme="minorHAnsi"/>
          <w:bCs/>
        </w:rPr>
        <w:t>n each of our case study authorities in Scotland, this</w:t>
      </w:r>
      <w:r w:rsidR="00086136">
        <w:rPr>
          <w:rFonts w:asciiTheme="minorHAnsi" w:hAnsiTheme="minorHAnsi" w:cstheme="minorHAnsi"/>
          <w:bCs/>
        </w:rPr>
        <w:t xml:space="preserve"> mix of internal and external rules was applied </w:t>
      </w:r>
      <w:r w:rsidR="00367BB4">
        <w:rPr>
          <w:rFonts w:asciiTheme="minorHAnsi" w:hAnsiTheme="minorHAnsi" w:cstheme="minorHAnsi"/>
          <w:bCs/>
        </w:rPr>
        <w:t xml:space="preserve">in the </w:t>
      </w:r>
      <w:r w:rsidR="003B0269">
        <w:rPr>
          <w:rFonts w:asciiTheme="minorHAnsi" w:hAnsiTheme="minorHAnsi" w:cstheme="minorHAnsi"/>
          <w:bCs/>
        </w:rPr>
        <w:t xml:space="preserve">firm </w:t>
      </w:r>
      <w:r w:rsidR="00367BB4">
        <w:rPr>
          <w:rFonts w:asciiTheme="minorHAnsi" w:hAnsiTheme="minorHAnsi" w:cstheme="minorHAnsi"/>
          <w:bCs/>
        </w:rPr>
        <w:t>conviction</w:t>
      </w:r>
      <w:r w:rsidR="00086136">
        <w:rPr>
          <w:rFonts w:asciiTheme="minorHAnsi" w:hAnsiTheme="minorHAnsi" w:cstheme="minorHAnsi"/>
          <w:bCs/>
        </w:rPr>
        <w:t xml:space="preserve"> that such would fu</w:t>
      </w:r>
      <w:r w:rsidR="003B0269">
        <w:rPr>
          <w:rFonts w:asciiTheme="minorHAnsi" w:hAnsiTheme="minorHAnsi" w:cstheme="minorHAnsi"/>
          <w:bCs/>
        </w:rPr>
        <w:t>l</w:t>
      </w:r>
      <w:r w:rsidR="00086136">
        <w:rPr>
          <w:rFonts w:asciiTheme="minorHAnsi" w:hAnsiTheme="minorHAnsi" w:cstheme="minorHAnsi"/>
          <w:bCs/>
        </w:rPr>
        <w:t xml:space="preserve">fil the duty of care and avoid liability. </w:t>
      </w:r>
      <w:r>
        <w:rPr>
          <w:rFonts w:asciiTheme="minorHAnsi" w:hAnsiTheme="minorHAnsi" w:cstheme="minorHAnsi"/>
          <w:bCs/>
        </w:rPr>
        <w:t xml:space="preserve">This </w:t>
      </w:r>
      <w:r w:rsidR="00185946">
        <w:rPr>
          <w:rFonts w:asciiTheme="minorHAnsi" w:hAnsiTheme="minorHAnsi" w:cstheme="minorHAnsi"/>
          <w:bCs/>
        </w:rPr>
        <w:t xml:space="preserve">conviction </w:t>
      </w:r>
      <w:r>
        <w:rPr>
          <w:rFonts w:asciiTheme="minorHAnsi" w:hAnsiTheme="minorHAnsi" w:cstheme="minorHAnsi"/>
          <w:bCs/>
        </w:rPr>
        <w:t>was in part, as we noted above, because of judicial support for the code of practice</w:t>
      </w:r>
      <w:r w:rsidR="00D055DC">
        <w:rPr>
          <w:rFonts w:asciiTheme="minorHAnsi" w:hAnsiTheme="minorHAnsi" w:cstheme="minorHAnsi"/>
          <w:bCs/>
        </w:rPr>
        <w:t>, particularly in relation to inspection frequencies</w:t>
      </w:r>
      <w:r>
        <w:rPr>
          <w:rFonts w:asciiTheme="minorHAnsi" w:hAnsiTheme="minorHAnsi" w:cstheme="minorHAnsi"/>
          <w:bCs/>
        </w:rPr>
        <w:t xml:space="preserve">. More significant, however, was the fact that the vast majority of roads compensation claims in Scotland </w:t>
      </w:r>
      <w:r w:rsidR="00F23542">
        <w:rPr>
          <w:rFonts w:asciiTheme="minorHAnsi" w:hAnsiTheme="minorHAnsi" w:cstheme="minorHAnsi"/>
          <w:bCs/>
        </w:rPr>
        <w:t>did</w:t>
      </w:r>
      <w:r>
        <w:rPr>
          <w:rFonts w:asciiTheme="minorHAnsi" w:hAnsiTheme="minorHAnsi" w:cstheme="minorHAnsi"/>
          <w:bCs/>
        </w:rPr>
        <w:t xml:space="preserve"> not reach the stage of litigation. </w:t>
      </w:r>
      <w:r w:rsidR="00F23542" w:rsidRPr="00F23542">
        <w:rPr>
          <w:rFonts w:asciiTheme="minorHAnsi" w:hAnsiTheme="minorHAnsi" w:cstheme="minorHAnsi"/>
          <w:lang w:val="en-GB"/>
        </w:rPr>
        <w:t>As with most civil disputes,</w:t>
      </w:r>
      <w:r w:rsidR="00EB61CA">
        <w:rPr>
          <w:rStyle w:val="FootnoteReference"/>
          <w:rFonts w:asciiTheme="minorHAnsi" w:hAnsiTheme="minorHAnsi" w:cstheme="minorHAnsi"/>
          <w:lang w:val="en-GB"/>
        </w:rPr>
        <w:footnoteReference w:id="31"/>
      </w:r>
      <w:r w:rsidR="00F23542" w:rsidRPr="00F23542">
        <w:rPr>
          <w:rFonts w:asciiTheme="minorHAnsi" w:hAnsiTheme="minorHAnsi" w:cstheme="minorHAnsi"/>
          <w:lang w:val="en-GB"/>
        </w:rPr>
        <w:t xml:space="preserve"> very few compensation claims against roads </w:t>
      </w:r>
      <w:r w:rsidR="00F23542">
        <w:rPr>
          <w:rFonts w:asciiTheme="minorHAnsi" w:hAnsiTheme="minorHAnsi" w:cstheme="minorHAnsi"/>
          <w:lang w:val="en-GB"/>
        </w:rPr>
        <w:t>departments</w:t>
      </w:r>
      <w:r w:rsidR="00F23542" w:rsidRPr="00F23542">
        <w:rPr>
          <w:rFonts w:asciiTheme="minorHAnsi" w:hAnsiTheme="minorHAnsi" w:cstheme="minorHAnsi"/>
          <w:lang w:val="en-GB"/>
        </w:rPr>
        <w:t xml:space="preserve"> end</w:t>
      </w:r>
      <w:r w:rsidR="00F23542">
        <w:rPr>
          <w:rFonts w:asciiTheme="minorHAnsi" w:hAnsiTheme="minorHAnsi" w:cstheme="minorHAnsi"/>
          <w:lang w:val="en-GB"/>
        </w:rPr>
        <w:t>ed</w:t>
      </w:r>
      <w:r w:rsidR="00F23542" w:rsidRPr="00F23542">
        <w:rPr>
          <w:rFonts w:asciiTheme="minorHAnsi" w:hAnsiTheme="minorHAnsi" w:cstheme="minorHAnsi"/>
          <w:lang w:val="en-GB"/>
        </w:rPr>
        <w:t xml:space="preserve"> up in court.</w:t>
      </w:r>
      <w:r w:rsidR="00EB61CA">
        <w:rPr>
          <w:rStyle w:val="FootnoteReference"/>
          <w:rFonts w:asciiTheme="minorHAnsi" w:hAnsiTheme="minorHAnsi" w:cstheme="minorHAnsi"/>
          <w:lang w:val="en-GB"/>
        </w:rPr>
        <w:footnoteReference w:id="32"/>
      </w:r>
      <w:r w:rsidR="00F23542" w:rsidRPr="00F23542">
        <w:rPr>
          <w:rFonts w:asciiTheme="minorHAnsi" w:hAnsiTheme="minorHAnsi" w:cstheme="minorHAnsi"/>
          <w:lang w:val="en-GB"/>
        </w:rPr>
        <w:t xml:space="preserve"> Despite the three Scottish case study authorities receiving around 1500 compensation claims per year </w:t>
      </w:r>
      <w:r w:rsidR="00F23542" w:rsidRPr="00F23542">
        <w:rPr>
          <w:rFonts w:asciiTheme="minorHAnsi" w:hAnsiTheme="minorHAnsi" w:cstheme="minorHAnsi"/>
          <w:lang w:val="en-GB"/>
        </w:rPr>
        <w:lastRenderedPageBreak/>
        <w:t>between them, almost none of their road inspectors, all of whom had long service, had given evidence in court proceedings.</w:t>
      </w:r>
      <w:r w:rsidR="00F23542">
        <w:rPr>
          <w:rFonts w:asciiTheme="minorHAnsi" w:hAnsiTheme="minorHAnsi" w:cstheme="minorHAnsi"/>
          <w:lang w:val="en-GB"/>
        </w:rPr>
        <w:t xml:space="preserve"> </w:t>
      </w:r>
      <w:r w:rsidRPr="004350D8">
        <w:rPr>
          <w:rFonts w:eastAsia="Batang" w:cstheme="minorHAnsi"/>
        </w:rPr>
        <w:t xml:space="preserve">In Scotland, the </w:t>
      </w:r>
      <w:r w:rsidRPr="004350D8">
        <w:rPr>
          <w:rFonts w:cstheme="minorHAnsi"/>
        </w:rPr>
        <w:t>majority of authorities had contracted out their claims handling to firms arranged through their insurers regardless of whether the claim was for a sum below or above the insurance excess.</w:t>
      </w:r>
      <w:r>
        <w:rPr>
          <w:rFonts w:cstheme="minorHAnsi"/>
        </w:rPr>
        <w:t xml:space="preserve"> Compensation c</w:t>
      </w:r>
      <w:r>
        <w:rPr>
          <w:rFonts w:asciiTheme="minorHAnsi" w:hAnsiTheme="minorHAnsi" w:cstheme="minorHAnsi"/>
          <w:bCs/>
        </w:rPr>
        <w:t xml:space="preserve">laims </w:t>
      </w:r>
      <w:r w:rsidR="00F23542">
        <w:rPr>
          <w:rFonts w:asciiTheme="minorHAnsi" w:hAnsiTheme="minorHAnsi" w:cstheme="minorHAnsi"/>
          <w:bCs/>
        </w:rPr>
        <w:t>generally did not</w:t>
      </w:r>
      <w:r>
        <w:rPr>
          <w:rFonts w:asciiTheme="minorHAnsi" w:hAnsiTheme="minorHAnsi" w:cstheme="minorHAnsi"/>
          <w:bCs/>
        </w:rPr>
        <w:t xml:space="preserve"> </w:t>
      </w:r>
      <w:r w:rsidR="00F23542">
        <w:rPr>
          <w:rFonts w:asciiTheme="minorHAnsi" w:hAnsiTheme="minorHAnsi" w:cstheme="minorHAnsi"/>
          <w:bCs/>
        </w:rPr>
        <w:t>proceed beyond</w:t>
      </w:r>
      <w:r>
        <w:rPr>
          <w:rFonts w:asciiTheme="minorHAnsi" w:hAnsiTheme="minorHAnsi" w:cstheme="minorHAnsi"/>
          <w:bCs/>
        </w:rPr>
        <w:t xml:space="preserve"> the stage of the decision of the private claims handler. The approach of the claims handlers to local authorities’ internal rules, then, was arguably much more significant </w:t>
      </w:r>
      <w:r w:rsidR="00185946">
        <w:rPr>
          <w:rFonts w:asciiTheme="minorHAnsi" w:hAnsiTheme="minorHAnsi" w:cstheme="minorHAnsi"/>
          <w:bCs/>
        </w:rPr>
        <w:t xml:space="preserve">to legal certainty </w:t>
      </w:r>
      <w:r>
        <w:rPr>
          <w:rFonts w:asciiTheme="minorHAnsi" w:hAnsiTheme="minorHAnsi" w:cstheme="minorHAnsi"/>
          <w:bCs/>
        </w:rPr>
        <w:t>than the approach of the courts. Our interview data suggest that claims companies were generally supportive of local authorities’ internal rules about safety thresholds and repair time targets</w:t>
      </w:r>
      <w:r w:rsidR="00D055DC">
        <w:rPr>
          <w:rFonts w:asciiTheme="minorHAnsi" w:hAnsiTheme="minorHAnsi" w:cstheme="minorHAnsi"/>
          <w:bCs/>
        </w:rPr>
        <w:t>, notwithstanding that they varied from each other and, at times, from the terms of the code</w:t>
      </w:r>
      <w:r>
        <w:rPr>
          <w:rFonts w:asciiTheme="minorHAnsi" w:hAnsiTheme="minorHAnsi" w:cstheme="minorHAnsi"/>
          <w:bCs/>
        </w:rPr>
        <w:t>. It would only be when a local authority</w:t>
      </w:r>
      <w:r w:rsidR="008B466C">
        <w:rPr>
          <w:rFonts w:asciiTheme="minorHAnsi" w:hAnsiTheme="minorHAnsi" w:cstheme="minorHAnsi"/>
          <w:bCs/>
        </w:rPr>
        <w:t xml:space="preserve"> had</w:t>
      </w:r>
      <w:r>
        <w:rPr>
          <w:rFonts w:asciiTheme="minorHAnsi" w:hAnsiTheme="minorHAnsi" w:cstheme="minorHAnsi"/>
          <w:bCs/>
        </w:rPr>
        <w:t xml:space="preserve"> breache</w:t>
      </w:r>
      <w:r w:rsidR="008B466C">
        <w:rPr>
          <w:rFonts w:asciiTheme="minorHAnsi" w:hAnsiTheme="minorHAnsi" w:cstheme="minorHAnsi"/>
          <w:bCs/>
        </w:rPr>
        <w:t>d</w:t>
      </w:r>
      <w:r>
        <w:rPr>
          <w:rFonts w:asciiTheme="minorHAnsi" w:hAnsiTheme="minorHAnsi" w:cstheme="minorHAnsi"/>
          <w:bCs/>
        </w:rPr>
        <w:t xml:space="preserve"> its own </w:t>
      </w:r>
      <w:r w:rsidR="008B466C">
        <w:rPr>
          <w:rFonts w:asciiTheme="minorHAnsi" w:hAnsiTheme="minorHAnsi" w:cstheme="minorHAnsi"/>
          <w:bCs/>
        </w:rPr>
        <w:t>rules</w:t>
      </w:r>
      <w:r w:rsidR="00D055DC">
        <w:rPr>
          <w:rFonts w:asciiTheme="minorHAnsi" w:hAnsiTheme="minorHAnsi" w:cstheme="minorHAnsi"/>
          <w:bCs/>
        </w:rPr>
        <w:t>, or where the rules were untenable</w:t>
      </w:r>
      <w:r w:rsidR="00C32A56">
        <w:rPr>
          <w:rFonts w:asciiTheme="minorHAnsi" w:hAnsiTheme="minorHAnsi" w:cstheme="minorHAnsi"/>
          <w:bCs/>
        </w:rPr>
        <w:t>,</w:t>
      </w:r>
      <w:r>
        <w:rPr>
          <w:rFonts w:asciiTheme="minorHAnsi" w:hAnsiTheme="minorHAnsi" w:cstheme="minorHAnsi"/>
          <w:bCs/>
        </w:rPr>
        <w:t xml:space="preserve"> that the claims company would find the local authority liable for breach of duty of care. </w:t>
      </w:r>
      <w:r w:rsidR="00F23542">
        <w:rPr>
          <w:rFonts w:asciiTheme="minorHAnsi" w:hAnsiTheme="minorHAnsi" w:cstheme="minorHAnsi"/>
          <w:bCs/>
        </w:rPr>
        <w:t>As one claims handler put it, “</w:t>
      </w:r>
      <w:r w:rsidR="00C32A56">
        <w:t>[the local authorities] are</w:t>
      </w:r>
      <w:r w:rsidR="00F23542">
        <w:t xml:space="preserve"> the experts. We can only go on the information they give us.”</w:t>
      </w:r>
      <w:r w:rsidR="00D055DC">
        <w:t xml:space="preserve"> Another noted, “if the local authority has thought about it, we’ll defend it unless it’s rubbish.”</w:t>
      </w:r>
      <w:r w:rsidR="00F23542">
        <w:rPr>
          <w:rFonts w:asciiTheme="minorHAnsi" w:hAnsiTheme="minorHAnsi" w:cstheme="minorHAnsi"/>
          <w:bCs/>
        </w:rPr>
        <w:t xml:space="preserve"> </w:t>
      </w:r>
      <w:r w:rsidR="00DF07FB">
        <w:rPr>
          <w:rFonts w:asciiTheme="minorHAnsi" w:hAnsiTheme="minorHAnsi" w:cstheme="minorHAnsi"/>
          <w:bCs/>
        </w:rPr>
        <w:t xml:space="preserve">In contrast to Irish local authorities, then, </w:t>
      </w:r>
      <w:r>
        <w:rPr>
          <w:rFonts w:asciiTheme="minorHAnsi" w:hAnsiTheme="minorHAnsi" w:cstheme="minorHAnsi"/>
          <w:bCs/>
        </w:rPr>
        <w:t>Scottish authorities</w:t>
      </w:r>
      <w:r w:rsidR="00DF07FB">
        <w:rPr>
          <w:rFonts w:asciiTheme="minorHAnsi" w:hAnsiTheme="minorHAnsi" w:cstheme="minorHAnsi"/>
          <w:bCs/>
        </w:rPr>
        <w:t xml:space="preserve"> </w:t>
      </w:r>
      <w:r>
        <w:rPr>
          <w:rFonts w:asciiTheme="minorHAnsi" w:hAnsiTheme="minorHAnsi" w:cstheme="minorHAnsi"/>
          <w:bCs/>
        </w:rPr>
        <w:t xml:space="preserve">operated in a quasi-private legal realm </w:t>
      </w:r>
      <w:r w:rsidR="008B466C">
        <w:rPr>
          <w:rFonts w:asciiTheme="minorHAnsi" w:hAnsiTheme="minorHAnsi" w:cstheme="minorHAnsi"/>
          <w:bCs/>
        </w:rPr>
        <w:t>which offered legal certainty.</w:t>
      </w:r>
    </w:p>
    <w:p w14:paraId="28D56D05" w14:textId="77777777" w:rsidR="00086136" w:rsidRDefault="00086136" w:rsidP="007E7A8D">
      <w:pPr>
        <w:pStyle w:val="Default"/>
        <w:spacing w:line="480" w:lineRule="auto"/>
        <w:rPr>
          <w:rFonts w:asciiTheme="minorHAnsi" w:hAnsiTheme="minorHAnsi" w:cstheme="minorHAnsi"/>
          <w:bCs/>
        </w:rPr>
      </w:pPr>
    </w:p>
    <w:p w14:paraId="1EC422B3" w14:textId="77777777" w:rsidR="00AA5FF4" w:rsidRPr="004350D8" w:rsidRDefault="00AA5FF4" w:rsidP="007E7A8D">
      <w:pPr>
        <w:pStyle w:val="Default"/>
        <w:spacing w:line="480" w:lineRule="auto"/>
        <w:rPr>
          <w:rFonts w:asciiTheme="minorHAnsi" w:hAnsiTheme="minorHAnsi" w:cstheme="minorHAnsi"/>
          <w:bCs/>
        </w:rPr>
      </w:pPr>
    </w:p>
    <w:p w14:paraId="6573E43F" w14:textId="77777777" w:rsidR="007A1D1E" w:rsidRPr="004350D8" w:rsidRDefault="007A1D1E" w:rsidP="009D52A4">
      <w:pPr>
        <w:pStyle w:val="Default"/>
        <w:numPr>
          <w:ilvl w:val="0"/>
          <w:numId w:val="2"/>
        </w:numPr>
        <w:spacing w:line="480" w:lineRule="auto"/>
        <w:jc w:val="center"/>
        <w:rPr>
          <w:rFonts w:asciiTheme="minorHAnsi" w:hAnsiTheme="minorHAnsi" w:cstheme="minorHAnsi"/>
          <w:bCs/>
        </w:rPr>
      </w:pPr>
      <w:r w:rsidRPr="004350D8">
        <w:rPr>
          <w:rFonts w:asciiTheme="minorHAnsi" w:hAnsiTheme="minorHAnsi" w:cstheme="minorHAnsi"/>
          <w:bCs/>
        </w:rPr>
        <w:t>INCIDENCE OF CLAIMS</w:t>
      </w:r>
    </w:p>
    <w:p w14:paraId="2A084012" w14:textId="77777777" w:rsidR="007A1D1E" w:rsidRPr="004350D8" w:rsidRDefault="007A1D1E" w:rsidP="007E7A8D">
      <w:pPr>
        <w:pStyle w:val="Default"/>
        <w:spacing w:line="480" w:lineRule="auto"/>
        <w:rPr>
          <w:rFonts w:asciiTheme="minorHAnsi" w:hAnsiTheme="minorHAnsi" w:cstheme="minorHAnsi"/>
          <w:bCs/>
        </w:rPr>
      </w:pPr>
    </w:p>
    <w:p w14:paraId="198EBDB2" w14:textId="77777777" w:rsidR="00C920CD" w:rsidRDefault="0076030B" w:rsidP="007E7A8D">
      <w:pPr>
        <w:spacing w:after="0" w:line="480" w:lineRule="auto"/>
        <w:jc w:val="both"/>
        <w:rPr>
          <w:rFonts w:cstheme="minorHAnsi"/>
          <w:sz w:val="24"/>
          <w:szCs w:val="24"/>
        </w:rPr>
      </w:pPr>
      <w:r w:rsidRPr="004350D8">
        <w:rPr>
          <w:rFonts w:cstheme="minorHAnsi"/>
          <w:sz w:val="24"/>
          <w:szCs w:val="24"/>
        </w:rPr>
        <w:t xml:space="preserve">As we noted in our introduction, empirical evidence about general trends in the UK suggests that the incidence of personal injury claims has broadly plateaued over the last decade or </w:t>
      </w:r>
      <w:r w:rsidRPr="004350D8">
        <w:rPr>
          <w:rFonts w:cstheme="minorHAnsi"/>
          <w:sz w:val="24"/>
          <w:szCs w:val="24"/>
        </w:rPr>
        <w:lastRenderedPageBreak/>
        <w:t>so.</w:t>
      </w:r>
      <w:r w:rsidR="00EB61CA">
        <w:rPr>
          <w:rStyle w:val="FootnoteReference"/>
          <w:rFonts w:cstheme="minorHAnsi"/>
          <w:sz w:val="24"/>
          <w:szCs w:val="24"/>
        </w:rPr>
        <w:footnoteReference w:id="33"/>
      </w:r>
      <w:r w:rsidRPr="004350D8">
        <w:rPr>
          <w:rFonts w:cstheme="minorHAnsi"/>
          <w:sz w:val="24"/>
          <w:szCs w:val="24"/>
        </w:rPr>
        <w:t xml:space="preserve"> However, given that local authorities have </w:t>
      </w:r>
      <w:r w:rsidR="00673D81">
        <w:rPr>
          <w:rFonts w:cstheme="minorHAnsi"/>
          <w:sz w:val="24"/>
          <w:szCs w:val="24"/>
        </w:rPr>
        <w:t>asserted</w:t>
      </w:r>
      <w:r w:rsidRPr="004350D8">
        <w:rPr>
          <w:rFonts w:cstheme="minorHAnsi"/>
          <w:sz w:val="24"/>
          <w:szCs w:val="24"/>
        </w:rPr>
        <w:t xml:space="preserve"> an increase in clai</w:t>
      </w:r>
      <w:r w:rsidR="00144659">
        <w:rPr>
          <w:rFonts w:cstheme="minorHAnsi"/>
          <w:sz w:val="24"/>
          <w:szCs w:val="24"/>
        </w:rPr>
        <w:t>ms against them in recent years</w:t>
      </w:r>
      <w:r w:rsidR="00144659">
        <w:rPr>
          <w:rStyle w:val="FootnoteReference"/>
          <w:rFonts w:cstheme="minorHAnsi"/>
          <w:sz w:val="24"/>
          <w:szCs w:val="24"/>
        </w:rPr>
        <w:footnoteReference w:id="34"/>
      </w:r>
      <w:r w:rsidRPr="004350D8">
        <w:rPr>
          <w:rFonts w:cstheme="minorHAnsi"/>
          <w:sz w:val="24"/>
          <w:szCs w:val="24"/>
        </w:rPr>
        <w:t xml:space="preserve"> and that claims against roads departments more often relate to vehicle damage rather than to personal injury, o</w:t>
      </w:r>
      <w:r w:rsidR="007A1D1E" w:rsidRPr="004350D8">
        <w:rPr>
          <w:rFonts w:cstheme="minorHAnsi"/>
          <w:sz w:val="24"/>
          <w:szCs w:val="24"/>
        </w:rPr>
        <w:t xml:space="preserve">ne of the preliminary issues we wished to explore in the project was the extent to which fears about a rise in the volume of compensation claims were founded in relation to </w:t>
      </w:r>
      <w:r w:rsidR="00C920CD" w:rsidRPr="004350D8">
        <w:rPr>
          <w:rFonts w:cstheme="minorHAnsi"/>
          <w:sz w:val="24"/>
          <w:szCs w:val="24"/>
        </w:rPr>
        <w:t xml:space="preserve">the </w:t>
      </w:r>
      <w:r w:rsidR="007A1D1E" w:rsidRPr="004350D8">
        <w:rPr>
          <w:rFonts w:cstheme="minorHAnsi"/>
          <w:sz w:val="24"/>
          <w:szCs w:val="24"/>
        </w:rPr>
        <w:t xml:space="preserve">roads sector. </w:t>
      </w:r>
      <w:r w:rsidR="00C920CD" w:rsidRPr="004350D8">
        <w:rPr>
          <w:rFonts w:cstheme="minorHAnsi"/>
          <w:sz w:val="24"/>
          <w:szCs w:val="24"/>
        </w:rPr>
        <w:t xml:space="preserve">Though our survey data </w:t>
      </w:r>
      <w:r w:rsidRPr="004350D8">
        <w:rPr>
          <w:rFonts w:cstheme="minorHAnsi"/>
          <w:sz w:val="24"/>
          <w:szCs w:val="24"/>
        </w:rPr>
        <w:t>is</w:t>
      </w:r>
      <w:r w:rsidR="00C920CD" w:rsidRPr="004350D8">
        <w:rPr>
          <w:rFonts w:cstheme="minorHAnsi"/>
          <w:sz w:val="24"/>
          <w:szCs w:val="24"/>
        </w:rPr>
        <w:t xml:space="preserve"> far from comprehensive, it enables something of a picture of contemporary claiming practices to be formed. </w:t>
      </w:r>
      <w:r w:rsidR="00025D08">
        <w:rPr>
          <w:rFonts w:cstheme="minorHAnsi"/>
          <w:sz w:val="24"/>
          <w:szCs w:val="24"/>
        </w:rPr>
        <w:t xml:space="preserve">Five of Ireland’s 34 local authorities and 13 of Scotland’s 32 authorities were able to provide data on claims received over a 5 year period. </w:t>
      </w:r>
      <w:r w:rsidR="00C920CD" w:rsidRPr="004350D8">
        <w:rPr>
          <w:rFonts w:cstheme="minorHAnsi"/>
          <w:sz w:val="24"/>
          <w:szCs w:val="24"/>
        </w:rPr>
        <w:t xml:space="preserve">Notwithstanding these data limitations, the evidence we have obtained </w:t>
      </w:r>
      <w:r w:rsidR="00025D08">
        <w:rPr>
          <w:rFonts w:cstheme="minorHAnsi"/>
          <w:sz w:val="24"/>
          <w:szCs w:val="24"/>
        </w:rPr>
        <w:t xml:space="preserve">suggests that </w:t>
      </w:r>
      <w:r w:rsidR="00025D08" w:rsidRPr="004350D8">
        <w:rPr>
          <w:rFonts w:cstheme="minorHAnsi"/>
          <w:sz w:val="24"/>
          <w:szCs w:val="24"/>
        </w:rPr>
        <w:t>the roads sectors in Scotland and Ireland have not experienced a significant increase in the incidence of claims</w:t>
      </w:r>
      <w:r w:rsidR="00025D08">
        <w:rPr>
          <w:rFonts w:cstheme="minorHAnsi"/>
          <w:sz w:val="24"/>
          <w:szCs w:val="24"/>
        </w:rPr>
        <w:t>. The data in both jurisdictions,</w:t>
      </w:r>
      <w:r w:rsidR="00025D08" w:rsidRPr="004350D8">
        <w:rPr>
          <w:rFonts w:cstheme="minorHAnsi"/>
          <w:sz w:val="24"/>
          <w:szCs w:val="24"/>
        </w:rPr>
        <w:t xml:space="preserve"> shown in Figures 1 and 2 below</w:t>
      </w:r>
      <w:r w:rsidR="00025D08">
        <w:rPr>
          <w:rFonts w:cstheme="minorHAnsi"/>
          <w:sz w:val="24"/>
          <w:szCs w:val="24"/>
        </w:rPr>
        <w:t>, suggest</w:t>
      </w:r>
      <w:r w:rsidR="00C920CD" w:rsidRPr="004350D8">
        <w:rPr>
          <w:rFonts w:cstheme="minorHAnsi"/>
          <w:sz w:val="24"/>
          <w:szCs w:val="24"/>
        </w:rPr>
        <w:t xml:space="preserve"> </w:t>
      </w:r>
      <w:r w:rsidR="00025D08">
        <w:rPr>
          <w:rFonts w:cstheme="minorHAnsi"/>
          <w:sz w:val="24"/>
          <w:szCs w:val="24"/>
        </w:rPr>
        <w:t>a modest decline over the 5 year period</w:t>
      </w:r>
      <w:r w:rsidR="00C920CD" w:rsidRPr="004350D8">
        <w:rPr>
          <w:rFonts w:cstheme="minorHAnsi"/>
          <w:sz w:val="24"/>
          <w:szCs w:val="24"/>
        </w:rPr>
        <w:t>.</w:t>
      </w:r>
      <w:r w:rsidR="00C920CD" w:rsidRPr="004350D8" w:rsidDel="00B63F67">
        <w:rPr>
          <w:rFonts w:cstheme="minorHAnsi"/>
          <w:sz w:val="24"/>
          <w:szCs w:val="24"/>
        </w:rPr>
        <w:t xml:space="preserve"> </w:t>
      </w:r>
    </w:p>
    <w:p w14:paraId="14101043" w14:textId="77777777" w:rsidR="00673D81" w:rsidRPr="004350D8" w:rsidRDefault="00673D81" w:rsidP="007E7A8D">
      <w:pPr>
        <w:spacing w:after="0" w:line="480" w:lineRule="auto"/>
        <w:jc w:val="both"/>
        <w:rPr>
          <w:rFonts w:cstheme="minorHAnsi"/>
          <w:sz w:val="24"/>
          <w:szCs w:val="24"/>
        </w:rPr>
      </w:pPr>
    </w:p>
    <w:p w14:paraId="474C8F77" w14:textId="77777777" w:rsidR="00C920CD" w:rsidRPr="004350D8" w:rsidRDefault="00144659" w:rsidP="007E7A8D">
      <w:pPr>
        <w:spacing w:after="0" w:line="480" w:lineRule="auto"/>
        <w:jc w:val="center"/>
        <w:rPr>
          <w:rFonts w:cstheme="minorHAnsi"/>
          <w:sz w:val="24"/>
          <w:szCs w:val="24"/>
        </w:rPr>
      </w:pPr>
      <w:r>
        <w:rPr>
          <w:rFonts w:cstheme="minorHAnsi"/>
          <w:sz w:val="24"/>
          <w:szCs w:val="24"/>
        </w:rPr>
        <w:t xml:space="preserve">Insert </w:t>
      </w:r>
      <w:r w:rsidR="00C920CD" w:rsidRPr="004350D8">
        <w:rPr>
          <w:rFonts w:cstheme="minorHAnsi"/>
          <w:sz w:val="24"/>
          <w:szCs w:val="24"/>
        </w:rPr>
        <w:t xml:space="preserve">Figure </w:t>
      </w:r>
      <w:r>
        <w:rPr>
          <w:rFonts w:cstheme="minorHAnsi"/>
          <w:sz w:val="24"/>
          <w:szCs w:val="24"/>
        </w:rPr>
        <w:t>4</w:t>
      </w:r>
      <w:r w:rsidR="00C920CD" w:rsidRPr="004350D8">
        <w:rPr>
          <w:rFonts w:cstheme="minorHAnsi"/>
          <w:sz w:val="24"/>
          <w:szCs w:val="24"/>
        </w:rPr>
        <w:t xml:space="preserve"> Here</w:t>
      </w:r>
    </w:p>
    <w:p w14:paraId="5F2899C0" w14:textId="77777777" w:rsidR="00C920CD" w:rsidRPr="004350D8" w:rsidRDefault="00144659" w:rsidP="007E7A8D">
      <w:pPr>
        <w:spacing w:after="0" w:line="480" w:lineRule="auto"/>
        <w:jc w:val="center"/>
        <w:rPr>
          <w:rFonts w:cstheme="minorHAnsi"/>
          <w:sz w:val="24"/>
          <w:szCs w:val="24"/>
        </w:rPr>
      </w:pPr>
      <w:r>
        <w:rPr>
          <w:rFonts w:cstheme="minorHAnsi"/>
          <w:sz w:val="24"/>
          <w:szCs w:val="24"/>
        </w:rPr>
        <w:t xml:space="preserve">Insert </w:t>
      </w:r>
      <w:r w:rsidR="00C920CD" w:rsidRPr="004350D8">
        <w:rPr>
          <w:rFonts w:cstheme="minorHAnsi"/>
          <w:sz w:val="24"/>
          <w:szCs w:val="24"/>
        </w:rPr>
        <w:t xml:space="preserve">Figure </w:t>
      </w:r>
      <w:r>
        <w:rPr>
          <w:rFonts w:cstheme="minorHAnsi"/>
          <w:sz w:val="24"/>
          <w:szCs w:val="24"/>
        </w:rPr>
        <w:t>5</w:t>
      </w:r>
      <w:r w:rsidR="00C920CD" w:rsidRPr="004350D8">
        <w:rPr>
          <w:rFonts w:cstheme="minorHAnsi"/>
          <w:sz w:val="24"/>
          <w:szCs w:val="24"/>
        </w:rPr>
        <w:t xml:space="preserve"> Here</w:t>
      </w:r>
    </w:p>
    <w:p w14:paraId="339F4C91" w14:textId="77777777" w:rsidR="00673D81" w:rsidRDefault="00673D81" w:rsidP="007E7A8D">
      <w:pPr>
        <w:spacing w:after="0" w:line="480" w:lineRule="auto"/>
        <w:jc w:val="both"/>
        <w:rPr>
          <w:rFonts w:cstheme="minorHAnsi"/>
          <w:sz w:val="24"/>
          <w:szCs w:val="24"/>
        </w:rPr>
      </w:pPr>
    </w:p>
    <w:p w14:paraId="01492D26" w14:textId="77777777" w:rsidR="00527616" w:rsidRDefault="007A1D1E" w:rsidP="00527616">
      <w:pPr>
        <w:spacing w:after="0" w:line="480" w:lineRule="auto"/>
        <w:ind w:firstLine="720"/>
        <w:jc w:val="both"/>
        <w:rPr>
          <w:rFonts w:cstheme="minorHAnsi"/>
          <w:sz w:val="24"/>
          <w:szCs w:val="24"/>
        </w:rPr>
      </w:pPr>
      <w:r w:rsidRPr="004350D8">
        <w:rPr>
          <w:rFonts w:cstheme="minorHAnsi"/>
          <w:sz w:val="24"/>
          <w:szCs w:val="24"/>
        </w:rPr>
        <w:t>In relation to Scotland</w:t>
      </w:r>
      <w:r w:rsidR="00E305A8" w:rsidRPr="004350D8">
        <w:rPr>
          <w:rFonts w:cstheme="minorHAnsi"/>
          <w:sz w:val="24"/>
          <w:szCs w:val="24"/>
        </w:rPr>
        <w:t xml:space="preserve"> specifically</w:t>
      </w:r>
      <w:r w:rsidRPr="004350D8">
        <w:rPr>
          <w:rFonts w:cstheme="minorHAnsi"/>
          <w:sz w:val="24"/>
          <w:szCs w:val="24"/>
        </w:rPr>
        <w:t xml:space="preserve">, </w:t>
      </w:r>
      <w:r w:rsidR="0076030B" w:rsidRPr="004350D8">
        <w:rPr>
          <w:rFonts w:cstheme="minorHAnsi"/>
          <w:sz w:val="24"/>
          <w:szCs w:val="24"/>
        </w:rPr>
        <w:t xml:space="preserve">however, </w:t>
      </w:r>
      <w:r w:rsidR="00E305A8" w:rsidRPr="004350D8">
        <w:rPr>
          <w:rFonts w:cstheme="minorHAnsi"/>
          <w:sz w:val="24"/>
          <w:szCs w:val="24"/>
        </w:rPr>
        <w:t>a more reliable picture over a longer period is available given the existence of</w:t>
      </w:r>
      <w:r w:rsidRPr="004350D8">
        <w:rPr>
          <w:rFonts w:cstheme="minorHAnsi"/>
          <w:sz w:val="24"/>
          <w:szCs w:val="24"/>
        </w:rPr>
        <w:t xml:space="preserve"> data </w:t>
      </w:r>
      <w:r w:rsidR="00E305A8" w:rsidRPr="004350D8">
        <w:rPr>
          <w:rFonts w:cstheme="minorHAnsi"/>
          <w:sz w:val="24"/>
          <w:szCs w:val="24"/>
        </w:rPr>
        <w:t xml:space="preserve">from </w:t>
      </w:r>
      <w:r w:rsidRPr="004350D8">
        <w:rPr>
          <w:rFonts w:cstheme="minorHAnsi"/>
          <w:sz w:val="24"/>
          <w:szCs w:val="24"/>
        </w:rPr>
        <w:t xml:space="preserve">the Accounts Commission for Scotland in the mid-1990s </w:t>
      </w:r>
      <w:r w:rsidR="00E305A8" w:rsidRPr="004350D8">
        <w:rPr>
          <w:rFonts w:cstheme="minorHAnsi"/>
          <w:sz w:val="24"/>
          <w:szCs w:val="24"/>
        </w:rPr>
        <w:t xml:space="preserve">about roads claims against Scottish local authorities. </w:t>
      </w:r>
      <w:r w:rsidRPr="004350D8">
        <w:rPr>
          <w:rFonts w:cstheme="minorHAnsi"/>
          <w:sz w:val="24"/>
          <w:szCs w:val="24"/>
        </w:rPr>
        <w:t xml:space="preserve">When </w:t>
      </w:r>
      <w:r w:rsidR="00E305A8" w:rsidRPr="004350D8">
        <w:rPr>
          <w:rFonts w:cstheme="minorHAnsi"/>
          <w:sz w:val="24"/>
          <w:szCs w:val="24"/>
        </w:rPr>
        <w:t>this</w:t>
      </w:r>
      <w:r w:rsidR="00C920CD" w:rsidRPr="004350D8">
        <w:rPr>
          <w:rFonts w:cstheme="minorHAnsi"/>
          <w:sz w:val="24"/>
          <w:szCs w:val="24"/>
        </w:rPr>
        <w:t xml:space="preserve"> data is </w:t>
      </w:r>
      <w:r w:rsidRPr="004350D8">
        <w:rPr>
          <w:rFonts w:cstheme="minorHAnsi"/>
          <w:sz w:val="24"/>
          <w:szCs w:val="24"/>
        </w:rPr>
        <w:t xml:space="preserve">compared to our survey data </w:t>
      </w:r>
      <w:r w:rsidR="00E305A8" w:rsidRPr="004350D8">
        <w:rPr>
          <w:rFonts w:cstheme="minorHAnsi"/>
          <w:sz w:val="24"/>
          <w:szCs w:val="24"/>
        </w:rPr>
        <w:t>from</w:t>
      </w:r>
      <w:r w:rsidRPr="004350D8">
        <w:rPr>
          <w:rFonts w:cstheme="minorHAnsi"/>
          <w:sz w:val="24"/>
          <w:szCs w:val="24"/>
        </w:rPr>
        <w:t xml:space="preserve"> 200</w:t>
      </w:r>
      <w:r w:rsidR="00D71A16">
        <w:rPr>
          <w:rFonts w:cstheme="minorHAnsi"/>
          <w:sz w:val="24"/>
          <w:szCs w:val="24"/>
        </w:rPr>
        <w:t>6</w:t>
      </w:r>
      <w:r w:rsidRPr="004350D8">
        <w:rPr>
          <w:rFonts w:cstheme="minorHAnsi"/>
          <w:sz w:val="24"/>
          <w:szCs w:val="24"/>
        </w:rPr>
        <w:t xml:space="preserve">, there </w:t>
      </w:r>
      <w:r w:rsidR="00B46F20">
        <w:rPr>
          <w:rFonts w:cstheme="minorHAnsi"/>
          <w:sz w:val="24"/>
          <w:szCs w:val="24"/>
        </w:rPr>
        <w:t xml:space="preserve">similarly </w:t>
      </w:r>
      <w:r w:rsidRPr="004350D8">
        <w:rPr>
          <w:rFonts w:cstheme="minorHAnsi"/>
          <w:sz w:val="24"/>
          <w:szCs w:val="24"/>
        </w:rPr>
        <w:t>appear</w:t>
      </w:r>
      <w:r w:rsidR="00C920CD" w:rsidRPr="004350D8">
        <w:rPr>
          <w:rFonts w:cstheme="minorHAnsi"/>
          <w:sz w:val="24"/>
          <w:szCs w:val="24"/>
        </w:rPr>
        <w:t>s</w:t>
      </w:r>
      <w:r w:rsidRPr="004350D8">
        <w:rPr>
          <w:rFonts w:cstheme="minorHAnsi"/>
          <w:sz w:val="24"/>
          <w:szCs w:val="24"/>
        </w:rPr>
        <w:t xml:space="preserve"> to have been a small decrease in rates of claiming</w:t>
      </w:r>
      <w:r w:rsidR="00673D81">
        <w:rPr>
          <w:rFonts w:cstheme="minorHAnsi"/>
          <w:sz w:val="24"/>
          <w:szCs w:val="24"/>
        </w:rPr>
        <w:t xml:space="preserve"> over the period</w:t>
      </w:r>
      <w:r w:rsidRPr="004350D8">
        <w:rPr>
          <w:rFonts w:cstheme="minorHAnsi"/>
          <w:sz w:val="24"/>
          <w:szCs w:val="24"/>
        </w:rPr>
        <w:t xml:space="preserve">. For the three years between 1992/3 and 1994/5, individual local authorities were receiving, on average, 267, 229 and 225 claims per </w:t>
      </w:r>
      <w:r w:rsidRPr="004350D8">
        <w:rPr>
          <w:rFonts w:cstheme="minorHAnsi"/>
          <w:sz w:val="24"/>
          <w:szCs w:val="24"/>
        </w:rPr>
        <w:lastRenderedPageBreak/>
        <w:t>year respectively.</w:t>
      </w:r>
      <w:r w:rsidRPr="004350D8">
        <w:rPr>
          <w:rStyle w:val="FootnoteReference"/>
          <w:rFonts w:cstheme="minorHAnsi"/>
          <w:sz w:val="24"/>
          <w:szCs w:val="24"/>
        </w:rPr>
        <w:footnoteReference w:id="35"/>
      </w:r>
      <w:r w:rsidRPr="004350D8">
        <w:rPr>
          <w:rFonts w:cstheme="minorHAnsi"/>
          <w:sz w:val="24"/>
          <w:szCs w:val="24"/>
        </w:rPr>
        <w:t xml:space="preserve"> This compares with an average of 202 claims in 200</w:t>
      </w:r>
      <w:r w:rsidR="00D71A16">
        <w:rPr>
          <w:rFonts w:cstheme="minorHAnsi"/>
          <w:sz w:val="24"/>
          <w:szCs w:val="24"/>
        </w:rPr>
        <w:t>6</w:t>
      </w:r>
      <w:r w:rsidRPr="004350D8">
        <w:rPr>
          <w:rFonts w:cstheme="minorHAnsi"/>
          <w:sz w:val="24"/>
          <w:szCs w:val="24"/>
        </w:rPr>
        <w:t xml:space="preserve">, based on our survey data from </w:t>
      </w:r>
      <w:r w:rsidR="00857A48">
        <w:rPr>
          <w:rFonts w:cstheme="minorHAnsi"/>
          <w:sz w:val="24"/>
          <w:szCs w:val="24"/>
        </w:rPr>
        <w:t>19</w:t>
      </w:r>
      <w:r w:rsidRPr="004350D8">
        <w:rPr>
          <w:rFonts w:cstheme="minorHAnsi"/>
          <w:sz w:val="24"/>
          <w:szCs w:val="24"/>
        </w:rPr>
        <w:t xml:space="preserve"> of the </w:t>
      </w:r>
      <w:r w:rsidR="00857A48">
        <w:rPr>
          <w:rFonts w:cstheme="minorHAnsi"/>
          <w:sz w:val="24"/>
          <w:szCs w:val="24"/>
        </w:rPr>
        <w:t>32</w:t>
      </w:r>
      <w:r w:rsidRPr="004350D8">
        <w:rPr>
          <w:rFonts w:cstheme="minorHAnsi"/>
          <w:sz w:val="24"/>
          <w:szCs w:val="24"/>
        </w:rPr>
        <w:t xml:space="preserve"> </w:t>
      </w:r>
      <w:r w:rsidR="00E305A8" w:rsidRPr="004350D8">
        <w:rPr>
          <w:rFonts w:cstheme="minorHAnsi"/>
          <w:sz w:val="24"/>
          <w:szCs w:val="24"/>
        </w:rPr>
        <w:t xml:space="preserve">Scottish </w:t>
      </w:r>
      <w:r w:rsidRPr="004350D8">
        <w:rPr>
          <w:rFonts w:cstheme="minorHAnsi"/>
          <w:sz w:val="24"/>
          <w:szCs w:val="24"/>
        </w:rPr>
        <w:t>authorities. Th</w:t>
      </w:r>
      <w:r w:rsidR="00E305A8" w:rsidRPr="004350D8">
        <w:rPr>
          <w:rFonts w:cstheme="minorHAnsi"/>
          <w:sz w:val="24"/>
          <w:szCs w:val="24"/>
        </w:rPr>
        <w:t>is lends further weight</w:t>
      </w:r>
      <w:r w:rsidRPr="004350D8">
        <w:rPr>
          <w:rFonts w:cstheme="minorHAnsi"/>
          <w:sz w:val="24"/>
          <w:szCs w:val="24"/>
        </w:rPr>
        <w:t xml:space="preserve"> </w:t>
      </w:r>
      <w:r w:rsidR="00E305A8" w:rsidRPr="004350D8">
        <w:rPr>
          <w:rFonts w:cstheme="minorHAnsi"/>
          <w:sz w:val="24"/>
          <w:szCs w:val="24"/>
        </w:rPr>
        <w:t>to the suggestion</w:t>
      </w:r>
      <w:r w:rsidRPr="004350D8">
        <w:rPr>
          <w:rFonts w:cstheme="minorHAnsi"/>
          <w:sz w:val="24"/>
          <w:szCs w:val="24"/>
        </w:rPr>
        <w:t xml:space="preserve"> that</w:t>
      </w:r>
      <w:r w:rsidR="00E305A8" w:rsidRPr="004350D8">
        <w:rPr>
          <w:rFonts w:cstheme="minorHAnsi"/>
          <w:sz w:val="24"/>
          <w:szCs w:val="24"/>
        </w:rPr>
        <w:t>,</w:t>
      </w:r>
      <w:r w:rsidRPr="004350D8">
        <w:rPr>
          <w:rFonts w:cstheme="minorHAnsi"/>
          <w:sz w:val="24"/>
          <w:szCs w:val="24"/>
        </w:rPr>
        <w:t xml:space="preserve"> </w:t>
      </w:r>
      <w:r w:rsidR="00E305A8" w:rsidRPr="004350D8">
        <w:rPr>
          <w:rFonts w:cstheme="minorHAnsi"/>
          <w:sz w:val="24"/>
          <w:szCs w:val="24"/>
        </w:rPr>
        <w:t xml:space="preserve">in the roads sector too, </w:t>
      </w:r>
      <w:r w:rsidRPr="004350D8">
        <w:rPr>
          <w:rFonts w:cstheme="minorHAnsi"/>
          <w:sz w:val="24"/>
          <w:szCs w:val="24"/>
        </w:rPr>
        <w:t xml:space="preserve">fears of a compensation culture are </w:t>
      </w:r>
      <w:r w:rsidR="00E305A8" w:rsidRPr="004350D8">
        <w:rPr>
          <w:rFonts w:cstheme="minorHAnsi"/>
          <w:sz w:val="24"/>
          <w:szCs w:val="24"/>
        </w:rPr>
        <w:t>somewhat overstated.</w:t>
      </w:r>
    </w:p>
    <w:p w14:paraId="6F55AF71" w14:textId="77777777" w:rsidR="001A75F5" w:rsidRPr="004350D8" w:rsidRDefault="001A75F5" w:rsidP="00527616">
      <w:pPr>
        <w:spacing w:after="0" w:line="480" w:lineRule="auto"/>
        <w:ind w:firstLine="720"/>
        <w:jc w:val="both"/>
        <w:rPr>
          <w:rFonts w:cstheme="minorHAnsi"/>
          <w:sz w:val="24"/>
          <w:szCs w:val="24"/>
        </w:rPr>
      </w:pPr>
      <w:r w:rsidRPr="004350D8">
        <w:rPr>
          <w:rFonts w:cstheme="minorHAnsi"/>
          <w:sz w:val="24"/>
          <w:szCs w:val="24"/>
        </w:rPr>
        <w:t>Nonetheless, there remains the question of how local authorities respond to the risks of liability attached to their operations, irrespective o</w:t>
      </w:r>
      <w:r w:rsidR="00070889" w:rsidRPr="004350D8">
        <w:rPr>
          <w:rFonts w:cstheme="minorHAnsi"/>
          <w:sz w:val="24"/>
          <w:szCs w:val="24"/>
        </w:rPr>
        <w:t>f</w:t>
      </w:r>
      <w:r w:rsidRPr="004350D8">
        <w:rPr>
          <w:rFonts w:cstheme="minorHAnsi"/>
          <w:sz w:val="24"/>
          <w:szCs w:val="24"/>
        </w:rPr>
        <w:t xml:space="preserve"> claiming rates. It is to this issue that we turn in the next section.</w:t>
      </w:r>
    </w:p>
    <w:p w14:paraId="45387B70" w14:textId="77777777" w:rsidR="00C47560" w:rsidRPr="004350D8" w:rsidRDefault="00C47560" w:rsidP="007E7A8D">
      <w:pPr>
        <w:pStyle w:val="Default"/>
        <w:spacing w:line="480" w:lineRule="auto"/>
        <w:jc w:val="center"/>
        <w:rPr>
          <w:rFonts w:asciiTheme="minorHAnsi" w:hAnsiTheme="minorHAnsi" w:cstheme="minorHAnsi"/>
          <w:lang w:val="en-GB"/>
        </w:rPr>
      </w:pPr>
    </w:p>
    <w:p w14:paraId="22E44098" w14:textId="77777777" w:rsidR="004350D8" w:rsidRPr="004350D8" w:rsidRDefault="004350D8" w:rsidP="007E7A8D">
      <w:pPr>
        <w:pStyle w:val="Default"/>
        <w:spacing w:line="480" w:lineRule="auto"/>
        <w:jc w:val="center"/>
        <w:rPr>
          <w:rFonts w:asciiTheme="minorHAnsi" w:hAnsiTheme="minorHAnsi" w:cstheme="minorHAnsi"/>
          <w:lang w:val="en-GB"/>
        </w:rPr>
      </w:pPr>
    </w:p>
    <w:p w14:paraId="298ED6F2" w14:textId="77777777" w:rsidR="008B4E23" w:rsidRPr="004350D8" w:rsidRDefault="008943E6" w:rsidP="009D52A4">
      <w:pPr>
        <w:pStyle w:val="Default"/>
        <w:numPr>
          <w:ilvl w:val="0"/>
          <w:numId w:val="2"/>
        </w:numPr>
        <w:spacing w:line="480" w:lineRule="auto"/>
        <w:jc w:val="center"/>
        <w:rPr>
          <w:rFonts w:asciiTheme="minorHAnsi" w:hAnsiTheme="minorHAnsi" w:cstheme="minorHAnsi"/>
          <w:lang w:val="en-GB"/>
        </w:rPr>
      </w:pPr>
      <w:r w:rsidRPr="004350D8">
        <w:rPr>
          <w:rFonts w:asciiTheme="minorHAnsi" w:hAnsiTheme="minorHAnsi" w:cstheme="minorHAnsi"/>
          <w:lang w:val="en-GB"/>
        </w:rPr>
        <w:t xml:space="preserve">RESPONSES TO </w:t>
      </w:r>
      <w:r w:rsidR="00FF1271" w:rsidRPr="004350D8">
        <w:rPr>
          <w:rFonts w:asciiTheme="minorHAnsi" w:hAnsiTheme="minorHAnsi" w:cstheme="minorHAnsi"/>
          <w:lang w:val="en-GB"/>
        </w:rPr>
        <w:t>LIABILITY</w:t>
      </w:r>
      <w:r w:rsidRPr="004350D8">
        <w:rPr>
          <w:rFonts w:asciiTheme="minorHAnsi" w:hAnsiTheme="minorHAnsi" w:cstheme="minorHAnsi"/>
          <w:lang w:val="en-GB"/>
        </w:rPr>
        <w:t xml:space="preserve"> RISK</w:t>
      </w:r>
      <w:r w:rsidR="00FF1271" w:rsidRPr="004350D8">
        <w:rPr>
          <w:rFonts w:asciiTheme="minorHAnsi" w:hAnsiTheme="minorHAnsi" w:cstheme="minorHAnsi"/>
          <w:lang w:val="en-GB"/>
        </w:rPr>
        <w:t>S</w:t>
      </w:r>
    </w:p>
    <w:p w14:paraId="67D8BF94" w14:textId="77777777" w:rsidR="008943E6" w:rsidRPr="004350D8" w:rsidRDefault="008943E6" w:rsidP="007E7A8D">
      <w:pPr>
        <w:pStyle w:val="Default"/>
        <w:spacing w:line="480" w:lineRule="auto"/>
        <w:rPr>
          <w:rFonts w:asciiTheme="minorHAnsi" w:hAnsiTheme="minorHAnsi" w:cstheme="minorHAnsi"/>
          <w:lang w:val="en-GB"/>
        </w:rPr>
      </w:pPr>
    </w:p>
    <w:p w14:paraId="013A7D6A" w14:textId="77777777" w:rsidR="008943E6" w:rsidRPr="004350D8" w:rsidRDefault="008943E6" w:rsidP="007E7A8D">
      <w:pPr>
        <w:spacing w:after="0" w:line="480" w:lineRule="auto"/>
        <w:jc w:val="both"/>
        <w:rPr>
          <w:rFonts w:cstheme="minorHAnsi"/>
          <w:sz w:val="24"/>
          <w:szCs w:val="24"/>
        </w:rPr>
      </w:pPr>
      <w:r w:rsidRPr="004350D8">
        <w:rPr>
          <w:rFonts w:cstheme="minorHAnsi"/>
          <w:sz w:val="24"/>
          <w:szCs w:val="24"/>
        </w:rPr>
        <w:t>It is common within the practice of risk management to conceive of ‘risk’ as comprising two dimensions: (1) the likelihood of an event happening; and (2) its impact should it happen.</w:t>
      </w:r>
      <w:r w:rsidR="00144659">
        <w:rPr>
          <w:rStyle w:val="FootnoteReference"/>
          <w:rFonts w:cstheme="minorHAnsi"/>
          <w:sz w:val="24"/>
          <w:szCs w:val="24"/>
        </w:rPr>
        <w:footnoteReference w:id="36"/>
      </w:r>
      <w:r w:rsidRPr="004350D8">
        <w:rPr>
          <w:rFonts w:cstheme="minorHAnsi"/>
          <w:sz w:val="24"/>
          <w:szCs w:val="24"/>
        </w:rPr>
        <w:t xml:space="preserve"> </w:t>
      </w:r>
      <w:r w:rsidR="00CF2D03" w:rsidRPr="004350D8">
        <w:rPr>
          <w:rFonts w:cstheme="minorHAnsi"/>
          <w:sz w:val="24"/>
          <w:szCs w:val="24"/>
        </w:rPr>
        <w:t>The</w:t>
      </w:r>
      <w:r w:rsidRPr="004350D8">
        <w:rPr>
          <w:rFonts w:cstheme="minorHAnsi"/>
          <w:sz w:val="24"/>
          <w:szCs w:val="24"/>
        </w:rPr>
        <w:t xml:space="preserve"> potential public authority responses to liability risks </w:t>
      </w:r>
      <w:r w:rsidR="00AE6B53" w:rsidRPr="004350D8">
        <w:rPr>
          <w:rFonts w:cstheme="minorHAnsi"/>
          <w:sz w:val="24"/>
          <w:szCs w:val="24"/>
        </w:rPr>
        <w:t xml:space="preserve">can be mapped </w:t>
      </w:r>
      <w:r w:rsidRPr="004350D8">
        <w:rPr>
          <w:rFonts w:cstheme="minorHAnsi"/>
          <w:sz w:val="24"/>
          <w:szCs w:val="24"/>
        </w:rPr>
        <w:t xml:space="preserve">along these two dimensions. First, accordingly, there are </w:t>
      </w:r>
      <w:r w:rsidR="00AE6B53" w:rsidRPr="004350D8">
        <w:rPr>
          <w:rFonts w:cstheme="minorHAnsi"/>
          <w:sz w:val="24"/>
          <w:szCs w:val="24"/>
        </w:rPr>
        <w:t xml:space="preserve">risk management </w:t>
      </w:r>
      <w:r w:rsidRPr="004350D8">
        <w:rPr>
          <w:rFonts w:cstheme="minorHAnsi"/>
          <w:sz w:val="24"/>
          <w:szCs w:val="24"/>
        </w:rPr>
        <w:t xml:space="preserve">approaches which seek to reduce the likelihood of liability </w:t>
      </w:r>
      <w:r w:rsidR="00CF2D03" w:rsidRPr="004350D8">
        <w:rPr>
          <w:rFonts w:cstheme="minorHAnsi"/>
          <w:sz w:val="24"/>
          <w:szCs w:val="24"/>
        </w:rPr>
        <w:t>arising</w:t>
      </w:r>
      <w:r w:rsidRPr="004350D8">
        <w:rPr>
          <w:rFonts w:cstheme="minorHAnsi"/>
          <w:sz w:val="24"/>
          <w:szCs w:val="24"/>
        </w:rPr>
        <w:t xml:space="preserve">. Second, there are approaches which accept the presence of risks and focus on minimising the impact of liability when it occurs. </w:t>
      </w:r>
    </w:p>
    <w:p w14:paraId="3BEA0D85" w14:textId="77777777" w:rsidR="008943E6" w:rsidRPr="004350D8" w:rsidRDefault="008943E6" w:rsidP="007E7A8D">
      <w:pPr>
        <w:spacing w:after="0" w:line="480" w:lineRule="auto"/>
        <w:jc w:val="both"/>
        <w:rPr>
          <w:rFonts w:cstheme="minorHAnsi"/>
          <w:sz w:val="24"/>
          <w:szCs w:val="24"/>
        </w:rPr>
      </w:pPr>
    </w:p>
    <w:p w14:paraId="1D158222" w14:textId="77777777" w:rsidR="001147C0" w:rsidRPr="00887F78" w:rsidRDefault="001147C0" w:rsidP="00887F78">
      <w:pPr>
        <w:pStyle w:val="ListParagraph"/>
        <w:numPr>
          <w:ilvl w:val="0"/>
          <w:numId w:val="3"/>
        </w:numPr>
        <w:spacing w:after="0" w:line="480" w:lineRule="auto"/>
        <w:jc w:val="both"/>
        <w:rPr>
          <w:rFonts w:eastAsia="Batang" w:cstheme="minorHAnsi"/>
          <w:i/>
          <w:sz w:val="24"/>
          <w:szCs w:val="24"/>
        </w:rPr>
      </w:pPr>
      <w:r w:rsidRPr="00887F78">
        <w:rPr>
          <w:rFonts w:eastAsia="Batang" w:cstheme="minorHAnsi"/>
          <w:i/>
          <w:sz w:val="24"/>
          <w:szCs w:val="24"/>
        </w:rPr>
        <w:t xml:space="preserve">Minimising the likelihood of liability </w:t>
      </w:r>
    </w:p>
    <w:p w14:paraId="5D2E16FC" w14:textId="77777777" w:rsidR="00522A08" w:rsidRDefault="00522A08" w:rsidP="007E7A8D">
      <w:pPr>
        <w:spacing w:after="0" w:line="480" w:lineRule="auto"/>
        <w:jc w:val="both"/>
        <w:rPr>
          <w:rFonts w:eastAsia="Batang" w:cstheme="minorHAnsi"/>
          <w:i/>
          <w:sz w:val="24"/>
          <w:szCs w:val="24"/>
        </w:rPr>
      </w:pPr>
    </w:p>
    <w:p w14:paraId="4C34AA12" w14:textId="77777777" w:rsidR="004A3727" w:rsidRPr="00887F78" w:rsidRDefault="004A3727" w:rsidP="00887F78">
      <w:pPr>
        <w:pStyle w:val="ListParagraph"/>
        <w:numPr>
          <w:ilvl w:val="0"/>
          <w:numId w:val="4"/>
        </w:numPr>
        <w:spacing w:after="0" w:line="480" w:lineRule="auto"/>
        <w:jc w:val="both"/>
        <w:rPr>
          <w:rFonts w:eastAsia="Batang" w:cstheme="minorHAnsi"/>
          <w:sz w:val="24"/>
          <w:szCs w:val="24"/>
        </w:rPr>
      </w:pPr>
      <w:r w:rsidRPr="00887F78">
        <w:rPr>
          <w:rFonts w:eastAsia="Batang" w:cstheme="minorHAnsi"/>
          <w:sz w:val="24"/>
          <w:szCs w:val="24"/>
        </w:rPr>
        <w:t>Fulfilling the duty of care to public service users</w:t>
      </w:r>
    </w:p>
    <w:p w14:paraId="1B6D5D4B" w14:textId="77777777" w:rsidR="00434094" w:rsidRDefault="0049318E" w:rsidP="007E7A8D">
      <w:pPr>
        <w:spacing w:after="0" w:line="480" w:lineRule="auto"/>
        <w:jc w:val="both"/>
        <w:rPr>
          <w:rFonts w:eastAsia="Batang" w:cstheme="minorHAnsi"/>
          <w:sz w:val="24"/>
          <w:szCs w:val="24"/>
        </w:rPr>
      </w:pPr>
      <w:r w:rsidRPr="00434094">
        <w:rPr>
          <w:rFonts w:eastAsia="Batang" w:cstheme="minorHAnsi"/>
          <w:sz w:val="24"/>
          <w:szCs w:val="24"/>
        </w:rPr>
        <w:lastRenderedPageBreak/>
        <w:t>The thrust of Epp’s thesis</w:t>
      </w:r>
      <w:r w:rsidR="00144659">
        <w:rPr>
          <w:rStyle w:val="FootnoteReference"/>
          <w:rFonts w:eastAsia="Batang" w:cstheme="minorHAnsi"/>
          <w:sz w:val="24"/>
          <w:szCs w:val="24"/>
        </w:rPr>
        <w:footnoteReference w:id="37"/>
      </w:r>
      <w:r w:rsidRPr="00434094">
        <w:rPr>
          <w:rFonts w:eastAsia="Batang" w:cstheme="minorHAnsi"/>
          <w:sz w:val="24"/>
          <w:szCs w:val="24"/>
        </w:rPr>
        <w:t xml:space="preserve"> noted in our introduction is that rights activism and reform-oriented professionalism has combined in the USA to produce what he calls a ‘legalistic state’ whereby legal compliance is a basic mode of public authority decision-making. If we re-frame his thesis for the purposes of this analysis, we might expect to find that the first approach to minimising the likelihood of liability arising when delivering public services is to seek</w:t>
      </w:r>
      <w:r w:rsidR="004A3727" w:rsidRPr="00434094">
        <w:rPr>
          <w:rFonts w:eastAsia="Batang" w:cstheme="minorHAnsi"/>
          <w:sz w:val="24"/>
          <w:szCs w:val="24"/>
        </w:rPr>
        <w:t xml:space="preserve"> to fulfil the duty of care owed to service users. </w:t>
      </w:r>
      <w:r w:rsidRPr="00434094">
        <w:rPr>
          <w:rFonts w:eastAsia="Batang" w:cstheme="minorHAnsi"/>
          <w:sz w:val="24"/>
          <w:szCs w:val="24"/>
        </w:rPr>
        <w:t>T</w:t>
      </w:r>
      <w:r w:rsidR="004A3727" w:rsidRPr="00434094">
        <w:rPr>
          <w:rFonts w:eastAsia="Batang" w:cstheme="minorHAnsi"/>
          <w:sz w:val="24"/>
          <w:szCs w:val="24"/>
        </w:rPr>
        <w:t xml:space="preserve">his was evident in both jurisdictions </w:t>
      </w:r>
      <w:r w:rsidRPr="00434094">
        <w:rPr>
          <w:rFonts w:eastAsia="Batang" w:cstheme="minorHAnsi"/>
          <w:sz w:val="24"/>
          <w:szCs w:val="24"/>
        </w:rPr>
        <w:t xml:space="preserve">in our study </w:t>
      </w:r>
      <w:r w:rsidR="004A3727" w:rsidRPr="00434094">
        <w:rPr>
          <w:rFonts w:eastAsia="Batang" w:cstheme="minorHAnsi"/>
          <w:sz w:val="24"/>
          <w:szCs w:val="24"/>
        </w:rPr>
        <w:t>but was most clearly observable in Scotland where systems of proactive cyclical road inspection were ubiquitous</w:t>
      </w:r>
      <w:r w:rsidR="008431E4">
        <w:rPr>
          <w:rFonts w:eastAsia="Batang" w:cstheme="minorHAnsi"/>
          <w:sz w:val="24"/>
          <w:szCs w:val="24"/>
        </w:rPr>
        <w:t>,</w:t>
      </w:r>
      <w:r w:rsidR="004A3727" w:rsidRPr="00434094">
        <w:rPr>
          <w:rFonts w:eastAsia="Batang" w:cstheme="minorHAnsi"/>
          <w:sz w:val="24"/>
          <w:szCs w:val="24"/>
        </w:rPr>
        <w:t xml:space="preserve"> with a significant majority of authorities complying with the system of rules prescribed in the professional code of practice, </w:t>
      </w:r>
      <w:r w:rsidR="004A3727" w:rsidRPr="00434094">
        <w:rPr>
          <w:rFonts w:eastAsia="Batang" w:cstheme="minorHAnsi"/>
          <w:i/>
          <w:sz w:val="24"/>
          <w:szCs w:val="24"/>
        </w:rPr>
        <w:t>Well Maintained Highways</w:t>
      </w:r>
      <w:r w:rsidR="004A3727" w:rsidRPr="00434094">
        <w:rPr>
          <w:rFonts w:eastAsia="Batang" w:cstheme="minorHAnsi"/>
          <w:sz w:val="24"/>
          <w:szCs w:val="24"/>
        </w:rPr>
        <w:t>.</w:t>
      </w:r>
      <w:r w:rsidR="00144659">
        <w:rPr>
          <w:rStyle w:val="FootnoteReference"/>
          <w:rFonts w:eastAsia="Batang" w:cstheme="minorHAnsi"/>
          <w:sz w:val="24"/>
          <w:szCs w:val="24"/>
        </w:rPr>
        <w:footnoteReference w:id="38"/>
      </w:r>
      <w:r w:rsidR="004A3727" w:rsidRPr="00434094">
        <w:rPr>
          <w:rFonts w:eastAsia="Batang" w:cstheme="minorHAnsi"/>
          <w:sz w:val="24"/>
          <w:szCs w:val="24"/>
        </w:rPr>
        <w:t xml:space="preserve"> </w:t>
      </w:r>
      <w:r w:rsidRPr="00434094">
        <w:rPr>
          <w:sz w:val="24"/>
          <w:szCs w:val="24"/>
        </w:rPr>
        <w:t xml:space="preserve">Unlike Epp’s findings, however, rights activism on the part of lawyers played no role in promoting legal compliance. As we explore </w:t>
      </w:r>
      <w:r w:rsidR="00434094" w:rsidRPr="00434094">
        <w:rPr>
          <w:sz w:val="24"/>
          <w:szCs w:val="24"/>
        </w:rPr>
        <w:t xml:space="preserve">in detail </w:t>
      </w:r>
      <w:r w:rsidRPr="00434094">
        <w:rPr>
          <w:sz w:val="24"/>
          <w:szCs w:val="24"/>
        </w:rPr>
        <w:t>elsewhere,</w:t>
      </w:r>
      <w:r w:rsidR="00144659">
        <w:rPr>
          <w:rStyle w:val="FootnoteReference"/>
          <w:sz w:val="24"/>
          <w:szCs w:val="24"/>
        </w:rPr>
        <w:footnoteReference w:id="39"/>
      </w:r>
      <w:r w:rsidRPr="00434094">
        <w:rPr>
          <w:sz w:val="24"/>
          <w:szCs w:val="24"/>
        </w:rPr>
        <w:t xml:space="preserve"> an increase in legal compliance amongst Scottish authorities was </w:t>
      </w:r>
      <w:r w:rsidR="004A3727" w:rsidRPr="00434094">
        <w:rPr>
          <w:rFonts w:eastAsia="Batang" w:cstheme="minorHAnsi"/>
          <w:sz w:val="24"/>
          <w:szCs w:val="24"/>
        </w:rPr>
        <w:t>a result</w:t>
      </w:r>
      <w:r w:rsidR="00434094" w:rsidRPr="00434094">
        <w:rPr>
          <w:rFonts w:eastAsia="Batang" w:cstheme="minorHAnsi"/>
          <w:sz w:val="24"/>
          <w:szCs w:val="24"/>
        </w:rPr>
        <w:t xml:space="preserve"> </w:t>
      </w:r>
      <w:r w:rsidR="004A3727" w:rsidRPr="00434094">
        <w:rPr>
          <w:rFonts w:eastAsia="Batang" w:cstheme="minorHAnsi"/>
          <w:sz w:val="24"/>
          <w:szCs w:val="24"/>
        </w:rPr>
        <w:t>of both the perceptions of legal certainty amongst local authorities and the promotion of legal compliance by the Accounts Commission for Scotland and a local professional network (the Society of Chief Officers for Transport in Scotland - ‘SCOTS’).</w:t>
      </w:r>
      <w:r w:rsidR="004A3727" w:rsidRPr="00434094">
        <w:rPr>
          <w:rStyle w:val="FootnoteReference"/>
          <w:rFonts w:eastAsia="Batang" w:cstheme="minorHAnsi"/>
          <w:sz w:val="24"/>
          <w:szCs w:val="24"/>
        </w:rPr>
        <w:t xml:space="preserve"> </w:t>
      </w:r>
    </w:p>
    <w:p w14:paraId="4DA0B72C" w14:textId="77777777" w:rsidR="004A3727" w:rsidRPr="0049318E" w:rsidRDefault="004A3727" w:rsidP="00527616">
      <w:pPr>
        <w:spacing w:line="480" w:lineRule="auto"/>
        <w:ind w:firstLine="720"/>
        <w:jc w:val="both"/>
      </w:pPr>
      <w:r w:rsidRPr="00434094">
        <w:rPr>
          <w:rFonts w:eastAsia="Batang" w:cstheme="minorHAnsi"/>
          <w:sz w:val="24"/>
          <w:szCs w:val="24"/>
        </w:rPr>
        <w:t xml:space="preserve">However, although legal certainty in Scotland </w:t>
      </w:r>
      <w:r w:rsidR="00A6735E">
        <w:rPr>
          <w:rFonts w:eastAsia="Batang" w:cstheme="minorHAnsi"/>
          <w:sz w:val="24"/>
          <w:szCs w:val="24"/>
        </w:rPr>
        <w:t>provided a solid platform for</w:t>
      </w:r>
      <w:r w:rsidRPr="00434094">
        <w:rPr>
          <w:rFonts w:eastAsia="Batang" w:cstheme="minorHAnsi"/>
          <w:sz w:val="24"/>
          <w:szCs w:val="24"/>
        </w:rPr>
        <w:t xml:space="preserve"> managing liability risk through legal compliance, it is important to note that legal certainty is something of a double-edged sword in terms of its</w:t>
      </w:r>
      <w:r w:rsidRPr="004350D8">
        <w:rPr>
          <w:rFonts w:eastAsia="Batang" w:cstheme="minorHAnsi"/>
          <w:sz w:val="24"/>
          <w:szCs w:val="24"/>
        </w:rPr>
        <w:t xml:space="preserve"> relationship to the underlying aims of the legal doctrine. The clear rationale of both the professional code of practice and the legal standard of care in relation to road maintenance is that such systems of pro-active inspection </w:t>
      </w:r>
      <w:r>
        <w:rPr>
          <w:rFonts w:eastAsia="Batang" w:cstheme="minorHAnsi"/>
          <w:sz w:val="24"/>
          <w:szCs w:val="24"/>
        </w:rPr>
        <w:t xml:space="preserve">and repair </w:t>
      </w:r>
      <w:r w:rsidRPr="004350D8">
        <w:rPr>
          <w:rFonts w:eastAsia="Batang" w:cstheme="minorHAnsi"/>
          <w:sz w:val="24"/>
          <w:szCs w:val="24"/>
        </w:rPr>
        <w:t xml:space="preserve">will result in a reduction of harm to road users. But the cost of legal </w:t>
      </w:r>
      <w:r w:rsidRPr="004350D8">
        <w:rPr>
          <w:rFonts w:eastAsia="Batang" w:cstheme="minorHAnsi"/>
          <w:sz w:val="24"/>
          <w:szCs w:val="24"/>
        </w:rPr>
        <w:lastRenderedPageBreak/>
        <w:t xml:space="preserve">certainty is that, as it increases, so does the potential for ‘creative </w:t>
      </w:r>
      <w:r>
        <w:rPr>
          <w:rFonts w:eastAsia="Batang" w:cstheme="minorHAnsi"/>
          <w:sz w:val="24"/>
          <w:szCs w:val="24"/>
        </w:rPr>
        <w:t xml:space="preserve">legal </w:t>
      </w:r>
      <w:r w:rsidRPr="004350D8">
        <w:rPr>
          <w:rFonts w:eastAsia="Batang" w:cstheme="minorHAnsi"/>
          <w:sz w:val="24"/>
          <w:szCs w:val="24"/>
        </w:rPr>
        <w:t>compliance’</w:t>
      </w:r>
      <w:r w:rsidRPr="004350D8">
        <w:rPr>
          <w:rFonts w:cstheme="minorHAnsi"/>
          <w:sz w:val="24"/>
          <w:szCs w:val="24"/>
        </w:rPr>
        <w:t>.</w:t>
      </w:r>
      <w:r w:rsidR="00144659">
        <w:rPr>
          <w:rStyle w:val="FootnoteReference"/>
          <w:rFonts w:cstheme="minorHAnsi"/>
          <w:sz w:val="24"/>
          <w:szCs w:val="24"/>
        </w:rPr>
        <w:footnoteReference w:id="40"/>
      </w:r>
      <w:r w:rsidRPr="004350D8">
        <w:rPr>
          <w:rFonts w:cstheme="minorHAnsi"/>
          <w:sz w:val="24"/>
          <w:szCs w:val="24"/>
        </w:rPr>
        <w:t xml:space="preserve"> By this we mean that legal certainty is vulnerable to exploitation whereby, in the context of our study, public authorities may comply confidently with the letter of </w:t>
      </w:r>
      <w:r w:rsidR="00502340">
        <w:rPr>
          <w:rFonts w:cstheme="minorHAnsi"/>
          <w:sz w:val="24"/>
          <w:szCs w:val="24"/>
        </w:rPr>
        <w:t>tort</w:t>
      </w:r>
      <w:r w:rsidRPr="004350D8">
        <w:rPr>
          <w:rFonts w:cstheme="minorHAnsi"/>
          <w:sz w:val="24"/>
          <w:szCs w:val="24"/>
        </w:rPr>
        <w:t xml:space="preserve"> law while neglecting its spirit. In other words, it is possible to reduce the likelihood of liability without correspondingly minimising the likelihood of harm to potential plaintiffs. </w:t>
      </w:r>
    </w:p>
    <w:p w14:paraId="29A00447" w14:textId="77777777" w:rsidR="004A3727" w:rsidRPr="004350D8" w:rsidRDefault="00FE3B26" w:rsidP="00527616">
      <w:pPr>
        <w:spacing w:after="0" w:line="480" w:lineRule="auto"/>
        <w:ind w:firstLine="720"/>
        <w:jc w:val="both"/>
        <w:rPr>
          <w:rFonts w:eastAsia="Batang" w:cstheme="minorHAnsi"/>
          <w:sz w:val="24"/>
          <w:szCs w:val="24"/>
        </w:rPr>
      </w:pPr>
      <w:r>
        <w:rPr>
          <w:rFonts w:cstheme="minorHAnsi"/>
          <w:sz w:val="24"/>
          <w:szCs w:val="24"/>
        </w:rPr>
        <w:t>In our case studies, w</w:t>
      </w:r>
      <w:r w:rsidR="004A3727">
        <w:rPr>
          <w:rFonts w:cstheme="minorHAnsi"/>
          <w:sz w:val="24"/>
          <w:szCs w:val="24"/>
        </w:rPr>
        <w:t>e saw evidence of this in relation to both the carrying out of inspections and the execution of repairs.</w:t>
      </w:r>
      <w:r w:rsidR="007B4C24">
        <w:rPr>
          <w:rStyle w:val="FootnoteReference"/>
          <w:rFonts w:cstheme="minorHAnsi"/>
          <w:sz w:val="24"/>
          <w:szCs w:val="24"/>
        </w:rPr>
        <w:footnoteReference w:id="41"/>
      </w:r>
      <w:r w:rsidR="004A3727">
        <w:rPr>
          <w:rFonts w:cstheme="minorHAnsi"/>
          <w:sz w:val="24"/>
          <w:szCs w:val="24"/>
        </w:rPr>
        <w:t xml:space="preserve"> </w:t>
      </w:r>
      <w:r w:rsidR="004A3727" w:rsidRPr="004350D8">
        <w:rPr>
          <w:rFonts w:cstheme="minorHAnsi"/>
          <w:sz w:val="24"/>
          <w:szCs w:val="24"/>
        </w:rPr>
        <w:t xml:space="preserve">For example, </w:t>
      </w:r>
      <w:r w:rsidR="004A3727" w:rsidRPr="004350D8">
        <w:rPr>
          <w:rFonts w:eastAsia="Batang" w:cstheme="minorHAnsi"/>
          <w:sz w:val="24"/>
          <w:szCs w:val="24"/>
        </w:rPr>
        <w:t xml:space="preserve">there was a degree of tolerance of incomplete inspections. As one officer noted, </w:t>
      </w:r>
      <w:r w:rsidR="004A3727" w:rsidRPr="004350D8">
        <w:rPr>
          <w:rFonts w:cstheme="minorHAnsi"/>
          <w:sz w:val="24"/>
          <w:szCs w:val="24"/>
        </w:rPr>
        <w:t>“you’re allowed to miss things [on inspectio</w:t>
      </w:r>
      <w:r w:rsidR="004A3727">
        <w:rPr>
          <w:rFonts w:cstheme="minorHAnsi"/>
          <w:sz w:val="24"/>
          <w:szCs w:val="24"/>
        </w:rPr>
        <w:t xml:space="preserve">ns].” He went on to say that if </w:t>
      </w:r>
      <w:r w:rsidR="004A3727" w:rsidRPr="004350D8">
        <w:rPr>
          <w:rFonts w:cstheme="minorHAnsi"/>
          <w:sz w:val="24"/>
          <w:szCs w:val="24"/>
        </w:rPr>
        <w:t xml:space="preserve">he detected 4 or 5 defects </w:t>
      </w:r>
      <w:r w:rsidR="004A3727">
        <w:rPr>
          <w:rFonts w:cstheme="minorHAnsi"/>
          <w:sz w:val="24"/>
          <w:szCs w:val="24"/>
        </w:rPr>
        <w:t>on an inspection</w:t>
      </w:r>
      <w:r w:rsidR="004A3727" w:rsidRPr="004350D8">
        <w:rPr>
          <w:rFonts w:cstheme="minorHAnsi"/>
          <w:sz w:val="24"/>
          <w:szCs w:val="24"/>
        </w:rPr>
        <w:t xml:space="preserve"> and recorded such, then it could subsequently be argued that it was unlikely that he had missed a defect that would give rise to liability. The implication is that any such defect would have emerged after his inspection, thereby not triggering liability. Alternatively, given the capacity for minor defects to worsen over time, local authorities may argue that at the time of the inspection the defect was not unsafe, but only became so subsequently.</w:t>
      </w:r>
      <w:r w:rsidR="004A3727" w:rsidRPr="004350D8">
        <w:rPr>
          <w:rFonts w:eastAsia="Batang" w:cstheme="minorHAnsi"/>
          <w:sz w:val="24"/>
          <w:szCs w:val="24"/>
        </w:rPr>
        <w:t xml:space="preserve"> Equally, </w:t>
      </w:r>
      <w:r w:rsidR="004A3727" w:rsidRPr="004350D8">
        <w:rPr>
          <w:rFonts w:cstheme="minorHAnsi"/>
          <w:sz w:val="24"/>
          <w:szCs w:val="24"/>
        </w:rPr>
        <w:t xml:space="preserve">Scottish authorities were tolerant of temporary </w:t>
      </w:r>
      <w:r w:rsidR="004A3727" w:rsidRPr="004350D8">
        <w:rPr>
          <w:rFonts w:eastAsia="Batang" w:cstheme="minorHAnsi"/>
          <w:sz w:val="24"/>
          <w:szCs w:val="24"/>
        </w:rPr>
        <w:t xml:space="preserve">repairs which were expected to fail quickly and so not prevent future harms for very long. </w:t>
      </w:r>
      <w:r w:rsidR="004A3727" w:rsidRPr="004350D8">
        <w:rPr>
          <w:rFonts w:cstheme="minorHAnsi"/>
          <w:sz w:val="24"/>
          <w:szCs w:val="24"/>
        </w:rPr>
        <w:t>One example observed was a footway repair in Beulah. On a routine inspection, the road workers spotted deterioration to the footway on the bend of a road in a residential area. The workmen were familiar with this defect and had already repaired it a number of times on previous inspections. The extent of the defect meant that they could only</w:t>
      </w:r>
      <w:r w:rsidR="004A3727">
        <w:rPr>
          <w:rFonts w:cstheme="minorHAnsi"/>
          <w:sz w:val="24"/>
          <w:szCs w:val="24"/>
        </w:rPr>
        <w:t xml:space="preserve"> make</w:t>
      </w:r>
      <w:r w:rsidR="004A3727" w:rsidRPr="004350D8">
        <w:rPr>
          <w:rFonts w:cstheme="minorHAnsi"/>
          <w:sz w:val="24"/>
          <w:szCs w:val="24"/>
        </w:rPr>
        <w:t xml:space="preserve"> a temporary repair. Permanent remedial work </w:t>
      </w:r>
      <w:r w:rsidR="004A3727">
        <w:rPr>
          <w:rFonts w:cstheme="minorHAnsi"/>
          <w:sz w:val="24"/>
          <w:szCs w:val="24"/>
        </w:rPr>
        <w:t>need</w:t>
      </w:r>
      <w:r w:rsidR="00D83C5E">
        <w:rPr>
          <w:rFonts w:cstheme="minorHAnsi"/>
          <w:sz w:val="24"/>
          <w:szCs w:val="24"/>
        </w:rPr>
        <w:t>ed</w:t>
      </w:r>
      <w:r w:rsidR="004A3727">
        <w:rPr>
          <w:rFonts w:cstheme="minorHAnsi"/>
          <w:sz w:val="24"/>
          <w:szCs w:val="24"/>
        </w:rPr>
        <w:t xml:space="preserve"> to be</w:t>
      </w:r>
      <w:r w:rsidR="004A3727" w:rsidRPr="004350D8">
        <w:rPr>
          <w:rFonts w:cstheme="minorHAnsi"/>
          <w:sz w:val="24"/>
          <w:szCs w:val="24"/>
        </w:rPr>
        <w:t xml:space="preserve"> </w:t>
      </w:r>
      <w:r w:rsidR="004A3727">
        <w:rPr>
          <w:rFonts w:cstheme="minorHAnsi"/>
          <w:sz w:val="24"/>
          <w:szCs w:val="24"/>
        </w:rPr>
        <w:t>carried</w:t>
      </w:r>
      <w:r w:rsidR="004A3727" w:rsidRPr="004350D8">
        <w:rPr>
          <w:rFonts w:cstheme="minorHAnsi"/>
          <w:sz w:val="24"/>
          <w:szCs w:val="24"/>
        </w:rPr>
        <w:t xml:space="preserve"> out by another council section. The defect was caused by buses mounting the </w:t>
      </w:r>
      <w:r w:rsidR="004A3727" w:rsidRPr="004350D8">
        <w:rPr>
          <w:rFonts w:cstheme="minorHAnsi"/>
          <w:sz w:val="24"/>
          <w:szCs w:val="24"/>
        </w:rPr>
        <w:lastRenderedPageBreak/>
        <w:t xml:space="preserve">kerb when coming round the corner, causing the kerb stones to be dislodged and the footway surface to be broken up. Although the workmen repaired it again, they joked that if they returned after lunch they would find that the repair had already failed, noting “let’s fix that wee bugger for all the good it’ll do.” </w:t>
      </w:r>
      <w:r w:rsidR="004A3727" w:rsidRPr="004350D8">
        <w:rPr>
          <w:rFonts w:eastAsia="Batang" w:cstheme="minorHAnsi"/>
          <w:sz w:val="24"/>
          <w:szCs w:val="24"/>
        </w:rPr>
        <w:t xml:space="preserve">The point here is that although the reduction of the safety risk to footway users endured only until the temporary repair failed (which was expected to be less than 24 hours), the reduction of the liability risk to the local authority endured much longer – until the next inspection </w:t>
      </w:r>
      <w:r>
        <w:rPr>
          <w:rFonts w:eastAsia="Batang" w:cstheme="minorHAnsi"/>
          <w:sz w:val="24"/>
          <w:szCs w:val="24"/>
        </w:rPr>
        <w:t xml:space="preserve">(which could be in one month, 3 months, 6 months or a year’s time) </w:t>
      </w:r>
      <w:r w:rsidR="004A3727" w:rsidRPr="004350D8">
        <w:rPr>
          <w:rFonts w:eastAsia="Batang" w:cstheme="minorHAnsi"/>
          <w:sz w:val="24"/>
          <w:szCs w:val="24"/>
        </w:rPr>
        <w:t xml:space="preserve">or the next complaint from a member of the public. </w:t>
      </w:r>
    </w:p>
    <w:p w14:paraId="7AD0E3D8" w14:textId="77777777" w:rsidR="004A3727" w:rsidRPr="004350D8" w:rsidRDefault="004A3727" w:rsidP="007E7A8D">
      <w:pPr>
        <w:spacing w:after="0" w:line="480" w:lineRule="auto"/>
        <w:jc w:val="both"/>
        <w:rPr>
          <w:rFonts w:eastAsia="Batang" w:cstheme="minorHAnsi"/>
          <w:i/>
          <w:sz w:val="24"/>
          <w:szCs w:val="24"/>
        </w:rPr>
      </w:pPr>
    </w:p>
    <w:p w14:paraId="3AC1BD52" w14:textId="77777777" w:rsidR="00CF2D03" w:rsidRPr="00887F78" w:rsidRDefault="00CF2D03" w:rsidP="00887F78">
      <w:pPr>
        <w:pStyle w:val="ListParagraph"/>
        <w:numPr>
          <w:ilvl w:val="0"/>
          <w:numId w:val="4"/>
        </w:numPr>
        <w:spacing w:after="0" w:line="480" w:lineRule="auto"/>
        <w:jc w:val="both"/>
        <w:rPr>
          <w:rFonts w:eastAsia="Batang" w:cstheme="minorHAnsi"/>
          <w:sz w:val="24"/>
          <w:szCs w:val="24"/>
        </w:rPr>
      </w:pPr>
      <w:r w:rsidRPr="00887F78">
        <w:rPr>
          <w:rFonts w:eastAsia="Batang" w:cstheme="minorHAnsi"/>
          <w:sz w:val="24"/>
          <w:szCs w:val="24"/>
        </w:rPr>
        <w:t>Cessation of activity which risks liability</w:t>
      </w:r>
    </w:p>
    <w:p w14:paraId="3588C357" w14:textId="77777777" w:rsidR="00F05FE5" w:rsidRPr="004350D8" w:rsidRDefault="0049318E" w:rsidP="007E7A8D">
      <w:pPr>
        <w:spacing w:after="0" w:line="480" w:lineRule="auto"/>
        <w:jc w:val="both"/>
        <w:rPr>
          <w:rFonts w:eastAsia="Batang" w:cstheme="minorHAnsi"/>
          <w:sz w:val="24"/>
          <w:szCs w:val="24"/>
        </w:rPr>
      </w:pPr>
      <w:r>
        <w:rPr>
          <w:rFonts w:eastAsia="Batang" w:cstheme="minorHAnsi"/>
          <w:sz w:val="24"/>
          <w:szCs w:val="24"/>
        </w:rPr>
        <w:t>A second and more</w:t>
      </w:r>
      <w:r w:rsidR="001B023A" w:rsidRPr="004350D8">
        <w:rPr>
          <w:rFonts w:eastAsia="Batang" w:cstheme="minorHAnsi"/>
          <w:sz w:val="24"/>
          <w:szCs w:val="24"/>
        </w:rPr>
        <w:t xml:space="preserve"> extreme way of minimising the likelihood of liability arising is for public authorities </w:t>
      </w:r>
      <w:r>
        <w:rPr>
          <w:rFonts w:eastAsia="Batang" w:cstheme="minorHAnsi"/>
          <w:sz w:val="24"/>
          <w:szCs w:val="24"/>
        </w:rPr>
        <w:t xml:space="preserve">simply </w:t>
      </w:r>
      <w:r w:rsidR="001B023A" w:rsidRPr="004350D8">
        <w:rPr>
          <w:rFonts w:eastAsia="Batang" w:cstheme="minorHAnsi"/>
          <w:sz w:val="24"/>
          <w:szCs w:val="24"/>
        </w:rPr>
        <w:t>to cease the activity which might give rise to liability in negligence. This is the response envisaged by those who fear public authorities may become excessively risk averse in the shadow of the law. Interestingly, in relation to the provision of a roads maintenance service, this was a response available only to Irish authorities. Scottish local authorities, as we noted above, are under a statutory duty to manage public roads and failure to fulfil this duty may give rise to liability. In Ireland, however, by vi</w:t>
      </w:r>
      <w:r w:rsidR="00844F39" w:rsidRPr="004350D8">
        <w:rPr>
          <w:rFonts w:eastAsia="Batang" w:cstheme="minorHAnsi"/>
          <w:sz w:val="24"/>
          <w:szCs w:val="24"/>
        </w:rPr>
        <w:t>rtue of the non</w:t>
      </w:r>
      <w:r w:rsidR="001B023A" w:rsidRPr="004350D8">
        <w:rPr>
          <w:rFonts w:eastAsia="Batang" w:cstheme="minorHAnsi"/>
          <w:sz w:val="24"/>
          <w:szCs w:val="24"/>
        </w:rPr>
        <w:t xml:space="preserve">feasance doctrine, local authorities could withdraw road maintenance services </w:t>
      </w:r>
      <w:r w:rsidR="00DF12DC" w:rsidRPr="004350D8">
        <w:rPr>
          <w:rFonts w:eastAsia="Batang" w:cstheme="minorHAnsi"/>
          <w:sz w:val="24"/>
          <w:szCs w:val="24"/>
        </w:rPr>
        <w:t>as a result of</w:t>
      </w:r>
      <w:r w:rsidR="001B023A" w:rsidRPr="004350D8">
        <w:rPr>
          <w:rFonts w:eastAsia="Batang" w:cstheme="minorHAnsi"/>
          <w:sz w:val="24"/>
          <w:szCs w:val="24"/>
        </w:rPr>
        <w:t xml:space="preserve"> fear of liability.</w:t>
      </w:r>
      <w:r w:rsidR="00273E2D" w:rsidRPr="004350D8">
        <w:rPr>
          <w:rFonts w:eastAsia="Batang" w:cstheme="minorHAnsi"/>
          <w:sz w:val="24"/>
          <w:szCs w:val="24"/>
        </w:rPr>
        <w:t xml:space="preserve"> Some local authorities did adopt this approach, though they were in the minority. Most local authorities did not take such a drastic approach. </w:t>
      </w:r>
      <w:r w:rsidR="00953230" w:rsidRPr="004350D8">
        <w:rPr>
          <w:rFonts w:eastAsia="Batang" w:cstheme="minorHAnsi"/>
          <w:sz w:val="24"/>
          <w:szCs w:val="24"/>
        </w:rPr>
        <w:t xml:space="preserve">Indeed, a few Irish authorities carried out pro-active cyclical road inspections to detect defects and </w:t>
      </w:r>
      <w:r w:rsidR="00C618E6">
        <w:rPr>
          <w:rFonts w:eastAsia="Batang" w:cstheme="minorHAnsi"/>
          <w:sz w:val="24"/>
          <w:szCs w:val="24"/>
        </w:rPr>
        <w:t>undertake</w:t>
      </w:r>
      <w:r w:rsidR="00C618E6" w:rsidRPr="004350D8">
        <w:rPr>
          <w:rFonts w:eastAsia="Batang" w:cstheme="minorHAnsi"/>
          <w:sz w:val="24"/>
          <w:szCs w:val="24"/>
        </w:rPr>
        <w:t xml:space="preserve"> </w:t>
      </w:r>
      <w:r w:rsidR="00953230" w:rsidRPr="004350D8">
        <w:rPr>
          <w:rFonts w:eastAsia="Batang" w:cstheme="minorHAnsi"/>
          <w:sz w:val="24"/>
          <w:szCs w:val="24"/>
        </w:rPr>
        <w:t xml:space="preserve">repairs, though most were reactive to complaints of poor road conditions or requests for repairs. </w:t>
      </w:r>
    </w:p>
    <w:p w14:paraId="5ABA9E32" w14:textId="77777777" w:rsidR="00F05FE5" w:rsidRPr="004350D8" w:rsidRDefault="00273E2D" w:rsidP="00527616">
      <w:pPr>
        <w:spacing w:after="0" w:line="480" w:lineRule="auto"/>
        <w:ind w:firstLine="720"/>
        <w:rPr>
          <w:rFonts w:eastAsia="Times New Roman" w:cstheme="minorHAnsi"/>
          <w:sz w:val="24"/>
          <w:szCs w:val="24"/>
          <w:lang w:eastAsia="en-AU"/>
        </w:rPr>
      </w:pPr>
      <w:r w:rsidRPr="004350D8">
        <w:rPr>
          <w:rFonts w:eastAsia="Batang" w:cstheme="minorHAnsi"/>
          <w:sz w:val="24"/>
          <w:szCs w:val="24"/>
        </w:rPr>
        <w:lastRenderedPageBreak/>
        <w:t xml:space="preserve">This </w:t>
      </w:r>
      <w:r w:rsidR="00F05FE5" w:rsidRPr="004350D8">
        <w:rPr>
          <w:rFonts w:eastAsia="Batang" w:cstheme="minorHAnsi"/>
          <w:sz w:val="24"/>
          <w:szCs w:val="24"/>
        </w:rPr>
        <w:t>approach on the part of these Irish authorities was</w:t>
      </w:r>
      <w:r w:rsidRPr="004350D8">
        <w:rPr>
          <w:rFonts w:eastAsia="Batang" w:cstheme="minorHAnsi"/>
          <w:sz w:val="24"/>
          <w:szCs w:val="24"/>
        </w:rPr>
        <w:t xml:space="preserve"> partly a result, we suggest, of the perceptions of uncertainty about how lower courts might make their decisions. More positively, </w:t>
      </w:r>
      <w:r w:rsidR="00953230" w:rsidRPr="004350D8">
        <w:rPr>
          <w:rFonts w:eastAsia="Batang" w:cstheme="minorHAnsi"/>
          <w:sz w:val="24"/>
          <w:szCs w:val="24"/>
        </w:rPr>
        <w:t xml:space="preserve">however, </w:t>
      </w:r>
      <w:r w:rsidRPr="004350D8">
        <w:rPr>
          <w:rFonts w:eastAsia="Batang" w:cstheme="minorHAnsi"/>
          <w:sz w:val="24"/>
          <w:szCs w:val="24"/>
        </w:rPr>
        <w:t xml:space="preserve">it was also a product of a professional commitment on the part of roads officers to the maintenance of </w:t>
      </w:r>
      <w:r w:rsidR="00C966E2">
        <w:rPr>
          <w:rFonts w:eastAsia="Batang" w:cstheme="minorHAnsi"/>
          <w:sz w:val="24"/>
          <w:szCs w:val="24"/>
        </w:rPr>
        <w:t xml:space="preserve">a </w:t>
      </w:r>
      <w:r w:rsidRPr="004350D8">
        <w:rPr>
          <w:rFonts w:eastAsia="Batang" w:cstheme="minorHAnsi"/>
          <w:sz w:val="24"/>
          <w:szCs w:val="24"/>
        </w:rPr>
        <w:t xml:space="preserve">high quality roads </w:t>
      </w:r>
      <w:r w:rsidR="00C966E2">
        <w:rPr>
          <w:rFonts w:eastAsia="Batang" w:cstheme="minorHAnsi"/>
          <w:sz w:val="24"/>
          <w:szCs w:val="24"/>
        </w:rPr>
        <w:t xml:space="preserve">network </w:t>
      </w:r>
      <w:r w:rsidRPr="004350D8">
        <w:rPr>
          <w:rFonts w:eastAsia="Batang" w:cstheme="minorHAnsi"/>
          <w:sz w:val="24"/>
          <w:szCs w:val="24"/>
        </w:rPr>
        <w:t>and of additional accountability pressures such as complaints systems.</w:t>
      </w:r>
      <w:r w:rsidR="00F05FE5" w:rsidRPr="004350D8">
        <w:rPr>
          <w:rFonts w:eastAsia="Batang" w:cstheme="minorHAnsi"/>
          <w:sz w:val="24"/>
          <w:szCs w:val="24"/>
        </w:rPr>
        <w:t xml:space="preserve"> T</w:t>
      </w:r>
      <w:r w:rsidR="00F05FE5" w:rsidRPr="004350D8">
        <w:rPr>
          <w:rFonts w:eastAsia="Times New Roman" w:cstheme="minorHAnsi"/>
          <w:sz w:val="24"/>
          <w:szCs w:val="24"/>
          <w:lang w:eastAsia="en-AU"/>
        </w:rPr>
        <w:t>ortious liability was only one of a number of accountability regimes within which the local authorities had to operate. A familiar theme of administrative justice research is that public authorities are subject to many and, at times, conflicting accountability pressures.</w:t>
      </w:r>
      <w:r w:rsidR="00FF70A4">
        <w:rPr>
          <w:rStyle w:val="FootnoteReference"/>
          <w:rFonts w:eastAsia="Times New Roman" w:cstheme="minorHAnsi"/>
          <w:sz w:val="24"/>
          <w:szCs w:val="24"/>
          <w:lang w:eastAsia="en-AU"/>
        </w:rPr>
        <w:footnoteReference w:id="42"/>
      </w:r>
      <w:r w:rsidR="00F05FE5" w:rsidRPr="004350D8">
        <w:rPr>
          <w:rFonts w:eastAsia="Times New Roman" w:cstheme="minorHAnsi"/>
          <w:sz w:val="24"/>
          <w:szCs w:val="24"/>
          <w:lang w:eastAsia="en-AU"/>
        </w:rPr>
        <w:t xml:space="preserve"> The demands of tort law similarly have to compete with those of other accountability regimes. These other accountability regimes can weaken the grip of liability risks on public service delivery. User demands through complaints systems for road repairs often trumped </w:t>
      </w:r>
      <w:r w:rsidR="002603DA">
        <w:rPr>
          <w:rFonts w:eastAsia="Times New Roman" w:cstheme="minorHAnsi"/>
          <w:sz w:val="24"/>
          <w:szCs w:val="24"/>
          <w:lang w:eastAsia="en-AU"/>
        </w:rPr>
        <w:t xml:space="preserve">the </w:t>
      </w:r>
      <w:r w:rsidR="00F05FE5" w:rsidRPr="004350D8">
        <w:rPr>
          <w:rFonts w:eastAsia="Times New Roman" w:cstheme="minorHAnsi"/>
          <w:sz w:val="24"/>
          <w:szCs w:val="24"/>
          <w:lang w:eastAsia="en-AU"/>
        </w:rPr>
        <w:t>concerns local authorities</w:t>
      </w:r>
      <w:r w:rsidR="00855FE8">
        <w:rPr>
          <w:rFonts w:eastAsia="Times New Roman" w:cstheme="minorHAnsi"/>
          <w:sz w:val="24"/>
          <w:szCs w:val="24"/>
          <w:lang w:eastAsia="en-AU"/>
        </w:rPr>
        <w:t xml:space="preserve"> in Ireland may have</w:t>
      </w:r>
      <w:r w:rsidR="00F05FE5" w:rsidRPr="004350D8">
        <w:rPr>
          <w:rFonts w:eastAsia="Times New Roman" w:cstheme="minorHAnsi"/>
          <w:sz w:val="24"/>
          <w:szCs w:val="24"/>
          <w:lang w:eastAsia="en-AU"/>
        </w:rPr>
        <w:t xml:space="preserve"> had about the liability risk</w:t>
      </w:r>
      <w:r w:rsidR="00C966E2">
        <w:rPr>
          <w:rFonts w:eastAsia="Times New Roman" w:cstheme="minorHAnsi"/>
          <w:sz w:val="24"/>
          <w:szCs w:val="24"/>
          <w:lang w:eastAsia="en-AU"/>
        </w:rPr>
        <w:t>s</w:t>
      </w:r>
      <w:r w:rsidR="00F05FE5" w:rsidRPr="004350D8">
        <w:rPr>
          <w:rFonts w:eastAsia="Times New Roman" w:cstheme="minorHAnsi"/>
          <w:sz w:val="24"/>
          <w:szCs w:val="24"/>
          <w:lang w:eastAsia="en-AU"/>
        </w:rPr>
        <w:t xml:space="preserve"> inherent in undertaking such repairs.</w:t>
      </w:r>
    </w:p>
    <w:p w14:paraId="4453C9D8" w14:textId="77777777" w:rsidR="00CF2D03" w:rsidRPr="004350D8" w:rsidRDefault="00CF2D03" w:rsidP="007E7A8D">
      <w:pPr>
        <w:spacing w:after="0" w:line="480" w:lineRule="auto"/>
        <w:jc w:val="both"/>
        <w:rPr>
          <w:rFonts w:eastAsia="Batang" w:cstheme="minorHAnsi"/>
          <w:i/>
          <w:sz w:val="24"/>
          <w:szCs w:val="24"/>
        </w:rPr>
      </w:pPr>
    </w:p>
    <w:p w14:paraId="5D73299A" w14:textId="77777777" w:rsidR="00F05FE5" w:rsidRPr="004350D8" w:rsidRDefault="00F05FE5" w:rsidP="007E7A8D">
      <w:pPr>
        <w:spacing w:after="0" w:line="480" w:lineRule="auto"/>
        <w:jc w:val="both"/>
        <w:rPr>
          <w:rFonts w:eastAsia="Batang" w:cstheme="minorHAnsi"/>
          <w:sz w:val="24"/>
          <w:szCs w:val="24"/>
        </w:rPr>
      </w:pPr>
    </w:p>
    <w:p w14:paraId="260FD363" w14:textId="77777777" w:rsidR="001147C0" w:rsidRPr="00887F78" w:rsidRDefault="001147C0" w:rsidP="00887F78">
      <w:pPr>
        <w:pStyle w:val="ListParagraph"/>
        <w:numPr>
          <w:ilvl w:val="0"/>
          <w:numId w:val="3"/>
        </w:numPr>
        <w:spacing w:after="0" w:line="480" w:lineRule="auto"/>
        <w:jc w:val="both"/>
        <w:rPr>
          <w:rFonts w:cstheme="minorHAnsi"/>
          <w:i/>
          <w:sz w:val="24"/>
          <w:szCs w:val="24"/>
        </w:rPr>
      </w:pPr>
      <w:r w:rsidRPr="00887F78">
        <w:rPr>
          <w:rFonts w:cstheme="minorHAnsi"/>
          <w:i/>
          <w:sz w:val="24"/>
          <w:szCs w:val="24"/>
        </w:rPr>
        <w:t>Minimising the Impact of Liability</w:t>
      </w:r>
    </w:p>
    <w:p w14:paraId="482D39A8" w14:textId="77777777" w:rsidR="002D6CA2" w:rsidRPr="004350D8" w:rsidRDefault="002D6CA2" w:rsidP="007E7A8D">
      <w:pPr>
        <w:spacing w:after="0" w:line="480" w:lineRule="auto"/>
        <w:jc w:val="both"/>
        <w:rPr>
          <w:rFonts w:cstheme="minorHAnsi"/>
          <w:i/>
          <w:sz w:val="24"/>
          <w:szCs w:val="24"/>
        </w:rPr>
      </w:pPr>
    </w:p>
    <w:p w14:paraId="0A09C0D2" w14:textId="77777777" w:rsidR="008943E6" w:rsidRPr="00887F78" w:rsidRDefault="008943E6" w:rsidP="00887F78">
      <w:pPr>
        <w:pStyle w:val="ListParagraph"/>
        <w:numPr>
          <w:ilvl w:val="0"/>
          <w:numId w:val="6"/>
        </w:numPr>
        <w:spacing w:after="0" w:line="480" w:lineRule="auto"/>
        <w:jc w:val="both"/>
        <w:rPr>
          <w:rFonts w:cstheme="minorHAnsi"/>
          <w:sz w:val="24"/>
          <w:szCs w:val="24"/>
        </w:rPr>
      </w:pPr>
      <w:r w:rsidRPr="00887F78">
        <w:rPr>
          <w:rFonts w:cstheme="minorHAnsi"/>
          <w:sz w:val="24"/>
          <w:szCs w:val="24"/>
        </w:rPr>
        <w:t>Insurance</w:t>
      </w:r>
    </w:p>
    <w:p w14:paraId="3336E326" w14:textId="77777777" w:rsidR="008943E6" w:rsidRPr="004350D8" w:rsidRDefault="002D6CA2" w:rsidP="007E7A8D">
      <w:pPr>
        <w:spacing w:after="0" w:line="480" w:lineRule="auto"/>
        <w:jc w:val="both"/>
        <w:rPr>
          <w:rFonts w:cstheme="minorHAnsi"/>
          <w:sz w:val="24"/>
          <w:szCs w:val="24"/>
        </w:rPr>
      </w:pPr>
      <w:r w:rsidRPr="004350D8">
        <w:rPr>
          <w:rFonts w:cstheme="minorHAnsi"/>
          <w:sz w:val="24"/>
          <w:szCs w:val="24"/>
        </w:rPr>
        <w:t>All</w:t>
      </w:r>
      <w:r w:rsidR="008943E6" w:rsidRPr="004350D8">
        <w:rPr>
          <w:rFonts w:cstheme="minorHAnsi"/>
          <w:sz w:val="24"/>
          <w:szCs w:val="24"/>
        </w:rPr>
        <w:t xml:space="preserve"> local authorities use insurance as part of their response to risks of liability. </w:t>
      </w:r>
      <w:r w:rsidR="008943E6" w:rsidRPr="004350D8">
        <w:rPr>
          <w:rFonts w:eastAsia="Batang" w:cstheme="minorHAnsi"/>
          <w:sz w:val="24"/>
          <w:szCs w:val="24"/>
        </w:rPr>
        <w:t xml:space="preserve">The traditional model was to be fully insured so that any claim against the authority would substantially be investigated and met (where founded) by the insurer. </w:t>
      </w:r>
      <w:r w:rsidR="008943E6" w:rsidRPr="004350D8">
        <w:rPr>
          <w:rFonts w:cstheme="minorHAnsi"/>
          <w:sz w:val="24"/>
          <w:szCs w:val="24"/>
        </w:rPr>
        <w:t xml:space="preserve">Until the early 1990s the model of </w:t>
      </w:r>
      <w:r w:rsidR="008943E6" w:rsidRPr="004350D8">
        <w:rPr>
          <w:rFonts w:cstheme="minorHAnsi"/>
          <w:sz w:val="24"/>
          <w:szCs w:val="24"/>
        </w:rPr>
        <w:lastRenderedPageBreak/>
        <w:t>insurance provision in Scottish and Irish local government was similar, in the sense that the authorities were members of a mutual insurer, Municipal Mutual in Scotland (which extended to England and Wales also) and Irish Public Bodies Municipal Insurances Limited (IPB) in Ireland. Municipal Mutual was failing, in part due its inability to respond effectively to an environment of increasing claims, and was taken over in 1993 by leading general insurer Zurich Financial Services Group, and a subsidiary established called Zurich Municipal (ZM).</w:t>
      </w:r>
      <w:r w:rsidR="00E86360">
        <w:rPr>
          <w:rStyle w:val="FootnoteReference"/>
          <w:rFonts w:cstheme="minorHAnsi"/>
          <w:sz w:val="24"/>
          <w:szCs w:val="24"/>
        </w:rPr>
        <w:footnoteReference w:id="43"/>
      </w:r>
      <w:r w:rsidR="008943E6" w:rsidRPr="004350D8">
        <w:rPr>
          <w:rFonts w:cstheme="minorHAnsi"/>
          <w:sz w:val="24"/>
          <w:szCs w:val="24"/>
        </w:rPr>
        <w:t xml:space="preserve"> Consequently there is now considerable variation between Scotland and Ireland in relation to insurance arrangements. Whereas in Ireland IPB remains the public liability insurer for all authorities, at the time of our survey, ZM was the insurer for fewer than half of the Scottish authorities. AIG insured the same number of Scottish authorities as ZM (15 each) and Travelers insured the remaining two Scottish authorities. </w:t>
      </w:r>
    </w:p>
    <w:p w14:paraId="5BB4FEBF" w14:textId="77777777" w:rsidR="008943E6" w:rsidRPr="004350D8" w:rsidRDefault="008943E6" w:rsidP="00527616">
      <w:pPr>
        <w:spacing w:after="0" w:line="480" w:lineRule="auto"/>
        <w:ind w:firstLine="720"/>
        <w:jc w:val="both"/>
        <w:rPr>
          <w:rFonts w:cstheme="minorHAnsi"/>
          <w:sz w:val="24"/>
          <w:szCs w:val="24"/>
        </w:rPr>
      </w:pPr>
      <w:r w:rsidRPr="004350D8">
        <w:rPr>
          <w:rFonts w:cstheme="minorHAnsi"/>
          <w:sz w:val="24"/>
          <w:szCs w:val="24"/>
        </w:rPr>
        <w:t>A key aspect of the relationship between authorities and insurers concerns the level of ‘excess’. The excess is the part of any settlement sum which must be covered by the insured</w:t>
      </w:r>
      <w:r w:rsidR="00F5359A" w:rsidRPr="004350D8">
        <w:rPr>
          <w:rFonts w:cstheme="minorHAnsi"/>
          <w:sz w:val="24"/>
          <w:szCs w:val="24"/>
        </w:rPr>
        <w:t xml:space="preserve"> – what is called the ‘deductible’ in </w:t>
      </w:r>
      <w:r w:rsidR="00345346" w:rsidRPr="004350D8">
        <w:rPr>
          <w:rFonts w:cstheme="minorHAnsi"/>
          <w:sz w:val="24"/>
          <w:szCs w:val="24"/>
        </w:rPr>
        <w:t xml:space="preserve">some </w:t>
      </w:r>
      <w:r w:rsidR="00F5359A" w:rsidRPr="004350D8">
        <w:rPr>
          <w:rFonts w:cstheme="minorHAnsi"/>
          <w:sz w:val="24"/>
          <w:szCs w:val="24"/>
        </w:rPr>
        <w:t>other jurisdictions</w:t>
      </w:r>
      <w:r w:rsidRPr="004350D8">
        <w:rPr>
          <w:rFonts w:cstheme="minorHAnsi"/>
          <w:sz w:val="24"/>
          <w:szCs w:val="24"/>
        </w:rPr>
        <w:t xml:space="preserve">. Our survey shows that excesses in both </w:t>
      </w:r>
      <w:r w:rsidR="00F5359A" w:rsidRPr="004350D8">
        <w:rPr>
          <w:rFonts w:cstheme="minorHAnsi"/>
          <w:sz w:val="24"/>
          <w:szCs w:val="24"/>
        </w:rPr>
        <w:t>Ireland and Scotland</w:t>
      </w:r>
      <w:r w:rsidRPr="004350D8">
        <w:rPr>
          <w:rFonts w:cstheme="minorHAnsi"/>
          <w:sz w:val="24"/>
          <w:szCs w:val="24"/>
        </w:rPr>
        <w:t xml:space="preserve"> were quite varied in 2007. Scotland in particular had considerable variation in excess amounts between authorities. For presentation we have banded the authorities into four categories (‘High’, ‘Medium’, ‘Low’ and ‘No/Minimal’) by reference to the amount of any excess in their contracts. Figure </w:t>
      </w:r>
      <w:r w:rsidR="00133876">
        <w:rPr>
          <w:rFonts w:cstheme="minorHAnsi"/>
          <w:sz w:val="24"/>
          <w:szCs w:val="24"/>
        </w:rPr>
        <w:t>6</w:t>
      </w:r>
      <w:r w:rsidRPr="004350D8">
        <w:rPr>
          <w:rFonts w:cstheme="minorHAnsi"/>
          <w:sz w:val="24"/>
          <w:szCs w:val="24"/>
        </w:rPr>
        <w:t xml:space="preserve"> shows the distribution of excesses on public liability insurance for all authorities in Scotland (32) and Ireland (34). The pattern reveals that the authorities in Scotland are more evenly spread between the differen</w:t>
      </w:r>
      <w:r w:rsidR="0018737A">
        <w:rPr>
          <w:rFonts w:cstheme="minorHAnsi"/>
          <w:sz w:val="24"/>
          <w:szCs w:val="24"/>
        </w:rPr>
        <w:t>t bands</w:t>
      </w:r>
      <w:r w:rsidRPr="004350D8">
        <w:rPr>
          <w:rFonts w:cstheme="minorHAnsi"/>
          <w:sz w:val="24"/>
          <w:szCs w:val="24"/>
        </w:rPr>
        <w:t xml:space="preserve"> when compared to Ireland where the bulk of authorities have ‘no/minimal’ or ‘low’ excess. In Scotland only one of the </w:t>
      </w:r>
      <w:r w:rsidR="0018737A">
        <w:rPr>
          <w:rFonts w:cstheme="minorHAnsi"/>
          <w:sz w:val="24"/>
          <w:szCs w:val="24"/>
        </w:rPr>
        <w:t>authorities</w:t>
      </w:r>
      <w:r w:rsidRPr="004350D8">
        <w:rPr>
          <w:rFonts w:cstheme="minorHAnsi"/>
          <w:sz w:val="24"/>
          <w:szCs w:val="24"/>
        </w:rPr>
        <w:t xml:space="preserve"> reported having no excess for liability </w:t>
      </w:r>
      <w:r w:rsidRPr="004350D8">
        <w:rPr>
          <w:rFonts w:cstheme="minorHAnsi"/>
          <w:sz w:val="24"/>
          <w:szCs w:val="24"/>
        </w:rPr>
        <w:lastRenderedPageBreak/>
        <w:t>and the highest reported was £300,000. A large percentage of Irish authorities have no excess, and the highest excess disclosed was €500,000.</w:t>
      </w:r>
    </w:p>
    <w:p w14:paraId="499DCC57" w14:textId="77777777" w:rsidR="008943E6" w:rsidRPr="004350D8" w:rsidRDefault="008943E6" w:rsidP="007E7A8D">
      <w:pPr>
        <w:spacing w:after="0" w:line="480" w:lineRule="auto"/>
        <w:jc w:val="both"/>
        <w:rPr>
          <w:rFonts w:cstheme="minorHAnsi"/>
          <w:sz w:val="24"/>
          <w:szCs w:val="24"/>
        </w:rPr>
      </w:pPr>
    </w:p>
    <w:p w14:paraId="45B4EF1C" w14:textId="77777777" w:rsidR="008943E6" w:rsidRPr="004350D8" w:rsidRDefault="00133876" w:rsidP="007E7A8D">
      <w:pPr>
        <w:spacing w:after="0" w:line="480" w:lineRule="auto"/>
        <w:jc w:val="center"/>
        <w:rPr>
          <w:rFonts w:cstheme="minorHAnsi"/>
          <w:sz w:val="24"/>
          <w:szCs w:val="24"/>
        </w:rPr>
      </w:pPr>
      <w:r>
        <w:rPr>
          <w:rFonts w:cstheme="minorHAnsi"/>
          <w:sz w:val="24"/>
          <w:szCs w:val="24"/>
        </w:rPr>
        <w:t xml:space="preserve">Insert </w:t>
      </w:r>
      <w:r w:rsidR="008943E6" w:rsidRPr="004350D8">
        <w:rPr>
          <w:rFonts w:cstheme="minorHAnsi"/>
          <w:sz w:val="24"/>
          <w:szCs w:val="24"/>
        </w:rPr>
        <w:t xml:space="preserve">Figure </w:t>
      </w:r>
      <w:r>
        <w:rPr>
          <w:rFonts w:cstheme="minorHAnsi"/>
          <w:sz w:val="24"/>
          <w:szCs w:val="24"/>
        </w:rPr>
        <w:t>6</w:t>
      </w:r>
      <w:r w:rsidR="008943E6" w:rsidRPr="004350D8">
        <w:rPr>
          <w:rFonts w:cstheme="minorHAnsi"/>
          <w:sz w:val="24"/>
          <w:szCs w:val="24"/>
        </w:rPr>
        <w:t xml:space="preserve"> Here</w:t>
      </w:r>
    </w:p>
    <w:p w14:paraId="4945E647" w14:textId="77777777" w:rsidR="008943E6" w:rsidRPr="004350D8" w:rsidRDefault="00133876" w:rsidP="007E7A8D">
      <w:pPr>
        <w:spacing w:after="0" w:line="480" w:lineRule="auto"/>
        <w:jc w:val="center"/>
        <w:rPr>
          <w:rFonts w:cstheme="minorHAnsi"/>
          <w:sz w:val="24"/>
          <w:szCs w:val="24"/>
        </w:rPr>
      </w:pPr>
      <w:r>
        <w:rPr>
          <w:rFonts w:cstheme="minorHAnsi"/>
          <w:sz w:val="24"/>
          <w:szCs w:val="24"/>
        </w:rPr>
        <w:t xml:space="preserve">Insert </w:t>
      </w:r>
      <w:r w:rsidR="008943E6" w:rsidRPr="004350D8">
        <w:rPr>
          <w:rFonts w:cstheme="minorHAnsi"/>
          <w:sz w:val="24"/>
          <w:szCs w:val="24"/>
        </w:rPr>
        <w:t>Table 1 Here</w:t>
      </w:r>
    </w:p>
    <w:p w14:paraId="19A01B38" w14:textId="77777777" w:rsidR="002D2351" w:rsidRPr="004350D8" w:rsidRDefault="002D2351" w:rsidP="007E7A8D">
      <w:pPr>
        <w:spacing w:after="0" w:line="480" w:lineRule="auto"/>
        <w:jc w:val="both"/>
        <w:rPr>
          <w:rFonts w:eastAsia="Batang" w:cstheme="minorHAnsi"/>
          <w:sz w:val="24"/>
          <w:szCs w:val="24"/>
        </w:rPr>
      </w:pPr>
    </w:p>
    <w:p w14:paraId="2E40FCA0" w14:textId="77777777" w:rsidR="002D2351" w:rsidRPr="004350D8" w:rsidRDefault="002D2351" w:rsidP="00527616">
      <w:pPr>
        <w:spacing w:after="0" w:line="480" w:lineRule="auto"/>
        <w:ind w:firstLine="720"/>
        <w:jc w:val="both"/>
        <w:rPr>
          <w:rFonts w:eastAsia="Batang" w:cstheme="minorHAnsi"/>
          <w:sz w:val="24"/>
          <w:szCs w:val="24"/>
        </w:rPr>
      </w:pPr>
      <w:r w:rsidRPr="004350D8">
        <w:rPr>
          <w:rFonts w:eastAsia="Batang" w:cstheme="minorHAnsi"/>
          <w:sz w:val="24"/>
          <w:szCs w:val="24"/>
        </w:rPr>
        <w:t>Although insurance has traditionally been a means of mitigating the impact of liability when it arises, the variation within local authorities’ insurance policies allowed us to test some hypotheses about the relationship between excess levels and risk management approaches targeted at reducing the likelihood of liability arising in the first place. One hypothesis here</w:t>
      </w:r>
      <w:r w:rsidR="009173EE" w:rsidRPr="004350D8">
        <w:rPr>
          <w:rFonts w:eastAsia="Batang" w:cstheme="minorHAnsi"/>
          <w:sz w:val="24"/>
          <w:szCs w:val="24"/>
        </w:rPr>
        <w:t>,</w:t>
      </w:r>
      <w:r w:rsidRPr="004350D8">
        <w:rPr>
          <w:rFonts w:eastAsia="Batang" w:cstheme="minorHAnsi"/>
          <w:sz w:val="24"/>
          <w:szCs w:val="24"/>
        </w:rPr>
        <w:t xml:space="preserve"> </w:t>
      </w:r>
      <w:r w:rsidRPr="004350D8">
        <w:rPr>
          <w:rFonts w:cstheme="minorHAnsi"/>
          <w:sz w:val="24"/>
          <w:szCs w:val="24"/>
        </w:rPr>
        <w:t>suggested by Hood and Kelly</w:t>
      </w:r>
      <w:r w:rsidR="009173EE" w:rsidRPr="004350D8">
        <w:rPr>
          <w:rFonts w:eastAsia="Batang" w:cstheme="minorHAnsi"/>
          <w:sz w:val="24"/>
          <w:szCs w:val="24"/>
        </w:rPr>
        <w:t>,</w:t>
      </w:r>
      <w:r w:rsidR="00CE03D7">
        <w:rPr>
          <w:rStyle w:val="FootnoteReference"/>
          <w:rFonts w:eastAsia="Batang" w:cstheme="minorHAnsi"/>
          <w:sz w:val="24"/>
          <w:szCs w:val="24"/>
        </w:rPr>
        <w:footnoteReference w:id="44"/>
      </w:r>
      <w:r w:rsidRPr="004350D8">
        <w:rPr>
          <w:rFonts w:eastAsia="Batang" w:cstheme="minorHAnsi"/>
          <w:sz w:val="24"/>
          <w:szCs w:val="24"/>
        </w:rPr>
        <w:t xml:space="preserve"> is</w:t>
      </w:r>
      <w:r w:rsidRPr="004350D8">
        <w:rPr>
          <w:rFonts w:cstheme="minorHAnsi"/>
          <w:sz w:val="24"/>
          <w:szCs w:val="24"/>
        </w:rPr>
        <w:t xml:space="preserve"> </w:t>
      </w:r>
      <w:r w:rsidRPr="004350D8">
        <w:rPr>
          <w:rFonts w:eastAsia="Batang" w:cstheme="minorHAnsi"/>
          <w:sz w:val="24"/>
          <w:szCs w:val="24"/>
        </w:rPr>
        <w:t>that liability insurance creates an element of moral hazard to the extent that authorities lack incentives to minimiz</w:t>
      </w:r>
      <w:r w:rsidR="009173EE" w:rsidRPr="004350D8">
        <w:rPr>
          <w:rFonts w:eastAsia="Batang" w:cstheme="minorHAnsi"/>
          <w:sz w:val="24"/>
          <w:szCs w:val="24"/>
        </w:rPr>
        <w:t>e</w:t>
      </w:r>
      <w:r w:rsidRPr="004350D8">
        <w:rPr>
          <w:rFonts w:eastAsia="Batang" w:cstheme="minorHAnsi"/>
          <w:sz w:val="24"/>
          <w:szCs w:val="24"/>
        </w:rPr>
        <w:t xml:space="preserve"> the likelihood of liability</w:t>
      </w:r>
      <w:r w:rsidR="009173EE" w:rsidRPr="004350D8">
        <w:rPr>
          <w:rFonts w:eastAsia="Batang" w:cstheme="minorHAnsi"/>
          <w:sz w:val="24"/>
          <w:szCs w:val="24"/>
        </w:rPr>
        <w:t xml:space="preserve"> arising</w:t>
      </w:r>
      <w:r w:rsidRPr="004350D8">
        <w:rPr>
          <w:rFonts w:eastAsia="Batang" w:cstheme="minorHAnsi"/>
          <w:sz w:val="24"/>
          <w:szCs w:val="24"/>
        </w:rPr>
        <w:t xml:space="preserve">. Conversely, an authority which has opted for a high insurance excess might be expected to manage its operations more proactively to reduce the likelihood of liability in order to protect its own funds. The difficulty with this analysis, however, is that it reduces the complexity of a local authority to an imagined </w:t>
      </w:r>
      <w:r w:rsidRPr="004350D8">
        <w:rPr>
          <w:rFonts w:eastAsia="Batang" w:cstheme="minorHAnsi"/>
          <w:i/>
          <w:sz w:val="24"/>
          <w:szCs w:val="24"/>
        </w:rPr>
        <w:t>homo economicus,</w:t>
      </w:r>
      <w:r w:rsidRPr="004350D8">
        <w:rPr>
          <w:rFonts w:eastAsia="Batang" w:cstheme="minorHAnsi"/>
          <w:sz w:val="24"/>
          <w:szCs w:val="24"/>
        </w:rPr>
        <w:t xml:space="preserve"> developing policy on the basis of a rational calculus. The social reality is more complicated and less predictable. In Ireland, for example, the </w:t>
      </w:r>
      <w:r w:rsidR="009173EE" w:rsidRPr="004350D8">
        <w:rPr>
          <w:rFonts w:eastAsia="Batang" w:cstheme="minorHAnsi"/>
          <w:sz w:val="24"/>
          <w:szCs w:val="24"/>
        </w:rPr>
        <w:t>case study authority</w:t>
      </w:r>
      <w:r w:rsidRPr="004350D8">
        <w:rPr>
          <w:rFonts w:eastAsia="Batang" w:cstheme="minorHAnsi"/>
          <w:sz w:val="24"/>
          <w:szCs w:val="24"/>
        </w:rPr>
        <w:t xml:space="preserve"> most pro-active </w:t>
      </w:r>
      <w:r w:rsidR="005A0CD8" w:rsidRPr="004350D8">
        <w:rPr>
          <w:rFonts w:eastAsia="Batang" w:cstheme="minorHAnsi"/>
          <w:sz w:val="24"/>
          <w:szCs w:val="24"/>
        </w:rPr>
        <w:t>in</w:t>
      </w:r>
      <w:r w:rsidRPr="004350D8">
        <w:rPr>
          <w:rFonts w:eastAsia="Batang" w:cstheme="minorHAnsi"/>
          <w:sz w:val="24"/>
          <w:szCs w:val="24"/>
        </w:rPr>
        <w:t xml:space="preserve"> trying to reduce its exposure to liability was ‘Bovarra Council’ which had no excess at all on its insurance policy. Largely on the personal initiative of its risk control officer, it analysed its claims data to identify ‘hot spots’ where re-surfacing work would pre-empt further claims. In ‘Manorvale Council’, by way of contrast, which had a ‘high’ excess, similar attempts were hampered by a fragmented budgeting and decision-making structure:</w:t>
      </w:r>
    </w:p>
    <w:p w14:paraId="0E285255" w14:textId="77777777" w:rsidR="002D2351" w:rsidRPr="004350D8" w:rsidRDefault="002D2351" w:rsidP="007E7A8D">
      <w:pPr>
        <w:spacing w:after="0" w:line="480" w:lineRule="auto"/>
        <w:jc w:val="both"/>
        <w:rPr>
          <w:rFonts w:eastAsia="Batang" w:cstheme="minorHAnsi"/>
          <w:sz w:val="24"/>
          <w:szCs w:val="24"/>
        </w:rPr>
      </w:pPr>
    </w:p>
    <w:p w14:paraId="3BEB2FF1" w14:textId="77777777" w:rsidR="002D2351" w:rsidRPr="004350D8" w:rsidRDefault="002D2351" w:rsidP="00527616">
      <w:pPr>
        <w:spacing w:after="0" w:line="240" w:lineRule="auto"/>
        <w:ind w:left="720" w:right="737"/>
        <w:jc w:val="both"/>
        <w:rPr>
          <w:rFonts w:eastAsia="Batang" w:cstheme="minorHAnsi"/>
          <w:sz w:val="24"/>
          <w:szCs w:val="24"/>
        </w:rPr>
      </w:pPr>
      <w:r w:rsidRPr="004350D8">
        <w:rPr>
          <w:rFonts w:cstheme="minorHAnsi"/>
          <w:sz w:val="24"/>
          <w:szCs w:val="24"/>
        </w:rPr>
        <w:t>I made a list of all the claims that this road had generated and I sent them to one of the Senior Executive Engineers. I said: “this is what you are paying out for two months alone this year, €17,500, and this is just damage to vehicles... This isn’t even personal injury claims. If things carry on the way that they are, there are bound to be some of them and then we’ll really have to pay” ... Well, apparently the order to resurface should come from the local area office...but they say they don’t have the money. Road maintenance (central) claim that they don’t have the money either. To my mind this defeats the whole point of proactive road management altogether. (</w:t>
      </w:r>
      <w:r w:rsidRPr="004350D8">
        <w:rPr>
          <w:rFonts w:cstheme="minorHAnsi"/>
          <w:b/>
          <w:sz w:val="24"/>
          <w:szCs w:val="24"/>
        </w:rPr>
        <w:t>Assistant Claims Manager, Manorvale Council</w:t>
      </w:r>
      <w:r w:rsidRPr="004350D8">
        <w:rPr>
          <w:rFonts w:cstheme="minorHAnsi"/>
          <w:sz w:val="24"/>
          <w:szCs w:val="24"/>
        </w:rPr>
        <w:t>).</w:t>
      </w:r>
    </w:p>
    <w:p w14:paraId="489AF8B5" w14:textId="77777777" w:rsidR="009173EE" w:rsidRPr="004350D8" w:rsidRDefault="009173EE" w:rsidP="007E7A8D">
      <w:pPr>
        <w:spacing w:after="0" w:line="480" w:lineRule="auto"/>
        <w:jc w:val="both"/>
        <w:rPr>
          <w:rFonts w:eastAsia="Batang" w:cstheme="minorHAnsi"/>
          <w:sz w:val="24"/>
          <w:szCs w:val="24"/>
        </w:rPr>
      </w:pPr>
    </w:p>
    <w:p w14:paraId="7C440E84" w14:textId="77777777" w:rsidR="002D2351" w:rsidRPr="004350D8" w:rsidRDefault="005A0CD8" w:rsidP="00527616">
      <w:pPr>
        <w:spacing w:after="0" w:line="480" w:lineRule="auto"/>
        <w:ind w:firstLine="720"/>
        <w:jc w:val="both"/>
        <w:rPr>
          <w:rFonts w:eastAsia="Batang" w:cstheme="minorHAnsi"/>
          <w:sz w:val="24"/>
          <w:szCs w:val="24"/>
        </w:rPr>
      </w:pPr>
      <w:r w:rsidRPr="004350D8">
        <w:rPr>
          <w:rFonts w:eastAsia="Batang" w:cstheme="minorHAnsi"/>
          <w:sz w:val="24"/>
          <w:szCs w:val="24"/>
        </w:rPr>
        <w:t xml:space="preserve">Two of our Scottish authorities, ‘Knockbrex’ and ‘Sodor’ Councils had ‘high’ insurance excesses while ‘Beulah Council’ had a ‘minimal’ excess. All three of them, however, based their </w:t>
      </w:r>
      <w:r w:rsidR="0018737A">
        <w:rPr>
          <w:rFonts w:eastAsia="Batang" w:cstheme="minorHAnsi"/>
          <w:sz w:val="24"/>
          <w:szCs w:val="24"/>
        </w:rPr>
        <w:t>maintenance policies</w:t>
      </w:r>
      <w:r w:rsidRPr="004350D8">
        <w:rPr>
          <w:rFonts w:eastAsia="Batang" w:cstheme="minorHAnsi"/>
          <w:sz w:val="24"/>
          <w:szCs w:val="24"/>
        </w:rPr>
        <w:t xml:space="preserve"> on the code of practice, </w:t>
      </w:r>
      <w:r w:rsidRPr="004350D8">
        <w:rPr>
          <w:rFonts w:eastAsia="Batang" w:cstheme="minorHAnsi"/>
          <w:i/>
          <w:sz w:val="24"/>
          <w:szCs w:val="24"/>
        </w:rPr>
        <w:t>Well Maintained Highways</w:t>
      </w:r>
      <w:r w:rsidRPr="004350D8">
        <w:rPr>
          <w:rFonts w:eastAsia="Batang" w:cstheme="minorHAnsi"/>
          <w:sz w:val="24"/>
          <w:szCs w:val="24"/>
        </w:rPr>
        <w:t>,</w:t>
      </w:r>
      <w:r w:rsidR="00CE03D7">
        <w:rPr>
          <w:rStyle w:val="FootnoteReference"/>
          <w:rFonts w:eastAsia="Batang" w:cstheme="minorHAnsi"/>
          <w:sz w:val="24"/>
          <w:szCs w:val="24"/>
        </w:rPr>
        <w:footnoteReference w:id="45"/>
      </w:r>
      <w:r w:rsidRPr="004350D8">
        <w:rPr>
          <w:rFonts w:eastAsia="Batang" w:cstheme="minorHAnsi"/>
          <w:sz w:val="24"/>
          <w:szCs w:val="24"/>
        </w:rPr>
        <w:t xml:space="preserve"> and relied on such to minimise exposure to liability. Further, this common approach to liability risk management existed despite the fact that, for internal budgetary reasons, liability costs were not directly or proportionately charged to the road departments. </w:t>
      </w:r>
      <w:r w:rsidR="0018737A">
        <w:rPr>
          <w:rFonts w:eastAsia="Batang" w:cstheme="minorHAnsi"/>
          <w:sz w:val="24"/>
          <w:szCs w:val="24"/>
        </w:rPr>
        <w:t xml:space="preserve">In other words, there were no direct economic incentives for road managers to limit their exposure to liability. Consistent with the arguments of institutionalist </w:t>
      </w:r>
      <w:r w:rsidR="00E80F89">
        <w:rPr>
          <w:rFonts w:eastAsia="Batang" w:cstheme="minorHAnsi"/>
          <w:sz w:val="24"/>
          <w:szCs w:val="24"/>
        </w:rPr>
        <w:t>organizational</w:t>
      </w:r>
      <w:r w:rsidR="0018737A">
        <w:rPr>
          <w:rFonts w:eastAsia="Batang" w:cstheme="minorHAnsi"/>
          <w:sz w:val="24"/>
          <w:szCs w:val="24"/>
        </w:rPr>
        <w:t xml:space="preserve"> sociology, this shows that n</w:t>
      </w:r>
      <w:r w:rsidRPr="004350D8">
        <w:rPr>
          <w:rFonts w:eastAsia="Batang" w:cstheme="minorHAnsi"/>
          <w:sz w:val="24"/>
          <w:szCs w:val="24"/>
        </w:rPr>
        <w:t xml:space="preserve">ormative pressures from professional </w:t>
      </w:r>
      <w:r w:rsidR="0018737A">
        <w:rPr>
          <w:rFonts w:eastAsia="Batang" w:cstheme="minorHAnsi"/>
          <w:sz w:val="24"/>
          <w:szCs w:val="24"/>
        </w:rPr>
        <w:t>communities</w:t>
      </w:r>
      <w:r w:rsidRPr="004350D8">
        <w:rPr>
          <w:rFonts w:eastAsia="Batang" w:cstheme="minorHAnsi"/>
          <w:sz w:val="24"/>
          <w:szCs w:val="24"/>
        </w:rPr>
        <w:t xml:space="preserve"> can be more exacting than purely economic cost-benefit analyses.</w:t>
      </w:r>
      <w:r w:rsidR="00CE03D7">
        <w:rPr>
          <w:rStyle w:val="FootnoteReference"/>
          <w:rFonts w:eastAsia="Batang" w:cstheme="minorHAnsi"/>
          <w:sz w:val="24"/>
          <w:szCs w:val="24"/>
        </w:rPr>
        <w:footnoteReference w:id="46"/>
      </w:r>
      <w:r w:rsidRPr="004350D8">
        <w:rPr>
          <w:rFonts w:eastAsia="Batang" w:cstheme="minorHAnsi"/>
          <w:sz w:val="24"/>
          <w:szCs w:val="24"/>
        </w:rPr>
        <w:t xml:space="preserve"> A</w:t>
      </w:r>
      <w:r w:rsidR="009173EE" w:rsidRPr="004350D8">
        <w:rPr>
          <w:rFonts w:eastAsia="Batang" w:cstheme="minorHAnsi"/>
          <w:sz w:val="24"/>
          <w:szCs w:val="24"/>
        </w:rPr>
        <w:t xml:space="preserve">s we noted above, SCOTS, the </w:t>
      </w:r>
      <w:r w:rsidR="002D2351" w:rsidRPr="004350D8">
        <w:rPr>
          <w:rFonts w:eastAsia="Batang" w:cstheme="minorHAnsi"/>
          <w:sz w:val="24"/>
          <w:szCs w:val="24"/>
        </w:rPr>
        <w:t>professional network of local authority road engineers</w:t>
      </w:r>
      <w:r w:rsidR="009173EE" w:rsidRPr="004350D8">
        <w:rPr>
          <w:rFonts w:eastAsia="Batang" w:cstheme="minorHAnsi"/>
          <w:sz w:val="24"/>
          <w:szCs w:val="24"/>
        </w:rPr>
        <w:t>,</w:t>
      </w:r>
      <w:r w:rsidR="002D2351" w:rsidRPr="004350D8">
        <w:rPr>
          <w:rFonts w:eastAsia="Batang" w:cstheme="minorHAnsi"/>
          <w:sz w:val="24"/>
          <w:szCs w:val="24"/>
        </w:rPr>
        <w:t xml:space="preserve"> </w:t>
      </w:r>
      <w:r w:rsidR="00584212" w:rsidRPr="004350D8">
        <w:rPr>
          <w:rFonts w:eastAsia="Batang" w:cstheme="minorHAnsi"/>
          <w:sz w:val="24"/>
          <w:szCs w:val="24"/>
        </w:rPr>
        <w:t>was</w:t>
      </w:r>
      <w:r w:rsidR="002D2351" w:rsidRPr="004350D8">
        <w:rPr>
          <w:rFonts w:eastAsia="Batang" w:cstheme="minorHAnsi"/>
          <w:sz w:val="24"/>
          <w:szCs w:val="24"/>
        </w:rPr>
        <w:t xml:space="preserve"> </w:t>
      </w:r>
      <w:r w:rsidRPr="004350D8">
        <w:rPr>
          <w:rFonts w:eastAsia="Batang" w:cstheme="minorHAnsi"/>
          <w:sz w:val="24"/>
          <w:szCs w:val="24"/>
        </w:rPr>
        <w:t xml:space="preserve">far more </w:t>
      </w:r>
      <w:r w:rsidR="002D2351" w:rsidRPr="004350D8">
        <w:rPr>
          <w:rFonts w:eastAsia="Batang" w:cstheme="minorHAnsi"/>
          <w:sz w:val="24"/>
          <w:szCs w:val="24"/>
        </w:rPr>
        <w:t xml:space="preserve">significant in promoting compliance with </w:t>
      </w:r>
      <w:r w:rsidR="00502340">
        <w:rPr>
          <w:rFonts w:eastAsia="Batang" w:cstheme="minorHAnsi"/>
          <w:sz w:val="24"/>
          <w:szCs w:val="24"/>
        </w:rPr>
        <w:t>tort</w:t>
      </w:r>
      <w:r w:rsidR="002D2351" w:rsidRPr="004350D8">
        <w:rPr>
          <w:rFonts w:eastAsia="Batang" w:cstheme="minorHAnsi"/>
          <w:sz w:val="24"/>
          <w:szCs w:val="24"/>
        </w:rPr>
        <w:t xml:space="preserve"> law</w:t>
      </w:r>
      <w:r w:rsidRPr="004350D8">
        <w:rPr>
          <w:rFonts w:eastAsia="Batang" w:cstheme="minorHAnsi"/>
          <w:sz w:val="24"/>
          <w:szCs w:val="24"/>
        </w:rPr>
        <w:t xml:space="preserve"> than local authority risk managers</w:t>
      </w:r>
      <w:r w:rsidR="002D2351" w:rsidRPr="004350D8">
        <w:rPr>
          <w:rFonts w:eastAsia="Batang" w:cstheme="minorHAnsi"/>
          <w:sz w:val="24"/>
          <w:szCs w:val="24"/>
        </w:rPr>
        <w:t xml:space="preserve">. </w:t>
      </w:r>
      <w:r w:rsidRPr="004350D8">
        <w:rPr>
          <w:rFonts w:eastAsia="Batang" w:cstheme="minorHAnsi"/>
          <w:sz w:val="24"/>
          <w:szCs w:val="24"/>
        </w:rPr>
        <w:t>Indeed, the local authority risk managers (who were responsible for insurance) did not, as one of them put it,</w:t>
      </w:r>
      <w:r w:rsidR="00E75388" w:rsidRPr="004350D8">
        <w:rPr>
          <w:rFonts w:eastAsia="Batang" w:cstheme="minorHAnsi"/>
          <w:sz w:val="24"/>
          <w:szCs w:val="24"/>
        </w:rPr>
        <w:t xml:space="preserve"> seek to</w:t>
      </w:r>
      <w:r w:rsidRPr="004350D8">
        <w:rPr>
          <w:rFonts w:eastAsia="Batang" w:cstheme="minorHAnsi"/>
          <w:sz w:val="24"/>
          <w:szCs w:val="24"/>
        </w:rPr>
        <w:t xml:space="preserve"> “micro-manage” the roads departments’ routine operations. </w:t>
      </w:r>
    </w:p>
    <w:p w14:paraId="59EDEB31" w14:textId="77777777" w:rsidR="00993521" w:rsidRPr="004350D8" w:rsidRDefault="00993521" w:rsidP="00527616">
      <w:pPr>
        <w:spacing w:after="0" w:line="480" w:lineRule="auto"/>
        <w:ind w:firstLine="720"/>
        <w:jc w:val="both"/>
        <w:rPr>
          <w:rFonts w:eastAsia="Batang" w:cstheme="minorHAnsi"/>
          <w:sz w:val="24"/>
          <w:szCs w:val="24"/>
        </w:rPr>
      </w:pPr>
      <w:r w:rsidRPr="004350D8">
        <w:rPr>
          <w:rFonts w:eastAsia="Batang" w:cstheme="minorHAnsi"/>
          <w:sz w:val="24"/>
          <w:szCs w:val="24"/>
        </w:rPr>
        <w:lastRenderedPageBreak/>
        <w:t>There is a</w:t>
      </w:r>
      <w:r w:rsidR="009173EE" w:rsidRPr="004350D8">
        <w:rPr>
          <w:rFonts w:eastAsia="Batang" w:cstheme="minorHAnsi"/>
          <w:sz w:val="24"/>
          <w:szCs w:val="24"/>
        </w:rPr>
        <w:t xml:space="preserve"> second and contrary hypothesis about the relationship between insurance excesses and </w:t>
      </w:r>
      <w:r w:rsidRPr="004350D8">
        <w:rPr>
          <w:rFonts w:eastAsia="Batang" w:cstheme="minorHAnsi"/>
          <w:sz w:val="24"/>
          <w:szCs w:val="24"/>
        </w:rPr>
        <w:t>risk management approaches targeted at reducing the likelihood of liability arising. This hypothesis</w:t>
      </w:r>
      <w:r w:rsidR="009173EE" w:rsidRPr="004350D8">
        <w:rPr>
          <w:rFonts w:eastAsia="Batang" w:cstheme="minorHAnsi"/>
          <w:sz w:val="24"/>
          <w:szCs w:val="24"/>
        </w:rPr>
        <w:t xml:space="preserve"> </w:t>
      </w:r>
      <w:r w:rsidR="002D2351" w:rsidRPr="004350D8">
        <w:rPr>
          <w:rFonts w:eastAsia="Batang" w:cstheme="minorHAnsi"/>
          <w:sz w:val="24"/>
          <w:szCs w:val="24"/>
        </w:rPr>
        <w:t>focuses on the attitudes and actions of insurance companies</w:t>
      </w:r>
      <w:r w:rsidRPr="004350D8">
        <w:rPr>
          <w:rFonts w:eastAsia="Batang" w:cstheme="minorHAnsi"/>
          <w:sz w:val="24"/>
          <w:szCs w:val="24"/>
        </w:rPr>
        <w:t xml:space="preserve"> to risk control</w:t>
      </w:r>
      <w:r w:rsidR="002D2351" w:rsidRPr="004350D8">
        <w:rPr>
          <w:rFonts w:eastAsia="Batang" w:cstheme="minorHAnsi"/>
          <w:sz w:val="24"/>
          <w:szCs w:val="24"/>
        </w:rPr>
        <w:t>. Consistent with literature framing insurers as increasingly powerful regulators in contemporary society,</w:t>
      </w:r>
      <w:r w:rsidR="00785DAC">
        <w:rPr>
          <w:rStyle w:val="FootnoteReference"/>
          <w:rFonts w:eastAsia="Batang" w:cstheme="minorHAnsi"/>
          <w:sz w:val="24"/>
          <w:szCs w:val="24"/>
        </w:rPr>
        <w:footnoteReference w:id="47"/>
      </w:r>
      <w:r w:rsidR="002D2351" w:rsidRPr="004350D8">
        <w:rPr>
          <w:rFonts w:eastAsia="Batang" w:cstheme="minorHAnsi"/>
          <w:sz w:val="24"/>
          <w:szCs w:val="24"/>
        </w:rPr>
        <w:t xml:space="preserve"> we might suggest that, where excesses are low, insurance companies are more likely to be ‘risk bullies’ and require change in public practices in order to limit financial exposure. At neither an informal nor formal contractual level did our study reveal evidence of this in relation to liability. </w:t>
      </w:r>
    </w:p>
    <w:p w14:paraId="17649FC7" w14:textId="77777777" w:rsidR="00CD219B" w:rsidRPr="004350D8" w:rsidRDefault="00993521" w:rsidP="00527616">
      <w:pPr>
        <w:spacing w:after="0" w:line="480" w:lineRule="auto"/>
        <w:ind w:firstLine="720"/>
        <w:jc w:val="both"/>
        <w:rPr>
          <w:rFonts w:cstheme="minorHAnsi"/>
          <w:sz w:val="24"/>
          <w:szCs w:val="24"/>
        </w:rPr>
      </w:pPr>
      <w:r w:rsidRPr="004350D8">
        <w:rPr>
          <w:rFonts w:eastAsia="Batang" w:cstheme="minorHAnsi"/>
          <w:sz w:val="24"/>
          <w:szCs w:val="24"/>
        </w:rPr>
        <w:t>In Scotland</w:t>
      </w:r>
      <w:r w:rsidR="00CD219B" w:rsidRPr="004350D8">
        <w:rPr>
          <w:rFonts w:eastAsia="Batang" w:cstheme="minorHAnsi"/>
          <w:sz w:val="24"/>
          <w:szCs w:val="24"/>
        </w:rPr>
        <w:t>,</w:t>
      </w:r>
      <w:r w:rsidRPr="004350D8">
        <w:rPr>
          <w:rFonts w:eastAsia="Batang" w:cstheme="minorHAnsi"/>
          <w:sz w:val="24"/>
          <w:szCs w:val="24"/>
        </w:rPr>
        <w:t xml:space="preserve"> where there is a private insurance market, local authorities </w:t>
      </w:r>
      <w:r w:rsidR="00BA64C7" w:rsidRPr="004350D8">
        <w:rPr>
          <w:rFonts w:eastAsia="Batang" w:cstheme="minorHAnsi"/>
          <w:sz w:val="24"/>
          <w:szCs w:val="24"/>
        </w:rPr>
        <w:t>put out a</w:t>
      </w:r>
      <w:r w:rsidR="008B3FC9">
        <w:rPr>
          <w:rFonts w:eastAsia="Batang" w:cstheme="minorHAnsi"/>
          <w:sz w:val="24"/>
          <w:szCs w:val="24"/>
        </w:rPr>
        <w:t>n invitation to</w:t>
      </w:r>
      <w:r w:rsidR="00BA64C7" w:rsidRPr="004350D8">
        <w:rPr>
          <w:rFonts w:eastAsia="Batang" w:cstheme="minorHAnsi"/>
          <w:sz w:val="24"/>
          <w:szCs w:val="24"/>
        </w:rPr>
        <w:t xml:space="preserve"> </w:t>
      </w:r>
      <w:r w:rsidRPr="004350D8">
        <w:rPr>
          <w:rFonts w:eastAsia="Batang" w:cstheme="minorHAnsi"/>
          <w:sz w:val="24"/>
          <w:szCs w:val="24"/>
        </w:rPr>
        <w:t>tender for insurance service</w:t>
      </w:r>
      <w:r w:rsidR="00AB7E6D">
        <w:rPr>
          <w:rFonts w:eastAsia="Batang" w:cstheme="minorHAnsi"/>
          <w:sz w:val="24"/>
          <w:szCs w:val="24"/>
        </w:rPr>
        <w:t>s</w:t>
      </w:r>
      <w:r w:rsidRPr="004350D8">
        <w:rPr>
          <w:rFonts w:eastAsia="Batang" w:cstheme="minorHAnsi"/>
          <w:sz w:val="24"/>
          <w:szCs w:val="24"/>
        </w:rPr>
        <w:t xml:space="preserve"> every three to five years. Our analysis of the tendering documents in two of the authorities, one with a </w:t>
      </w:r>
      <w:r w:rsidR="00133876">
        <w:rPr>
          <w:rFonts w:eastAsia="Batang" w:cstheme="minorHAnsi"/>
          <w:sz w:val="24"/>
          <w:szCs w:val="24"/>
        </w:rPr>
        <w:t>‘</w:t>
      </w:r>
      <w:r w:rsidRPr="004350D8">
        <w:rPr>
          <w:rFonts w:eastAsia="Batang" w:cstheme="minorHAnsi"/>
          <w:sz w:val="24"/>
          <w:szCs w:val="24"/>
        </w:rPr>
        <w:t>minimal</w:t>
      </w:r>
      <w:r w:rsidR="00133876">
        <w:rPr>
          <w:rFonts w:eastAsia="Batang" w:cstheme="minorHAnsi"/>
          <w:sz w:val="24"/>
          <w:szCs w:val="24"/>
        </w:rPr>
        <w:t>’</w:t>
      </w:r>
      <w:r w:rsidRPr="004350D8">
        <w:rPr>
          <w:rFonts w:eastAsia="Batang" w:cstheme="minorHAnsi"/>
          <w:sz w:val="24"/>
          <w:szCs w:val="24"/>
        </w:rPr>
        <w:t xml:space="preserve"> excess (Beulah</w:t>
      </w:r>
      <w:r w:rsidR="00BA64C7" w:rsidRPr="004350D8">
        <w:rPr>
          <w:rFonts w:eastAsia="Batang" w:cstheme="minorHAnsi"/>
          <w:sz w:val="24"/>
          <w:szCs w:val="24"/>
        </w:rPr>
        <w:t>)</w:t>
      </w:r>
      <w:r w:rsidRPr="004350D8">
        <w:rPr>
          <w:rFonts w:eastAsia="Batang" w:cstheme="minorHAnsi"/>
          <w:sz w:val="24"/>
          <w:szCs w:val="24"/>
        </w:rPr>
        <w:t xml:space="preserve"> and t</w:t>
      </w:r>
      <w:r w:rsidR="00BA64C7" w:rsidRPr="004350D8">
        <w:rPr>
          <w:rFonts w:eastAsia="Batang" w:cstheme="minorHAnsi"/>
          <w:sz w:val="24"/>
          <w:szCs w:val="24"/>
        </w:rPr>
        <w:t>he other with a ‘high’ excess (</w:t>
      </w:r>
      <w:r w:rsidRPr="004350D8">
        <w:rPr>
          <w:rFonts w:eastAsia="Batang" w:cstheme="minorHAnsi"/>
          <w:sz w:val="24"/>
          <w:szCs w:val="24"/>
        </w:rPr>
        <w:t xml:space="preserve">Knockbrex), indicated that insurance companies, for the purposes of tendering a premium, were interested in risk reduction measures only in relation to property, and not in relation to liability. </w:t>
      </w:r>
      <w:r w:rsidR="0018737A">
        <w:rPr>
          <w:rFonts w:eastAsia="Batang" w:cstheme="minorHAnsi"/>
          <w:sz w:val="24"/>
          <w:szCs w:val="24"/>
        </w:rPr>
        <w:t>By virtue of the fact that an insurance contract covers a host of issues of which liability is just one, t</w:t>
      </w:r>
      <w:r w:rsidRPr="004350D8">
        <w:rPr>
          <w:rFonts w:cstheme="minorHAnsi"/>
          <w:sz w:val="24"/>
          <w:szCs w:val="24"/>
        </w:rPr>
        <w:t xml:space="preserve">he amount of information gathered by </w:t>
      </w:r>
      <w:r w:rsidR="00BA64C7" w:rsidRPr="004350D8">
        <w:rPr>
          <w:rFonts w:cstheme="minorHAnsi"/>
          <w:sz w:val="24"/>
          <w:szCs w:val="24"/>
        </w:rPr>
        <w:t>the local authority</w:t>
      </w:r>
      <w:r w:rsidRPr="004350D8">
        <w:rPr>
          <w:rFonts w:cstheme="minorHAnsi"/>
          <w:sz w:val="24"/>
          <w:szCs w:val="24"/>
        </w:rPr>
        <w:t xml:space="preserve"> insurance officer</w:t>
      </w:r>
      <w:r w:rsidR="00BA64C7" w:rsidRPr="004350D8">
        <w:rPr>
          <w:rFonts w:cstheme="minorHAnsi"/>
          <w:sz w:val="24"/>
          <w:szCs w:val="24"/>
        </w:rPr>
        <w:t>s</w:t>
      </w:r>
      <w:r w:rsidRPr="004350D8">
        <w:rPr>
          <w:rFonts w:cstheme="minorHAnsi"/>
          <w:sz w:val="24"/>
          <w:szCs w:val="24"/>
        </w:rPr>
        <w:t xml:space="preserve"> during the tendering process</w:t>
      </w:r>
      <w:r w:rsidR="00BA64C7" w:rsidRPr="004350D8">
        <w:rPr>
          <w:rFonts w:cstheme="minorHAnsi"/>
          <w:sz w:val="24"/>
          <w:szCs w:val="24"/>
        </w:rPr>
        <w:t>es</w:t>
      </w:r>
      <w:r w:rsidRPr="004350D8">
        <w:rPr>
          <w:rFonts w:cstheme="minorHAnsi"/>
          <w:sz w:val="24"/>
          <w:szCs w:val="24"/>
        </w:rPr>
        <w:t xml:space="preserve"> </w:t>
      </w:r>
      <w:r w:rsidR="00BA64C7" w:rsidRPr="004350D8">
        <w:rPr>
          <w:rFonts w:cstheme="minorHAnsi"/>
          <w:sz w:val="24"/>
          <w:szCs w:val="24"/>
        </w:rPr>
        <w:t>was</w:t>
      </w:r>
      <w:r w:rsidRPr="004350D8">
        <w:rPr>
          <w:rFonts w:cstheme="minorHAnsi"/>
          <w:sz w:val="24"/>
          <w:szCs w:val="24"/>
        </w:rPr>
        <w:t xml:space="preserve"> considerable. The insurance companies requested a very large amount of data about </w:t>
      </w:r>
      <w:r w:rsidR="00BA64C7" w:rsidRPr="004350D8">
        <w:rPr>
          <w:rFonts w:cstheme="minorHAnsi"/>
          <w:sz w:val="24"/>
          <w:szCs w:val="24"/>
        </w:rPr>
        <w:t>local authority</w:t>
      </w:r>
      <w:r w:rsidRPr="004350D8">
        <w:rPr>
          <w:rFonts w:cstheme="minorHAnsi"/>
          <w:sz w:val="24"/>
          <w:szCs w:val="24"/>
        </w:rPr>
        <w:t xml:space="preserve"> property and operations in order to assess their insurance risk. The information requested can be broken down into </w:t>
      </w:r>
      <w:r w:rsidR="00BA64C7" w:rsidRPr="004350D8">
        <w:rPr>
          <w:rFonts w:cstheme="minorHAnsi"/>
          <w:sz w:val="24"/>
          <w:szCs w:val="24"/>
        </w:rPr>
        <w:t>three</w:t>
      </w:r>
      <w:r w:rsidRPr="004350D8">
        <w:rPr>
          <w:rFonts w:cstheme="minorHAnsi"/>
          <w:sz w:val="24"/>
          <w:szCs w:val="24"/>
        </w:rPr>
        <w:t xml:space="preserve"> main sections. First, </w:t>
      </w:r>
      <w:r w:rsidR="00BA64C7" w:rsidRPr="004350D8">
        <w:rPr>
          <w:rFonts w:cstheme="minorHAnsi"/>
          <w:sz w:val="24"/>
          <w:szCs w:val="24"/>
        </w:rPr>
        <w:t>they</w:t>
      </w:r>
      <w:r w:rsidRPr="004350D8">
        <w:rPr>
          <w:rFonts w:cstheme="minorHAnsi"/>
          <w:sz w:val="24"/>
          <w:szCs w:val="24"/>
        </w:rPr>
        <w:t xml:space="preserve"> sought information about the staff profile of the </w:t>
      </w:r>
      <w:r w:rsidR="00BA64C7" w:rsidRPr="004350D8">
        <w:rPr>
          <w:rFonts w:cstheme="minorHAnsi"/>
          <w:sz w:val="24"/>
          <w:szCs w:val="24"/>
        </w:rPr>
        <w:t>local authorities</w:t>
      </w:r>
      <w:r w:rsidRPr="004350D8">
        <w:rPr>
          <w:rFonts w:cstheme="minorHAnsi"/>
          <w:sz w:val="24"/>
          <w:szCs w:val="24"/>
        </w:rPr>
        <w:t xml:space="preserve">. Second, they sought information about the </w:t>
      </w:r>
      <w:r w:rsidR="00BA64C7" w:rsidRPr="004350D8">
        <w:rPr>
          <w:rFonts w:cstheme="minorHAnsi"/>
          <w:sz w:val="24"/>
          <w:szCs w:val="24"/>
        </w:rPr>
        <w:t>local authorities’</w:t>
      </w:r>
      <w:r w:rsidRPr="004350D8">
        <w:rPr>
          <w:rFonts w:cstheme="minorHAnsi"/>
          <w:sz w:val="24"/>
          <w:szCs w:val="24"/>
        </w:rPr>
        <w:t xml:space="preserve"> property profile.</w:t>
      </w:r>
      <w:r w:rsidRPr="004350D8">
        <w:rPr>
          <w:rStyle w:val="FootnoteReference"/>
          <w:rFonts w:cstheme="minorHAnsi"/>
          <w:sz w:val="24"/>
          <w:szCs w:val="24"/>
        </w:rPr>
        <w:footnoteReference w:id="48"/>
      </w:r>
      <w:r w:rsidRPr="004350D8">
        <w:rPr>
          <w:rFonts w:cstheme="minorHAnsi"/>
          <w:sz w:val="24"/>
          <w:szCs w:val="24"/>
        </w:rPr>
        <w:t xml:space="preserve"> Third, they sought information about risk control measures. However, </w:t>
      </w:r>
      <w:r w:rsidRPr="004350D8">
        <w:rPr>
          <w:rFonts w:cstheme="minorHAnsi"/>
          <w:sz w:val="24"/>
          <w:szCs w:val="24"/>
        </w:rPr>
        <w:lastRenderedPageBreak/>
        <w:t>information on risk control measures related to property insurance rather than liability insurance. For example, the insurance officer</w:t>
      </w:r>
      <w:r w:rsidR="00BA64C7" w:rsidRPr="004350D8">
        <w:rPr>
          <w:rFonts w:cstheme="minorHAnsi"/>
          <w:sz w:val="24"/>
          <w:szCs w:val="24"/>
        </w:rPr>
        <w:t>s</w:t>
      </w:r>
      <w:r w:rsidRPr="004350D8">
        <w:rPr>
          <w:rFonts w:cstheme="minorHAnsi"/>
          <w:sz w:val="24"/>
          <w:szCs w:val="24"/>
        </w:rPr>
        <w:t xml:space="preserve"> had to provide information in relation to fire risks such as the number of sprinklers systems and smoke alarms in council properties and</w:t>
      </w:r>
      <w:r w:rsidR="008B3FC9">
        <w:rPr>
          <w:rFonts w:cstheme="minorHAnsi"/>
          <w:sz w:val="24"/>
          <w:szCs w:val="24"/>
        </w:rPr>
        <w:t>,</w:t>
      </w:r>
      <w:r w:rsidRPr="004350D8">
        <w:rPr>
          <w:rFonts w:cstheme="minorHAnsi"/>
          <w:sz w:val="24"/>
          <w:szCs w:val="24"/>
        </w:rPr>
        <w:t xml:space="preserve"> in relation to burglary risks, information about CCTV cameras, anti-climb measures, and so forth. A great deal of this information related to schools which, the insurance officer</w:t>
      </w:r>
      <w:r w:rsidR="00BA64C7" w:rsidRPr="004350D8">
        <w:rPr>
          <w:rFonts w:cstheme="minorHAnsi"/>
          <w:sz w:val="24"/>
          <w:szCs w:val="24"/>
        </w:rPr>
        <w:t>s</w:t>
      </w:r>
      <w:r w:rsidRPr="004350D8">
        <w:rPr>
          <w:rFonts w:cstheme="minorHAnsi"/>
          <w:sz w:val="24"/>
          <w:szCs w:val="24"/>
        </w:rPr>
        <w:t xml:space="preserve"> indicated, were regarded as particularly high risks by insurance companies. </w:t>
      </w:r>
    </w:p>
    <w:p w14:paraId="0A525B21" w14:textId="77777777" w:rsidR="002D2351" w:rsidRPr="004350D8" w:rsidRDefault="002D2351" w:rsidP="00527616">
      <w:pPr>
        <w:spacing w:after="0" w:line="480" w:lineRule="auto"/>
        <w:ind w:firstLine="720"/>
        <w:jc w:val="both"/>
        <w:rPr>
          <w:rFonts w:cstheme="minorHAnsi"/>
          <w:sz w:val="24"/>
          <w:szCs w:val="24"/>
        </w:rPr>
      </w:pPr>
      <w:r w:rsidRPr="004350D8">
        <w:rPr>
          <w:rFonts w:cstheme="minorHAnsi"/>
          <w:sz w:val="24"/>
          <w:szCs w:val="24"/>
        </w:rPr>
        <w:t xml:space="preserve">Insurance </w:t>
      </w:r>
      <w:r w:rsidR="001E0030">
        <w:rPr>
          <w:rFonts w:cstheme="minorHAnsi"/>
          <w:sz w:val="24"/>
          <w:szCs w:val="24"/>
        </w:rPr>
        <w:t>contracts</w:t>
      </w:r>
      <w:r w:rsidRPr="004350D8">
        <w:rPr>
          <w:rFonts w:cstheme="minorHAnsi"/>
          <w:sz w:val="24"/>
          <w:szCs w:val="24"/>
        </w:rPr>
        <w:t xml:space="preserve">, then, do not appear to have </w:t>
      </w:r>
      <w:r w:rsidR="001E0030">
        <w:rPr>
          <w:rFonts w:cstheme="minorHAnsi"/>
          <w:sz w:val="24"/>
          <w:szCs w:val="24"/>
        </w:rPr>
        <w:t>bullied</w:t>
      </w:r>
      <w:r w:rsidRPr="004350D8">
        <w:rPr>
          <w:rFonts w:cstheme="minorHAnsi"/>
          <w:sz w:val="24"/>
          <w:szCs w:val="24"/>
        </w:rPr>
        <w:t xml:space="preserve"> local authorities’ </w:t>
      </w:r>
      <w:r w:rsidR="001E0030">
        <w:rPr>
          <w:rFonts w:cstheme="minorHAnsi"/>
          <w:sz w:val="24"/>
          <w:szCs w:val="24"/>
        </w:rPr>
        <w:t>into minimising</w:t>
      </w:r>
      <w:r w:rsidR="00CD219B" w:rsidRPr="004350D8">
        <w:rPr>
          <w:rFonts w:cstheme="minorHAnsi"/>
          <w:sz w:val="24"/>
          <w:szCs w:val="24"/>
        </w:rPr>
        <w:t xml:space="preserve"> the likelihood of liability arising</w:t>
      </w:r>
      <w:r w:rsidRPr="004350D8">
        <w:rPr>
          <w:rFonts w:cstheme="minorHAnsi"/>
          <w:sz w:val="24"/>
          <w:szCs w:val="24"/>
        </w:rPr>
        <w:t xml:space="preserve">. Indeed, our study reveals only a </w:t>
      </w:r>
      <w:r w:rsidR="000368EB">
        <w:rPr>
          <w:rFonts w:cstheme="minorHAnsi"/>
          <w:sz w:val="24"/>
          <w:szCs w:val="24"/>
        </w:rPr>
        <w:t>gentle</w:t>
      </w:r>
      <w:r w:rsidRPr="004350D8">
        <w:rPr>
          <w:rFonts w:cstheme="minorHAnsi"/>
          <w:sz w:val="24"/>
          <w:szCs w:val="24"/>
        </w:rPr>
        <w:t xml:space="preserve"> dynamic</w:t>
      </w:r>
      <w:r w:rsidR="00AB7E6D">
        <w:rPr>
          <w:rFonts w:cstheme="minorHAnsi"/>
          <w:sz w:val="24"/>
          <w:szCs w:val="24"/>
        </w:rPr>
        <w:t xml:space="preserve"> between insurance and local authority practice</w:t>
      </w:r>
      <w:r w:rsidRPr="004350D8">
        <w:rPr>
          <w:rFonts w:cstheme="minorHAnsi"/>
          <w:sz w:val="24"/>
          <w:szCs w:val="24"/>
        </w:rPr>
        <w:t xml:space="preserve"> whereby insurers offer ‘risk control’ advice as an added extra to their insurance services. In Scotland, this </w:t>
      </w:r>
      <w:r w:rsidR="00CD219B" w:rsidRPr="004350D8">
        <w:rPr>
          <w:rFonts w:cstheme="minorHAnsi"/>
          <w:sz w:val="24"/>
          <w:szCs w:val="24"/>
        </w:rPr>
        <w:t>took</w:t>
      </w:r>
      <w:r w:rsidRPr="004350D8">
        <w:rPr>
          <w:rFonts w:cstheme="minorHAnsi"/>
          <w:sz w:val="24"/>
          <w:szCs w:val="24"/>
        </w:rPr>
        <w:t xml:space="preserve"> the form of advice about reducing the likelihood of liability through the improving of inspection systems and better records keeping. In Ireland, it </w:t>
      </w:r>
      <w:r w:rsidR="00CD219B" w:rsidRPr="004350D8">
        <w:rPr>
          <w:rFonts w:cstheme="minorHAnsi"/>
          <w:sz w:val="24"/>
          <w:szCs w:val="24"/>
        </w:rPr>
        <w:t>took</w:t>
      </w:r>
      <w:r w:rsidRPr="004350D8">
        <w:rPr>
          <w:rFonts w:cstheme="minorHAnsi"/>
          <w:sz w:val="24"/>
          <w:szCs w:val="24"/>
        </w:rPr>
        <w:t xml:space="preserve"> the form mainly of advice about, and support for, better claims management. </w:t>
      </w:r>
    </w:p>
    <w:p w14:paraId="147EBF8E" w14:textId="77777777" w:rsidR="002D2351" w:rsidRPr="004350D8" w:rsidRDefault="002D2351" w:rsidP="007E7A8D">
      <w:pPr>
        <w:spacing w:after="0" w:line="480" w:lineRule="auto"/>
        <w:jc w:val="both"/>
        <w:rPr>
          <w:rFonts w:eastAsia="Batang" w:cstheme="minorHAnsi"/>
          <w:sz w:val="24"/>
          <w:szCs w:val="24"/>
        </w:rPr>
      </w:pPr>
    </w:p>
    <w:p w14:paraId="5D8777C3" w14:textId="77777777" w:rsidR="008943E6" w:rsidRPr="00887F78" w:rsidRDefault="008943E6" w:rsidP="00887F78">
      <w:pPr>
        <w:pStyle w:val="ListParagraph"/>
        <w:numPr>
          <w:ilvl w:val="0"/>
          <w:numId w:val="6"/>
        </w:numPr>
        <w:spacing w:after="0" w:line="480" w:lineRule="auto"/>
        <w:jc w:val="both"/>
        <w:rPr>
          <w:rFonts w:eastAsia="Batang" w:cstheme="minorHAnsi"/>
          <w:sz w:val="24"/>
          <w:szCs w:val="24"/>
        </w:rPr>
      </w:pPr>
      <w:r w:rsidRPr="00887F78">
        <w:rPr>
          <w:rFonts w:eastAsia="Batang" w:cstheme="minorHAnsi"/>
          <w:sz w:val="24"/>
          <w:szCs w:val="24"/>
        </w:rPr>
        <w:t>Claims Management</w:t>
      </w:r>
    </w:p>
    <w:p w14:paraId="310A5120" w14:textId="77777777" w:rsidR="008943E6" w:rsidRPr="004350D8" w:rsidRDefault="00CD219B" w:rsidP="007E7A8D">
      <w:pPr>
        <w:spacing w:after="0" w:line="480" w:lineRule="auto"/>
        <w:jc w:val="both"/>
        <w:rPr>
          <w:rFonts w:eastAsia="Batang" w:cstheme="minorHAnsi"/>
          <w:sz w:val="24"/>
          <w:szCs w:val="24"/>
        </w:rPr>
      </w:pPr>
      <w:r w:rsidRPr="004350D8">
        <w:rPr>
          <w:rFonts w:eastAsia="Batang" w:cstheme="minorHAnsi"/>
          <w:sz w:val="24"/>
          <w:szCs w:val="24"/>
        </w:rPr>
        <w:t>In addition to insurance, a</w:t>
      </w:r>
      <w:r w:rsidR="008943E6" w:rsidRPr="004350D8">
        <w:rPr>
          <w:rFonts w:eastAsia="Batang" w:cstheme="minorHAnsi"/>
          <w:sz w:val="24"/>
          <w:szCs w:val="24"/>
        </w:rPr>
        <w:t xml:space="preserve"> second way of reducing the financial impact of liability is to manage the claims process towards minimising the quantum of settlements. </w:t>
      </w:r>
      <w:r w:rsidR="0018737A">
        <w:rPr>
          <w:rFonts w:eastAsia="Batang" w:cstheme="minorHAnsi"/>
          <w:sz w:val="24"/>
          <w:szCs w:val="24"/>
        </w:rPr>
        <w:t>Given the fact, already noted above, that almost all Scottish authorities contracted out claims handling, o</w:t>
      </w:r>
      <w:r w:rsidR="008943E6" w:rsidRPr="004350D8">
        <w:rPr>
          <w:rFonts w:eastAsia="Batang" w:cstheme="minorHAnsi"/>
          <w:sz w:val="24"/>
          <w:szCs w:val="24"/>
        </w:rPr>
        <w:t>ur observations here</w:t>
      </w:r>
      <w:r w:rsidR="0018737A">
        <w:rPr>
          <w:rFonts w:eastAsia="Batang" w:cstheme="minorHAnsi"/>
          <w:sz w:val="24"/>
          <w:szCs w:val="24"/>
        </w:rPr>
        <w:t xml:space="preserve"> </w:t>
      </w:r>
      <w:r w:rsidR="008943E6" w:rsidRPr="004350D8">
        <w:rPr>
          <w:rFonts w:eastAsia="Batang" w:cstheme="minorHAnsi"/>
          <w:sz w:val="24"/>
          <w:szCs w:val="24"/>
        </w:rPr>
        <w:t xml:space="preserve">are based on our Irish data. In contrast to Scotland, many Irish local authorities process a majority of the claims received. Irish </w:t>
      </w:r>
      <w:r w:rsidR="00F5359A" w:rsidRPr="004350D8">
        <w:rPr>
          <w:rFonts w:eastAsia="Batang" w:cstheme="minorHAnsi"/>
          <w:sz w:val="24"/>
          <w:szCs w:val="24"/>
        </w:rPr>
        <w:t xml:space="preserve">local authority </w:t>
      </w:r>
      <w:r w:rsidR="008943E6" w:rsidRPr="004350D8">
        <w:rPr>
          <w:rFonts w:eastAsia="Batang" w:cstheme="minorHAnsi"/>
          <w:sz w:val="24"/>
          <w:szCs w:val="24"/>
        </w:rPr>
        <w:t xml:space="preserve">claims handlers tend to identify themselves as a prime response to liability risks. Given the uncertainties of legal outcomes, particularly in the lower courts, these units or individuals effectively mitigate financial risk by ensuring that claims settle in the most expedient and cost effective manner. Early direct contact and settlement offers were highlighted as techniques which </w:t>
      </w:r>
      <w:r w:rsidR="008943E6" w:rsidRPr="004350D8">
        <w:rPr>
          <w:rFonts w:eastAsia="Batang" w:cstheme="minorHAnsi"/>
          <w:sz w:val="24"/>
          <w:szCs w:val="24"/>
        </w:rPr>
        <w:lastRenderedPageBreak/>
        <w:t>promote</w:t>
      </w:r>
      <w:r w:rsidR="00252C16" w:rsidRPr="004350D8">
        <w:rPr>
          <w:rFonts w:eastAsia="Batang" w:cstheme="minorHAnsi"/>
          <w:sz w:val="24"/>
          <w:szCs w:val="24"/>
        </w:rPr>
        <w:t>d</w:t>
      </w:r>
      <w:r w:rsidR="008943E6" w:rsidRPr="004350D8">
        <w:rPr>
          <w:rFonts w:eastAsia="Batang" w:cstheme="minorHAnsi"/>
          <w:sz w:val="24"/>
          <w:szCs w:val="24"/>
        </w:rPr>
        <w:t xml:space="preserve"> lower settlement figures. Equally, the vigorous investigation and contestation of suspected spurious claims offer</w:t>
      </w:r>
      <w:r w:rsidR="00252C16" w:rsidRPr="004350D8">
        <w:rPr>
          <w:rFonts w:eastAsia="Batang" w:cstheme="minorHAnsi"/>
          <w:sz w:val="24"/>
          <w:szCs w:val="24"/>
        </w:rPr>
        <w:t>ed</w:t>
      </w:r>
      <w:r w:rsidR="008943E6" w:rsidRPr="004350D8">
        <w:rPr>
          <w:rFonts w:eastAsia="Batang" w:cstheme="minorHAnsi"/>
          <w:sz w:val="24"/>
          <w:szCs w:val="24"/>
        </w:rPr>
        <w:t xml:space="preserve"> a stronger platform to repudiate false claims. Whilst there was clear evidence of such practices in our case studies, the intensity of the practices varied. Further, there are grounds for suggesting that such variation would be replicated nationally. Whilst many Irish authorities have created institutional structures designed to address claims, there is considerable variety amongst them</w:t>
      </w:r>
      <w:r w:rsidR="008943E6" w:rsidRPr="004350D8">
        <w:rPr>
          <w:rFonts w:cstheme="minorHAnsi"/>
          <w:sz w:val="24"/>
          <w:szCs w:val="24"/>
        </w:rPr>
        <w:t xml:space="preserve">. </w:t>
      </w:r>
      <w:r w:rsidR="008943E6" w:rsidRPr="004350D8">
        <w:rPr>
          <w:rFonts w:eastAsia="Batang" w:cstheme="minorHAnsi"/>
          <w:sz w:val="24"/>
          <w:szCs w:val="24"/>
        </w:rPr>
        <w:t xml:space="preserve">Many authorities have created claims units, designed to offer a more systematic response to claims received and, in some instances, to feed back information from claims into maintenance operations. In a significant proportion of Irish authorities, however, there are no specific claims handlers and the investigative and administrative tasks are performed by engineers and general administrators operating at a localised ‘area’ level within the authorities. </w:t>
      </w:r>
    </w:p>
    <w:p w14:paraId="73D717EE" w14:textId="77777777" w:rsidR="008943E6" w:rsidRPr="004350D8" w:rsidRDefault="008943E6" w:rsidP="007E7A8D">
      <w:pPr>
        <w:spacing w:after="0" w:line="480" w:lineRule="auto"/>
        <w:jc w:val="both"/>
        <w:rPr>
          <w:rFonts w:eastAsia="Batang" w:cstheme="minorHAnsi"/>
          <w:sz w:val="24"/>
          <w:szCs w:val="24"/>
        </w:rPr>
      </w:pPr>
      <w:r w:rsidRPr="004350D8">
        <w:rPr>
          <w:rFonts w:eastAsia="Batang" w:cstheme="minorHAnsi"/>
          <w:sz w:val="24"/>
          <w:szCs w:val="24"/>
        </w:rPr>
        <w:t xml:space="preserve"> </w:t>
      </w:r>
    </w:p>
    <w:p w14:paraId="1DBE0777" w14:textId="77777777" w:rsidR="001147C0" w:rsidRPr="00887F78" w:rsidRDefault="001147C0" w:rsidP="00887F78">
      <w:pPr>
        <w:pStyle w:val="ListParagraph"/>
        <w:numPr>
          <w:ilvl w:val="0"/>
          <w:numId w:val="6"/>
        </w:numPr>
        <w:spacing w:after="0" w:line="480" w:lineRule="auto"/>
        <w:jc w:val="both"/>
        <w:rPr>
          <w:rFonts w:cstheme="minorHAnsi"/>
          <w:sz w:val="24"/>
          <w:szCs w:val="24"/>
        </w:rPr>
      </w:pPr>
      <w:r w:rsidRPr="00887F78">
        <w:rPr>
          <w:rFonts w:cstheme="minorHAnsi"/>
          <w:sz w:val="24"/>
          <w:szCs w:val="24"/>
        </w:rPr>
        <w:t xml:space="preserve">Transferring Liability to </w:t>
      </w:r>
      <w:r w:rsidR="00C47560" w:rsidRPr="00887F78">
        <w:rPr>
          <w:rFonts w:cstheme="minorHAnsi"/>
          <w:sz w:val="24"/>
          <w:szCs w:val="24"/>
        </w:rPr>
        <w:t>another</w:t>
      </w:r>
      <w:r w:rsidRPr="00887F78">
        <w:rPr>
          <w:rFonts w:cstheme="minorHAnsi"/>
          <w:sz w:val="24"/>
          <w:szCs w:val="24"/>
        </w:rPr>
        <w:t xml:space="preserve"> Party</w:t>
      </w:r>
    </w:p>
    <w:p w14:paraId="1E311967" w14:textId="77777777" w:rsidR="00F5359A" w:rsidRPr="004350D8" w:rsidRDefault="00633F73" w:rsidP="007E7A8D">
      <w:pPr>
        <w:spacing w:after="0" w:line="480" w:lineRule="auto"/>
        <w:jc w:val="both"/>
        <w:rPr>
          <w:rFonts w:cstheme="minorHAnsi"/>
          <w:sz w:val="24"/>
          <w:szCs w:val="24"/>
        </w:rPr>
      </w:pPr>
      <w:r w:rsidRPr="004350D8">
        <w:rPr>
          <w:rFonts w:cstheme="minorHAnsi"/>
          <w:sz w:val="24"/>
          <w:szCs w:val="24"/>
        </w:rPr>
        <w:t xml:space="preserve">A </w:t>
      </w:r>
      <w:r w:rsidR="003D1D1F" w:rsidRPr="004350D8">
        <w:rPr>
          <w:rFonts w:cstheme="minorHAnsi"/>
          <w:sz w:val="24"/>
          <w:szCs w:val="24"/>
        </w:rPr>
        <w:t>final</w:t>
      </w:r>
      <w:r w:rsidRPr="004350D8">
        <w:rPr>
          <w:rFonts w:cstheme="minorHAnsi"/>
          <w:sz w:val="24"/>
          <w:szCs w:val="24"/>
        </w:rPr>
        <w:t xml:space="preserve"> practice identified in our study, one which was only evident in Ireland, </w:t>
      </w:r>
      <w:r w:rsidR="00E20A17" w:rsidRPr="004350D8">
        <w:rPr>
          <w:rFonts w:cstheme="minorHAnsi"/>
          <w:sz w:val="24"/>
          <w:szCs w:val="24"/>
        </w:rPr>
        <w:t>was</w:t>
      </w:r>
      <w:r w:rsidR="003D1D1F" w:rsidRPr="004350D8">
        <w:rPr>
          <w:rFonts w:cstheme="minorHAnsi"/>
          <w:sz w:val="24"/>
          <w:szCs w:val="24"/>
        </w:rPr>
        <w:t xml:space="preserve"> the attempt to transfer liability to another party. Irish local authorities sometimes respond</w:t>
      </w:r>
      <w:r w:rsidR="00E20A17" w:rsidRPr="004350D8">
        <w:rPr>
          <w:rFonts w:cstheme="minorHAnsi"/>
          <w:sz w:val="24"/>
          <w:szCs w:val="24"/>
        </w:rPr>
        <w:t>ed</w:t>
      </w:r>
      <w:r w:rsidR="003D1D1F" w:rsidRPr="004350D8">
        <w:rPr>
          <w:rFonts w:cstheme="minorHAnsi"/>
          <w:sz w:val="24"/>
          <w:szCs w:val="24"/>
        </w:rPr>
        <w:t xml:space="preserve"> to compensation claims by seeking to transfer liability to utility companies who may have worked on the </w:t>
      </w:r>
      <w:r w:rsidR="0020456B" w:rsidRPr="004350D8">
        <w:rPr>
          <w:rFonts w:cstheme="minorHAnsi"/>
          <w:sz w:val="24"/>
          <w:szCs w:val="24"/>
        </w:rPr>
        <w:t>relevant section</w:t>
      </w:r>
      <w:r w:rsidR="003D1D1F" w:rsidRPr="004350D8">
        <w:rPr>
          <w:rFonts w:cstheme="minorHAnsi"/>
          <w:sz w:val="24"/>
          <w:szCs w:val="24"/>
        </w:rPr>
        <w:t xml:space="preserve"> of road in order to, for example, lay a telecommunications cable or fix </w:t>
      </w:r>
      <w:r w:rsidR="0020456B" w:rsidRPr="004350D8">
        <w:rPr>
          <w:rFonts w:cstheme="minorHAnsi"/>
          <w:sz w:val="24"/>
          <w:szCs w:val="24"/>
        </w:rPr>
        <w:t>a</w:t>
      </w:r>
      <w:r w:rsidR="003D1D1F" w:rsidRPr="004350D8">
        <w:rPr>
          <w:rFonts w:cstheme="minorHAnsi"/>
          <w:sz w:val="24"/>
          <w:szCs w:val="24"/>
        </w:rPr>
        <w:t xml:space="preserve"> water pipe. If the local authority </w:t>
      </w:r>
      <w:r w:rsidR="00E20A17" w:rsidRPr="004350D8">
        <w:rPr>
          <w:rFonts w:cstheme="minorHAnsi"/>
          <w:sz w:val="24"/>
          <w:szCs w:val="24"/>
        </w:rPr>
        <w:t>was</w:t>
      </w:r>
      <w:r w:rsidR="003D1D1F" w:rsidRPr="004350D8">
        <w:rPr>
          <w:rFonts w:cstheme="minorHAnsi"/>
          <w:sz w:val="24"/>
          <w:szCs w:val="24"/>
        </w:rPr>
        <w:t xml:space="preserve"> able to identify </w:t>
      </w:r>
      <w:r w:rsidR="0020456B" w:rsidRPr="004350D8">
        <w:rPr>
          <w:rFonts w:cstheme="minorHAnsi"/>
          <w:sz w:val="24"/>
          <w:szCs w:val="24"/>
        </w:rPr>
        <w:t xml:space="preserve">such </w:t>
      </w:r>
      <w:r w:rsidR="003D1D1F" w:rsidRPr="004350D8">
        <w:rPr>
          <w:rFonts w:cstheme="minorHAnsi"/>
          <w:sz w:val="24"/>
          <w:szCs w:val="24"/>
        </w:rPr>
        <w:t xml:space="preserve">a utility company as having </w:t>
      </w:r>
      <w:r w:rsidR="0020456B" w:rsidRPr="004350D8">
        <w:rPr>
          <w:rFonts w:cstheme="minorHAnsi"/>
          <w:sz w:val="24"/>
          <w:szCs w:val="24"/>
        </w:rPr>
        <w:t>been the organisation which ha</w:t>
      </w:r>
      <w:r w:rsidR="00E20A17" w:rsidRPr="004350D8">
        <w:rPr>
          <w:rFonts w:cstheme="minorHAnsi"/>
          <w:sz w:val="24"/>
          <w:szCs w:val="24"/>
        </w:rPr>
        <w:t>d</w:t>
      </w:r>
      <w:r w:rsidR="0020456B" w:rsidRPr="004350D8">
        <w:rPr>
          <w:rFonts w:cstheme="minorHAnsi"/>
          <w:sz w:val="24"/>
          <w:szCs w:val="24"/>
        </w:rPr>
        <w:t xml:space="preserve"> </w:t>
      </w:r>
      <w:r w:rsidR="003D1D1F" w:rsidRPr="004350D8">
        <w:rPr>
          <w:rFonts w:cstheme="minorHAnsi"/>
          <w:sz w:val="24"/>
          <w:szCs w:val="24"/>
        </w:rPr>
        <w:t xml:space="preserve">worked on the </w:t>
      </w:r>
      <w:r w:rsidR="0020456B" w:rsidRPr="004350D8">
        <w:rPr>
          <w:rFonts w:cstheme="minorHAnsi"/>
          <w:sz w:val="24"/>
          <w:szCs w:val="24"/>
        </w:rPr>
        <w:t>section of</w:t>
      </w:r>
      <w:r w:rsidR="003D1D1F" w:rsidRPr="004350D8">
        <w:rPr>
          <w:rFonts w:cstheme="minorHAnsi"/>
          <w:sz w:val="24"/>
          <w:szCs w:val="24"/>
        </w:rPr>
        <w:t xml:space="preserve"> road most recently, it </w:t>
      </w:r>
      <w:r w:rsidR="00E20A17" w:rsidRPr="004350D8">
        <w:rPr>
          <w:rFonts w:cstheme="minorHAnsi"/>
          <w:sz w:val="24"/>
          <w:szCs w:val="24"/>
        </w:rPr>
        <w:t>would</w:t>
      </w:r>
      <w:r w:rsidR="003D1D1F" w:rsidRPr="004350D8">
        <w:rPr>
          <w:rFonts w:cstheme="minorHAnsi"/>
          <w:sz w:val="24"/>
          <w:szCs w:val="24"/>
        </w:rPr>
        <w:t xml:space="preserve"> divert the claimant to the relevant utility company. </w:t>
      </w:r>
      <w:r w:rsidR="0020456B" w:rsidRPr="004350D8">
        <w:rPr>
          <w:rFonts w:cstheme="minorHAnsi"/>
          <w:sz w:val="24"/>
          <w:szCs w:val="24"/>
        </w:rPr>
        <w:t>Somewhat p</w:t>
      </w:r>
      <w:r w:rsidR="003D1D1F" w:rsidRPr="004350D8">
        <w:rPr>
          <w:rFonts w:cstheme="minorHAnsi"/>
          <w:sz w:val="24"/>
          <w:szCs w:val="24"/>
        </w:rPr>
        <w:t xml:space="preserve">eculiarly, this </w:t>
      </w:r>
      <w:r w:rsidR="0020456B" w:rsidRPr="004350D8">
        <w:rPr>
          <w:rFonts w:cstheme="minorHAnsi"/>
          <w:sz w:val="24"/>
          <w:szCs w:val="24"/>
        </w:rPr>
        <w:t xml:space="preserve">sometimes </w:t>
      </w:r>
      <w:r w:rsidR="003D1D1F" w:rsidRPr="004350D8">
        <w:rPr>
          <w:rFonts w:cstheme="minorHAnsi"/>
          <w:sz w:val="24"/>
          <w:szCs w:val="24"/>
        </w:rPr>
        <w:t>involve</w:t>
      </w:r>
      <w:r w:rsidR="00E20A17" w:rsidRPr="004350D8">
        <w:rPr>
          <w:rFonts w:cstheme="minorHAnsi"/>
          <w:sz w:val="24"/>
          <w:szCs w:val="24"/>
        </w:rPr>
        <w:t>d</w:t>
      </w:r>
      <w:r w:rsidR="003D1D1F" w:rsidRPr="004350D8">
        <w:rPr>
          <w:rFonts w:cstheme="minorHAnsi"/>
          <w:sz w:val="24"/>
          <w:szCs w:val="24"/>
        </w:rPr>
        <w:t xml:space="preserve"> the local authority digging up the section of road anew to be able to identify the </w:t>
      </w:r>
      <w:r w:rsidR="0020456B" w:rsidRPr="004350D8">
        <w:rPr>
          <w:rFonts w:cstheme="minorHAnsi"/>
          <w:sz w:val="24"/>
          <w:szCs w:val="24"/>
        </w:rPr>
        <w:t>company</w:t>
      </w:r>
      <w:r w:rsidR="00E20A17" w:rsidRPr="004350D8">
        <w:rPr>
          <w:rFonts w:cstheme="minorHAnsi"/>
          <w:sz w:val="24"/>
          <w:szCs w:val="24"/>
        </w:rPr>
        <w:t>,</w:t>
      </w:r>
      <w:r w:rsidR="0020456B" w:rsidRPr="004350D8">
        <w:rPr>
          <w:rFonts w:cstheme="minorHAnsi"/>
          <w:sz w:val="24"/>
          <w:szCs w:val="24"/>
        </w:rPr>
        <w:t xml:space="preserve"> thereby itself engaging in a legally risky activity</w:t>
      </w:r>
      <w:r w:rsidR="003D1D1F" w:rsidRPr="004350D8">
        <w:rPr>
          <w:rFonts w:cstheme="minorHAnsi"/>
          <w:sz w:val="24"/>
          <w:szCs w:val="24"/>
        </w:rPr>
        <w:t>.</w:t>
      </w:r>
    </w:p>
    <w:p w14:paraId="5CA84E98" w14:textId="77777777" w:rsidR="00E0318F" w:rsidRPr="004350D8" w:rsidRDefault="00E0318F" w:rsidP="007E7A8D">
      <w:pPr>
        <w:pStyle w:val="Default"/>
        <w:spacing w:line="480" w:lineRule="auto"/>
        <w:rPr>
          <w:rFonts w:asciiTheme="minorHAnsi" w:hAnsiTheme="minorHAnsi" w:cstheme="minorHAnsi"/>
          <w:b/>
          <w:lang w:val="en-GB"/>
        </w:rPr>
      </w:pPr>
    </w:p>
    <w:p w14:paraId="3FDC16AE" w14:textId="77777777" w:rsidR="00CD219B" w:rsidRPr="004350D8" w:rsidRDefault="00CD219B" w:rsidP="007E7A8D">
      <w:pPr>
        <w:pStyle w:val="Default"/>
        <w:spacing w:line="480" w:lineRule="auto"/>
        <w:rPr>
          <w:rFonts w:asciiTheme="minorHAnsi" w:hAnsiTheme="minorHAnsi" w:cstheme="minorHAnsi"/>
          <w:b/>
          <w:lang w:val="en-GB"/>
        </w:rPr>
      </w:pPr>
    </w:p>
    <w:p w14:paraId="795ED58B" w14:textId="77777777" w:rsidR="008943E6" w:rsidRPr="004350D8" w:rsidRDefault="00CD219B" w:rsidP="009D52A4">
      <w:pPr>
        <w:pStyle w:val="Default"/>
        <w:numPr>
          <w:ilvl w:val="0"/>
          <w:numId w:val="2"/>
        </w:numPr>
        <w:spacing w:line="480" w:lineRule="auto"/>
        <w:jc w:val="center"/>
        <w:rPr>
          <w:rFonts w:asciiTheme="minorHAnsi" w:hAnsiTheme="minorHAnsi" w:cstheme="minorHAnsi"/>
          <w:lang w:val="en-GB"/>
        </w:rPr>
      </w:pPr>
      <w:r w:rsidRPr="004350D8">
        <w:rPr>
          <w:rFonts w:asciiTheme="minorHAnsi" w:hAnsiTheme="minorHAnsi" w:cstheme="minorHAnsi"/>
          <w:lang w:val="en-GB"/>
        </w:rPr>
        <w:lastRenderedPageBreak/>
        <w:t>DISCUSSION</w:t>
      </w:r>
    </w:p>
    <w:p w14:paraId="46332883" w14:textId="77777777" w:rsidR="00E0318F" w:rsidRPr="004350D8" w:rsidRDefault="00E0318F" w:rsidP="007E7A8D">
      <w:pPr>
        <w:pStyle w:val="Default"/>
        <w:spacing w:line="480" w:lineRule="auto"/>
        <w:rPr>
          <w:rFonts w:asciiTheme="minorHAnsi" w:hAnsiTheme="minorHAnsi" w:cstheme="minorHAnsi"/>
          <w:lang w:val="en-GB"/>
        </w:rPr>
      </w:pPr>
    </w:p>
    <w:p w14:paraId="33A5FC89" w14:textId="77777777" w:rsidR="00E0318F" w:rsidRPr="004350D8" w:rsidRDefault="00E0318F" w:rsidP="007E7A8D">
      <w:pPr>
        <w:pStyle w:val="Default"/>
        <w:spacing w:line="480" w:lineRule="auto"/>
        <w:rPr>
          <w:rFonts w:asciiTheme="minorHAnsi" w:hAnsiTheme="minorHAnsi" w:cstheme="minorHAnsi"/>
          <w:lang w:val="en-GB"/>
        </w:rPr>
      </w:pPr>
      <w:r w:rsidRPr="004350D8">
        <w:rPr>
          <w:rFonts w:asciiTheme="minorHAnsi" w:hAnsiTheme="minorHAnsi" w:cstheme="minorHAnsi"/>
          <w:lang w:val="en-GB"/>
        </w:rPr>
        <w:t xml:space="preserve">Having mapped out the responses of public authorities to liability risks, it is important to stress that </w:t>
      </w:r>
      <w:r w:rsidR="00131810" w:rsidRPr="004350D8">
        <w:rPr>
          <w:rFonts w:asciiTheme="minorHAnsi" w:hAnsiTheme="minorHAnsi" w:cstheme="minorHAnsi"/>
          <w:lang w:val="en-GB"/>
        </w:rPr>
        <w:t>we do not present</w:t>
      </w:r>
      <w:r w:rsidRPr="004350D8">
        <w:rPr>
          <w:rFonts w:asciiTheme="minorHAnsi" w:hAnsiTheme="minorHAnsi" w:cstheme="minorHAnsi"/>
          <w:lang w:val="en-GB"/>
        </w:rPr>
        <w:t xml:space="preserve"> </w:t>
      </w:r>
      <w:r w:rsidR="00131810" w:rsidRPr="004350D8">
        <w:rPr>
          <w:rFonts w:asciiTheme="minorHAnsi" w:hAnsiTheme="minorHAnsi" w:cstheme="minorHAnsi"/>
          <w:lang w:val="en-GB"/>
        </w:rPr>
        <w:t xml:space="preserve">these </w:t>
      </w:r>
      <w:r w:rsidRPr="004350D8">
        <w:rPr>
          <w:rFonts w:asciiTheme="minorHAnsi" w:hAnsiTheme="minorHAnsi" w:cstheme="minorHAnsi"/>
          <w:lang w:val="en-GB"/>
        </w:rPr>
        <w:t>as mutually exclusive. Most, if not all, public authorities will adopt various risk management approaches</w:t>
      </w:r>
      <w:r w:rsidR="00495A5B">
        <w:rPr>
          <w:rFonts w:asciiTheme="minorHAnsi" w:hAnsiTheme="minorHAnsi" w:cstheme="minorHAnsi"/>
          <w:lang w:val="en-GB"/>
        </w:rPr>
        <w:t>,</w:t>
      </w:r>
      <w:r w:rsidRPr="004350D8">
        <w:rPr>
          <w:rFonts w:asciiTheme="minorHAnsi" w:hAnsiTheme="minorHAnsi" w:cstheme="minorHAnsi"/>
          <w:lang w:val="en-GB"/>
        </w:rPr>
        <w:t xml:space="preserve"> seeking both </w:t>
      </w:r>
      <w:r w:rsidR="00E152D6" w:rsidRPr="004350D8">
        <w:rPr>
          <w:rFonts w:asciiTheme="minorHAnsi" w:hAnsiTheme="minorHAnsi" w:cstheme="minorHAnsi"/>
          <w:lang w:val="en-GB"/>
        </w:rPr>
        <w:t>to</w:t>
      </w:r>
      <w:r w:rsidRPr="004350D8">
        <w:rPr>
          <w:rFonts w:asciiTheme="minorHAnsi" w:hAnsiTheme="minorHAnsi" w:cstheme="minorHAnsi"/>
          <w:lang w:val="en-GB"/>
        </w:rPr>
        <w:t xml:space="preserve"> minimise the likelihood of liability arising as well as planning to mitigate its impact when it does occur.</w:t>
      </w:r>
      <w:r w:rsidR="00E152D6" w:rsidRPr="004350D8">
        <w:rPr>
          <w:rFonts w:asciiTheme="minorHAnsi" w:hAnsiTheme="minorHAnsi" w:cstheme="minorHAnsi"/>
          <w:lang w:val="en-GB"/>
        </w:rPr>
        <w:t xml:space="preserve"> Nonetheless, our comparison between Ireland and Scotland offers some suggestions as to some of the conditions which </w:t>
      </w:r>
      <w:r w:rsidR="00CB52BC">
        <w:rPr>
          <w:rFonts w:asciiTheme="minorHAnsi" w:hAnsiTheme="minorHAnsi" w:cstheme="minorHAnsi"/>
          <w:lang w:val="en-GB"/>
        </w:rPr>
        <w:t>may</w:t>
      </w:r>
      <w:r w:rsidR="00E152D6" w:rsidRPr="004350D8">
        <w:rPr>
          <w:rFonts w:asciiTheme="minorHAnsi" w:hAnsiTheme="minorHAnsi" w:cstheme="minorHAnsi"/>
          <w:lang w:val="en-GB"/>
        </w:rPr>
        <w:t xml:space="preserve"> structure public authority responses.</w:t>
      </w:r>
    </w:p>
    <w:p w14:paraId="01D5F089" w14:textId="77777777" w:rsidR="00552DF5" w:rsidRDefault="00552DF5" w:rsidP="00527616">
      <w:pPr>
        <w:pStyle w:val="Default"/>
        <w:spacing w:line="480" w:lineRule="auto"/>
        <w:ind w:firstLine="720"/>
        <w:rPr>
          <w:rFonts w:asciiTheme="minorHAnsi" w:hAnsiTheme="minorHAnsi" w:cstheme="minorHAnsi"/>
          <w:lang w:val="en-GB"/>
        </w:rPr>
      </w:pPr>
      <w:r w:rsidRPr="004350D8">
        <w:rPr>
          <w:rFonts w:asciiTheme="minorHAnsi" w:hAnsiTheme="minorHAnsi" w:cstheme="minorHAnsi"/>
          <w:lang w:val="en-GB"/>
        </w:rPr>
        <w:t xml:space="preserve">Clearly, </w:t>
      </w:r>
      <w:r w:rsidR="00410026">
        <w:rPr>
          <w:rFonts w:asciiTheme="minorHAnsi" w:hAnsiTheme="minorHAnsi" w:cstheme="minorHAnsi"/>
          <w:lang w:val="en-GB"/>
        </w:rPr>
        <w:t>the nature of the legal regime curtails certain responses to liability risks. As we have noted, the option of precluding liability by withdrawing from service provision was not open to Scottish local authorities. Equally,</w:t>
      </w:r>
      <w:r w:rsidR="00410026" w:rsidRPr="004350D8">
        <w:rPr>
          <w:rFonts w:asciiTheme="minorHAnsi" w:hAnsiTheme="minorHAnsi" w:cstheme="minorHAnsi"/>
          <w:lang w:val="en-GB"/>
        </w:rPr>
        <w:t xml:space="preserve"> </w:t>
      </w:r>
      <w:r w:rsidRPr="004350D8">
        <w:rPr>
          <w:rFonts w:asciiTheme="minorHAnsi" w:hAnsiTheme="minorHAnsi" w:cstheme="minorHAnsi"/>
          <w:lang w:val="en-GB"/>
        </w:rPr>
        <w:t>certain bureaucratic arrangements concerning the management of compensation claims place limits on how public authorities may respond to liability risks. The focus in Irish local authorities on claims management was not substantially replicable in Scotland by virtue of the fact that most Scottish local authorities have contracted out this function. Our data suggests that Scottish authorities tend</w:t>
      </w:r>
      <w:r w:rsidR="008D3331" w:rsidRPr="004350D8">
        <w:rPr>
          <w:rFonts w:asciiTheme="minorHAnsi" w:hAnsiTheme="minorHAnsi" w:cstheme="minorHAnsi"/>
          <w:lang w:val="en-GB"/>
        </w:rPr>
        <w:t>ed</w:t>
      </w:r>
      <w:r w:rsidRPr="004350D8">
        <w:rPr>
          <w:rFonts w:asciiTheme="minorHAnsi" w:hAnsiTheme="minorHAnsi" w:cstheme="minorHAnsi"/>
          <w:lang w:val="en-GB"/>
        </w:rPr>
        <w:t xml:space="preserve"> not to interfere with this decision-making process, though insurance companies’ record of claims management </w:t>
      </w:r>
      <w:r w:rsidR="00616F2F" w:rsidRPr="004350D8">
        <w:rPr>
          <w:rFonts w:asciiTheme="minorHAnsi" w:hAnsiTheme="minorHAnsi" w:cstheme="minorHAnsi"/>
          <w:lang w:val="en-GB"/>
        </w:rPr>
        <w:t>would</w:t>
      </w:r>
      <w:r w:rsidRPr="004350D8">
        <w:rPr>
          <w:rFonts w:asciiTheme="minorHAnsi" w:hAnsiTheme="minorHAnsi" w:cstheme="minorHAnsi"/>
          <w:lang w:val="en-GB"/>
        </w:rPr>
        <w:t xml:space="preserve"> play a part in the cyclical insurance tendering process.</w:t>
      </w:r>
    </w:p>
    <w:p w14:paraId="0779664E" w14:textId="77777777" w:rsidR="00E53108" w:rsidRDefault="00552DF5" w:rsidP="00527616">
      <w:pPr>
        <w:pStyle w:val="Default"/>
        <w:spacing w:line="480" w:lineRule="auto"/>
        <w:ind w:firstLine="720"/>
        <w:rPr>
          <w:rFonts w:asciiTheme="minorHAnsi" w:hAnsiTheme="minorHAnsi" w:cstheme="minorHAnsi"/>
          <w:lang w:val="en-GB"/>
        </w:rPr>
      </w:pPr>
      <w:r w:rsidRPr="004350D8">
        <w:rPr>
          <w:rFonts w:asciiTheme="minorHAnsi" w:hAnsiTheme="minorHAnsi" w:cstheme="minorHAnsi"/>
          <w:lang w:val="en-GB"/>
        </w:rPr>
        <w:t xml:space="preserve">More broadly, </w:t>
      </w:r>
      <w:r w:rsidR="001A4A53">
        <w:rPr>
          <w:rFonts w:asciiTheme="minorHAnsi" w:hAnsiTheme="minorHAnsi" w:cstheme="minorHAnsi"/>
          <w:lang w:val="en-GB"/>
        </w:rPr>
        <w:t>what is the role which legal certainty plays in structuring the management of liability risks?</w:t>
      </w:r>
      <w:r w:rsidR="000926AB">
        <w:rPr>
          <w:rFonts w:asciiTheme="minorHAnsi" w:hAnsiTheme="minorHAnsi" w:cstheme="minorHAnsi"/>
          <w:lang w:val="en-GB"/>
        </w:rPr>
        <w:t xml:space="preserve"> </w:t>
      </w:r>
      <w:r w:rsidR="008A07B5">
        <w:rPr>
          <w:rFonts w:asciiTheme="minorHAnsi" w:hAnsiTheme="minorHAnsi" w:cstheme="minorHAnsi"/>
          <w:lang w:val="en-GB"/>
        </w:rPr>
        <w:t>It is tempting to suggest</w:t>
      </w:r>
      <w:r w:rsidR="000926AB">
        <w:rPr>
          <w:rFonts w:asciiTheme="minorHAnsi" w:hAnsiTheme="minorHAnsi" w:cstheme="minorHAnsi"/>
          <w:lang w:val="en-GB"/>
        </w:rPr>
        <w:t xml:space="preserve"> that in conditions of high legal certainty</w:t>
      </w:r>
      <w:r w:rsidR="000926AB" w:rsidRPr="000926AB">
        <w:rPr>
          <w:rFonts w:asciiTheme="minorHAnsi" w:hAnsiTheme="minorHAnsi" w:cstheme="minorHAnsi"/>
          <w:lang w:val="en-GB"/>
        </w:rPr>
        <w:t xml:space="preserve"> </w:t>
      </w:r>
      <w:r w:rsidR="008A07B5">
        <w:rPr>
          <w:rFonts w:asciiTheme="minorHAnsi" w:hAnsiTheme="minorHAnsi" w:cstheme="minorHAnsi"/>
          <w:lang w:val="en-GB"/>
        </w:rPr>
        <w:t>public authorities are more likely</w:t>
      </w:r>
      <w:r w:rsidR="000926AB" w:rsidRPr="004350D8">
        <w:rPr>
          <w:rFonts w:asciiTheme="minorHAnsi" w:hAnsiTheme="minorHAnsi" w:cstheme="minorHAnsi"/>
          <w:lang w:val="en-GB"/>
        </w:rPr>
        <w:t xml:space="preserve"> to focus on minimising the likelihood of liability arising whilst still delivering public services</w:t>
      </w:r>
      <w:r w:rsidR="000926AB">
        <w:rPr>
          <w:rFonts w:asciiTheme="minorHAnsi" w:hAnsiTheme="minorHAnsi" w:cstheme="minorHAnsi"/>
          <w:lang w:val="en-GB"/>
        </w:rPr>
        <w:t xml:space="preserve"> and, conversely, that</w:t>
      </w:r>
      <w:r w:rsidR="00131810" w:rsidRPr="004350D8">
        <w:rPr>
          <w:rFonts w:asciiTheme="minorHAnsi" w:hAnsiTheme="minorHAnsi" w:cstheme="minorHAnsi"/>
          <w:lang w:val="en-GB"/>
        </w:rPr>
        <w:t xml:space="preserve"> </w:t>
      </w:r>
      <w:r w:rsidR="001166E2" w:rsidRPr="004350D8">
        <w:rPr>
          <w:rFonts w:asciiTheme="minorHAnsi" w:hAnsiTheme="minorHAnsi" w:cstheme="minorHAnsi"/>
          <w:lang w:val="en-GB"/>
        </w:rPr>
        <w:t xml:space="preserve">in conditions of low legal certainty </w:t>
      </w:r>
      <w:r w:rsidR="007703AB" w:rsidRPr="004350D8">
        <w:rPr>
          <w:rFonts w:asciiTheme="minorHAnsi" w:hAnsiTheme="minorHAnsi" w:cstheme="minorHAnsi"/>
          <w:lang w:val="en-GB"/>
        </w:rPr>
        <w:t>public authorities</w:t>
      </w:r>
      <w:r w:rsidR="001166E2" w:rsidRPr="004350D8">
        <w:rPr>
          <w:rFonts w:asciiTheme="minorHAnsi" w:hAnsiTheme="minorHAnsi" w:cstheme="minorHAnsi"/>
          <w:lang w:val="en-GB"/>
        </w:rPr>
        <w:t xml:space="preserve"> are more likely to either withdraw from certain public services to avoid liability or to focus on mitigating the impact of liability when it arises. </w:t>
      </w:r>
      <w:r w:rsidR="000926AB">
        <w:rPr>
          <w:rFonts w:asciiTheme="minorHAnsi" w:hAnsiTheme="minorHAnsi" w:cstheme="minorHAnsi"/>
          <w:lang w:val="en-GB"/>
        </w:rPr>
        <w:t xml:space="preserve">Our comparative data, however, </w:t>
      </w:r>
      <w:r w:rsidR="00A6735E">
        <w:rPr>
          <w:rFonts w:asciiTheme="minorHAnsi" w:hAnsiTheme="minorHAnsi" w:cstheme="minorHAnsi"/>
          <w:lang w:val="en-GB"/>
        </w:rPr>
        <w:t>cannot</w:t>
      </w:r>
      <w:r w:rsidR="000926AB">
        <w:rPr>
          <w:rFonts w:asciiTheme="minorHAnsi" w:hAnsiTheme="minorHAnsi" w:cstheme="minorHAnsi"/>
          <w:lang w:val="en-GB"/>
        </w:rPr>
        <w:t xml:space="preserve"> support a conclusion to this effect and we must remain agnostic on </w:t>
      </w:r>
      <w:r w:rsidR="000926AB">
        <w:rPr>
          <w:rFonts w:asciiTheme="minorHAnsi" w:hAnsiTheme="minorHAnsi" w:cstheme="minorHAnsi"/>
          <w:lang w:val="en-GB"/>
        </w:rPr>
        <w:lastRenderedPageBreak/>
        <w:t>this question on the basis of this study. Although Scottish local authorities placed considerable stress on legal compliance as a liability risk-management approach, they could neither</w:t>
      </w:r>
      <w:r w:rsidR="008A07B5">
        <w:rPr>
          <w:rFonts w:asciiTheme="minorHAnsi" w:hAnsiTheme="minorHAnsi" w:cstheme="minorHAnsi"/>
          <w:lang w:val="en-GB"/>
        </w:rPr>
        <w:t xml:space="preserve"> </w:t>
      </w:r>
      <w:r w:rsidR="000926AB">
        <w:rPr>
          <w:rFonts w:asciiTheme="minorHAnsi" w:hAnsiTheme="minorHAnsi" w:cstheme="minorHAnsi"/>
          <w:lang w:val="en-GB"/>
        </w:rPr>
        <w:t xml:space="preserve">withdraw from service provision nor target claims management as a response to liability risk. Equally, our Irish data suggests that, even in conditions of low legal certainty, authorities </w:t>
      </w:r>
      <w:r w:rsidR="008A07B5">
        <w:rPr>
          <w:rFonts w:asciiTheme="minorHAnsi" w:hAnsiTheme="minorHAnsi" w:cstheme="minorHAnsi"/>
          <w:lang w:val="en-GB"/>
        </w:rPr>
        <w:t xml:space="preserve">may </w:t>
      </w:r>
      <w:r w:rsidR="00945DBC">
        <w:rPr>
          <w:rFonts w:asciiTheme="minorHAnsi" w:hAnsiTheme="minorHAnsi" w:cstheme="minorHAnsi"/>
          <w:lang w:val="en-GB"/>
        </w:rPr>
        <w:t xml:space="preserve">remain conscientious about seeking to fulfil the duty of care whilst </w:t>
      </w:r>
      <w:r w:rsidR="00A6735E">
        <w:rPr>
          <w:rFonts w:asciiTheme="minorHAnsi" w:hAnsiTheme="minorHAnsi" w:cstheme="minorHAnsi"/>
          <w:lang w:val="en-GB"/>
        </w:rPr>
        <w:t xml:space="preserve">nevertheless </w:t>
      </w:r>
      <w:r w:rsidR="00945DBC">
        <w:rPr>
          <w:rFonts w:asciiTheme="minorHAnsi" w:hAnsiTheme="minorHAnsi" w:cstheme="minorHAnsi"/>
          <w:lang w:val="en-GB"/>
        </w:rPr>
        <w:t>sceptical about how the courts would resolve a compensation claim.</w:t>
      </w:r>
    </w:p>
    <w:p w14:paraId="57566A18" w14:textId="77777777" w:rsidR="00661D94" w:rsidRDefault="00945DBC" w:rsidP="00527616">
      <w:pPr>
        <w:pStyle w:val="Default"/>
        <w:spacing w:line="480" w:lineRule="auto"/>
        <w:ind w:firstLine="720"/>
        <w:rPr>
          <w:rFonts w:asciiTheme="minorHAnsi" w:hAnsiTheme="minorHAnsi" w:cstheme="minorHAnsi"/>
        </w:rPr>
      </w:pPr>
      <w:r>
        <w:rPr>
          <w:rFonts w:asciiTheme="minorHAnsi" w:hAnsiTheme="minorHAnsi" w:cstheme="minorHAnsi"/>
          <w:lang w:val="en-GB"/>
        </w:rPr>
        <w:t>However, ou</w:t>
      </w:r>
      <w:r w:rsidR="008A07B5">
        <w:rPr>
          <w:rFonts w:asciiTheme="minorHAnsi" w:hAnsiTheme="minorHAnsi" w:cstheme="minorHAnsi"/>
          <w:lang w:val="en-GB"/>
        </w:rPr>
        <w:t>r</w:t>
      </w:r>
      <w:r w:rsidR="00E53108">
        <w:rPr>
          <w:rFonts w:asciiTheme="minorHAnsi" w:hAnsiTheme="minorHAnsi" w:cstheme="minorHAnsi"/>
          <w:lang w:val="en-GB"/>
        </w:rPr>
        <w:t xml:space="preserve"> data </w:t>
      </w:r>
      <w:r>
        <w:rPr>
          <w:rFonts w:asciiTheme="minorHAnsi" w:hAnsiTheme="minorHAnsi" w:cstheme="minorHAnsi"/>
          <w:lang w:val="en-GB"/>
        </w:rPr>
        <w:t xml:space="preserve">does </w:t>
      </w:r>
      <w:r w:rsidR="008A07B5">
        <w:rPr>
          <w:rFonts w:asciiTheme="minorHAnsi" w:hAnsiTheme="minorHAnsi" w:cstheme="minorHAnsi"/>
          <w:lang w:val="en-GB"/>
        </w:rPr>
        <w:t xml:space="preserve">permit a separate conclusion about the legal certainty </w:t>
      </w:r>
      <w:r>
        <w:rPr>
          <w:rFonts w:asciiTheme="minorHAnsi" w:hAnsiTheme="minorHAnsi" w:cstheme="minorHAnsi"/>
          <w:lang w:val="en-GB"/>
        </w:rPr>
        <w:t>enjoyed by Scottish authorities</w:t>
      </w:r>
      <w:r w:rsidR="008A07B5">
        <w:rPr>
          <w:rFonts w:asciiTheme="minorHAnsi" w:hAnsiTheme="minorHAnsi" w:cstheme="minorHAnsi"/>
          <w:lang w:val="en-GB"/>
        </w:rPr>
        <w:t>: it</w:t>
      </w:r>
      <w:r>
        <w:rPr>
          <w:rFonts w:asciiTheme="minorHAnsi" w:hAnsiTheme="minorHAnsi" w:cstheme="minorHAnsi"/>
          <w:lang w:val="en-GB"/>
        </w:rPr>
        <w:t xml:space="preserve"> </w:t>
      </w:r>
      <w:r w:rsidR="00131810" w:rsidRPr="004350D8">
        <w:rPr>
          <w:rFonts w:asciiTheme="minorHAnsi" w:hAnsiTheme="minorHAnsi" w:cstheme="minorHAnsi"/>
        </w:rPr>
        <w:t xml:space="preserve">is not simply a product of precise </w:t>
      </w:r>
      <w:r w:rsidR="00435500">
        <w:rPr>
          <w:rFonts w:asciiTheme="minorHAnsi" w:hAnsiTheme="minorHAnsi" w:cstheme="minorHAnsi"/>
        </w:rPr>
        <w:t xml:space="preserve">legal </w:t>
      </w:r>
      <w:r w:rsidR="00131810" w:rsidRPr="004350D8">
        <w:rPr>
          <w:rFonts w:asciiTheme="minorHAnsi" w:hAnsiTheme="minorHAnsi" w:cstheme="minorHAnsi"/>
        </w:rPr>
        <w:t>rules.</w:t>
      </w:r>
      <w:r w:rsidR="00785DAC">
        <w:rPr>
          <w:rStyle w:val="FootnoteReference"/>
          <w:rFonts w:asciiTheme="minorHAnsi" w:hAnsiTheme="minorHAnsi" w:cstheme="minorHAnsi"/>
        </w:rPr>
        <w:footnoteReference w:id="49"/>
      </w:r>
      <w:r w:rsidR="001166E2" w:rsidRPr="004350D8">
        <w:rPr>
          <w:rFonts w:asciiTheme="minorHAnsi" w:hAnsiTheme="minorHAnsi" w:cstheme="minorHAnsi"/>
        </w:rPr>
        <w:t xml:space="preserve"> </w:t>
      </w:r>
      <w:r w:rsidR="00E53108">
        <w:rPr>
          <w:rFonts w:asciiTheme="minorHAnsi" w:hAnsiTheme="minorHAnsi" w:cstheme="minorHAnsi"/>
        </w:rPr>
        <w:t xml:space="preserve">Much of the legal certainty enjoyed by Scottish local authorities was a product of the relationship between themselves and their claims handlers and the approach of the claims handlers to liability decision-making. </w:t>
      </w:r>
      <w:r w:rsidR="00661D94">
        <w:rPr>
          <w:rFonts w:asciiTheme="minorHAnsi" w:hAnsiTheme="minorHAnsi" w:cstheme="minorHAnsi"/>
        </w:rPr>
        <w:t>The private claims handlers were supportive of the bureaucratic rules developed by local authorities in seeking to meet the duty of care. Given that they resolved the vast majority of compensation claims, this permitted local authorities to operate with a sense of legal certainty.</w:t>
      </w:r>
    </w:p>
    <w:p w14:paraId="29310E8D" w14:textId="77777777" w:rsidR="004350D8" w:rsidRDefault="00435500" w:rsidP="00527616">
      <w:pPr>
        <w:pStyle w:val="Default"/>
        <w:spacing w:line="480" w:lineRule="auto"/>
        <w:ind w:firstLine="720"/>
        <w:rPr>
          <w:rFonts w:asciiTheme="minorHAnsi" w:hAnsiTheme="minorHAnsi" w:cstheme="minorHAnsi"/>
        </w:rPr>
      </w:pPr>
      <w:r>
        <w:rPr>
          <w:rFonts w:asciiTheme="minorHAnsi" w:hAnsiTheme="minorHAnsi" w:cstheme="minorHAnsi"/>
        </w:rPr>
        <w:t>O</w:t>
      </w:r>
      <w:r w:rsidR="007703AB" w:rsidRPr="004350D8">
        <w:rPr>
          <w:rFonts w:asciiTheme="minorHAnsi" w:hAnsiTheme="minorHAnsi" w:cstheme="minorHAnsi"/>
        </w:rPr>
        <w:t>ur</w:t>
      </w:r>
      <w:r w:rsidR="00267A4E" w:rsidRPr="004350D8">
        <w:rPr>
          <w:rFonts w:asciiTheme="minorHAnsi" w:hAnsiTheme="minorHAnsi" w:cstheme="minorHAnsi"/>
        </w:rPr>
        <w:t xml:space="preserve"> data</w:t>
      </w:r>
      <w:r w:rsidR="00E53108">
        <w:rPr>
          <w:rFonts w:asciiTheme="minorHAnsi" w:hAnsiTheme="minorHAnsi" w:cstheme="minorHAnsi"/>
        </w:rPr>
        <w:t xml:space="preserve"> further</w:t>
      </w:r>
      <w:r w:rsidR="00267A4E" w:rsidRPr="004350D8">
        <w:rPr>
          <w:rFonts w:asciiTheme="minorHAnsi" w:hAnsiTheme="minorHAnsi" w:cstheme="minorHAnsi"/>
        </w:rPr>
        <w:t xml:space="preserve"> demonstrate</w:t>
      </w:r>
      <w:r w:rsidR="007703AB" w:rsidRPr="004350D8">
        <w:rPr>
          <w:rFonts w:asciiTheme="minorHAnsi" w:hAnsiTheme="minorHAnsi" w:cstheme="minorHAnsi"/>
        </w:rPr>
        <w:t>s</w:t>
      </w:r>
      <w:r w:rsidR="00267A4E" w:rsidRPr="004350D8">
        <w:rPr>
          <w:rFonts w:asciiTheme="minorHAnsi" w:hAnsiTheme="minorHAnsi" w:cstheme="minorHAnsi"/>
        </w:rPr>
        <w:t xml:space="preserve"> that professional networks can</w:t>
      </w:r>
      <w:r w:rsidR="00661D94">
        <w:rPr>
          <w:rFonts w:asciiTheme="minorHAnsi" w:hAnsiTheme="minorHAnsi" w:cstheme="minorHAnsi"/>
        </w:rPr>
        <w:t xml:space="preserve"> also</w:t>
      </w:r>
      <w:r w:rsidR="00267A4E" w:rsidRPr="004350D8">
        <w:rPr>
          <w:rFonts w:asciiTheme="minorHAnsi" w:hAnsiTheme="minorHAnsi" w:cstheme="minorHAnsi"/>
        </w:rPr>
        <w:t xml:space="preserve"> play a part in </w:t>
      </w:r>
      <w:r w:rsidR="007703AB" w:rsidRPr="004350D8">
        <w:rPr>
          <w:rFonts w:asciiTheme="minorHAnsi" w:hAnsiTheme="minorHAnsi" w:cstheme="minorHAnsi"/>
        </w:rPr>
        <w:t xml:space="preserve">facilitating </w:t>
      </w:r>
      <w:r w:rsidR="00267A4E" w:rsidRPr="004350D8">
        <w:rPr>
          <w:rFonts w:asciiTheme="minorHAnsi" w:hAnsiTheme="minorHAnsi" w:cstheme="minorHAnsi"/>
        </w:rPr>
        <w:t xml:space="preserve">legal certainty. We noted above that SCOTS, a local network of Scottish roads officers, was involved in promoting </w:t>
      </w:r>
      <w:r w:rsidR="00791EE7">
        <w:rPr>
          <w:rFonts w:asciiTheme="minorHAnsi" w:hAnsiTheme="minorHAnsi" w:cstheme="minorHAnsi"/>
        </w:rPr>
        <w:t>legal compliance</w:t>
      </w:r>
      <w:r w:rsidR="00267A4E" w:rsidRPr="004350D8">
        <w:rPr>
          <w:rFonts w:asciiTheme="minorHAnsi" w:hAnsiTheme="minorHAnsi" w:cstheme="minorHAnsi"/>
        </w:rPr>
        <w:t xml:space="preserve">. Much more significant for the production of legal certainty, however, was the role played by a UK network of roads professionals called the Roads Liaison Group. This group was responsible for the </w:t>
      </w:r>
      <w:r w:rsidR="007223FD">
        <w:rPr>
          <w:rFonts w:asciiTheme="minorHAnsi" w:hAnsiTheme="minorHAnsi" w:cstheme="minorHAnsi"/>
        </w:rPr>
        <w:t xml:space="preserve">development and </w:t>
      </w:r>
      <w:r w:rsidR="00267A4E" w:rsidRPr="004350D8">
        <w:rPr>
          <w:rFonts w:asciiTheme="minorHAnsi" w:hAnsiTheme="minorHAnsi" w:cstheme="minorHAnsi"/>
        </w:rPr>
        <w:t xml:space="preserve">publication of </w:t>
      </w:r>
      <w:r w:rsidR="00267A4E" w:rsidRPr="004350D8">
        <w:rPr>
          <w:rFonts w:asciiTheme="minorHAnsi" w:hAnsiTheme="minorHAnsi" w:cstheme="minorHAnsi"/>
          <w:i/>
        </w:rPr>
        <w:t>Well Maintained Highways</w:t>
      </w:r>
      <w:r w:rsidR="004350D8">
        <w:rPr>
          <w:rFonts w:asciiTheme="minorHAnsi" w:hAnsiTheme="minorHAnsi" w:cstheme="minorHAnsi"/>
        </w:rPr>
        <w:t>.</w:t>
      </w:r>
      <w:r w:rsidR="004350D8" w:rsidRPr="004350D8">
        <w:rPr>
          <w:rFonts w:asciiTheme="minorHAnsi" w:hAnsiTheme="minorHAnsi" w:cstheme="minorHAnsi"/>
        </w:rPr>
        <w:t xml:space="preserve"> </w:t>
      </w:r>
      <w:r w:rsidR="007223FD">
        <w:rPr>
          <w:rFonts w:asciiTheme="minorHAnsi" w:hAnsiTheme="minorHAnsi" w:cstheme="minorHAnsi"/>
        </w:rPr>
        <w:t>As we noted above, these professional standards have been supported by the courts in terms of fleshing out the standard of care owed to road users. In this sense, the professionals who are subject to the duty of care have played a role in shaping it and lending certainty to it. This</w:t>
      </w:r>
      <w:r w:rsidR="004350D8" w:rsidRPr="004350D8">
        <w:rPr>
          <w:rFonts w:asciiTheme="minorHAnsi" w:hAnsiTheme="minorHAnsi" w:cstheme="minorHAnsi"/>
        </w:rPr>
        <w:t xml:space="preserve"> </w:t>
      </w:r>
      <w:r w:rsidR="007223FD">
        <w:rPr>
          <w:rFonts w:asciiTheme="minorHAnsi" w:hAnsiTheme="minorHAnsi" w:cstheme="minorHAnsi"/>
        </w:rPr>
        <w:t xml:space="preserve">is </w:t>
      </w:r>
      <w:r w:rsidR="004350D8" w:rsidRPr="004350D8">
        <w:rPr>
          <w:rFonts w:asciiTheme="minorHAnsi" w:hAnsiTheme="minorHAnsi" w:cstheme="minorHAnsi"/>
        </w:rPr>
        <w:t xml:space="preserve">a clear </w:t>
      </w:r>
      <w:r w:rsidR="004350D8" w:rsidRPr="004350D8">
        <w:rPr>
          <w:rFonts w:asciiTheme="minorHAnsi" w:hAnsiTheme="minorHAnsi" w:cstheme="minorHAnsi"/>
        </w:rPr>
        <w:lastRenderedPageBreak/>
        <w:t>illustration of what Edelman</w:t>
      </w:r>
      <w:r w:rsidR="00785DAC">
        <w:rPr>
          <w:rStyle w:val="FootnoteReference"/>
          <w:rFonts w:asciiTheme="minorHAnsi" w:hAnsiTheme="minorHAnsi" w:cstheme="minorHAnsi"/>
        </w:rPr>
        <w:footnoteReference w:id="50"/>
      </w:r>
      <w:r w:rsidR="004350D8" w:rsidRPr="004350D8">
        <w:rPr>
          <w:rFonts w:asciiTheme="minorHAnsi" w:hAnsiTheme="minorHAnsi" w:cstheme="minorHAnsi"/>
        </w:rPr>
        <w:t xml:space="preserve"> </w:t>
      </w:r>
      <w:r w:rsidR="007223FD">
        <w:rPr>
          <w:rFonts w:asciiTheme="minorHAnsi" w:hAnsiTheme="minorHAnsi" w:cstheme="minorHAnsi"/>
        </w:rPr>
        <w:t xml:space="preserve">has </w:t>
      </w:r>
      <w:r w:rsidR="004350D8" w:rsidRPr="004350D8">
        <w:rPr>
          <w:rFonts w:asciiTheme="minorHAnsi" w:hAnsiTheme="minorHAnsi" w:cstheme="minorHAnsi"/>
        </w:rPr>
        <w:t>call</w:t>
      </w:r>
      <w:r w:rsidR="007223FD">
        <w:rPr>
          <w:rFonts w:asciiTheme="minorHAnsi" w:hAnsiTheme="minorHAnsi" w:cstheme="minorHAnsi"/>
        </w:rPr>
        <w:t>ed</w:t>
      </w:r>
      <w:r w:rsidR="004350D8" w:rsidRPr="004350D8">
        <w:rPr>
          <w:rFonts w:asciiTheme="minorHAnsi" w:hAnsiTheme="minorHAnsi" w:cstheme="minorHAnsi"/>
        </w:rPr>
        <w:t xml:space="preserve"> ‘endogenous law’</w:t>
      </w:r>
      <w:r w:rsidR="00785DAC">
        <w:rPr>
          <w:rFonts w:asciiTheme="minorHAnsi" w:hAnsiTheme="minorHAnsi" w:cstheme="minorHAnsi"/>
        </w:rPr>
        <w:t xml:space="preserve"> </w:t>
      </w:r>
      <w:r w:rsidR="007223FD">
        <w:rPr>
          <w:rFonts w:asciiTheme="minorHAnsi" w:hAnsiTheme="minorHAnsi" w:cstheme="minorHAnsi"/>
        </w:rPr>
        <w:t>– the notion</w:t>
      </w:r>
      <w:r w:rsidR="004350D8" w:rsidRPr="004350D8">
        <w:rPr>
          <w:rFonts w:asciiTheme="minorHAnsi" w:hAnsiTheme="minorHAnsi" w:cstheme="minorHAnsi"/>
        </w:rPr>
        <w:t xml:space="preserve"> that law and organisations form part of each other. Rather than seeing law as an entirely separate and external (‘exogenous’) entity which may simply be embraced or resisted by organisations, we should see law and organisations as inhabiting ‘fields’ which overlap and penetrate each other. Just as legal norms may be received into </w:t>
      </w:r>
      <w:r w:rsidR="00E80F89">
        <w:rPr>
          <w:rFonts w:asciiTheme="minorHAnsi" w:hAnsiTheme="minorHAnsi" w:cstheme="minorHAnsi"/>
        </w:rPr>
        <w:t>organizational</w:t>
      </w:r>
      <w:r w:rsidR="004350D8" w:rsidRPr="004350D8">
        <w:rPr>
          <w:rFonts w:asciiTheme="minorHAnsi" w:hAnsiTheme="minorHAnsi" w:cstheme="minorHAnsi"/>
        </w:rPr>
        <w:t xml:space="preserve"> logics, so may </w:t>
      </w:r>
      <w:r w:rsidR="00E80F89">
        <w:rPr>
          <w:rFonts w:asciiTheme="minorHAnsi" w:hAnsiTheme="minorHAnsi" w:cstheme="minorHAnsi"/>
        </w:rPr>
        <w:t>organizational</w:t>
      </w:r>
      <w:r w:rsidR="004350D8" w:rsidRPr="004350D8">
        <w:rPr>
          <w:rFonts w:asciiTheme="minorHAnsi" w:hAnsiTheme="minorHAnsi" w:cstheme="minorHAnsi"/>
        </w:rPr>
        <w:t xml:space="preserve"> logics be received into legal norms. Courts may defer to and incorporate </w:t>
      </w:r>
      <w:r w:rsidR="00E80F89">
        <w:rPr>
          <w:rFonts w:asciiTheme="minorHAnsi" w:hAnsiTheme="minorHAnsi" w:cstheme="minorHAnsi"/>
        </w:rPr>
        <w:t>organizational</w:t>
      </w:r>
      <w:r w:rsidR="004350D8" w:rsidRPr="004350D8">
        <w:rPr>
          <w:rFonts w:asciiTheme="minorHAnsi" w:hAnsiTheme="minorHAnsi" w:cstheme="minorHAnsi"/>
        </w:rPr>
        <w:t xml:space="preserve"> understandings of rational modes of legal compliance.</w:t>
      </w:r>
      <w:r w:rsidR="004350D8" w:rsidRPr="004350D8">
        <w:rPr>
          <w:rStyle w:val="FootnoteReference"/>
          <w:rFonts w:asciiTheme="minorHAnsi" w:hAnsiTheme="minorHAnsi" w:cstheme="minorHAnsi"/>
        </w:rPr>
        <w:footnoteReference w:id="51"/>
      </w:r>
      <w:r w:rsidR="004350D8" w:rsidRPr="004350D8">
        <w:rPr>
          <w:rFonts w:asciiTheme="minorHAnsi" w:hAnsiTheme="minorHAnsi" w:cstheme="minorHAnsi"/>
        </w:rPr>
        <w:t xml:space="preserve"> Where networks or communities of professionals are engaged in both the development and formal pronouncement of </w:t>
      </w:r>
      <w:r w:rsidR="00791EE7">
        <w:rPr>
          <w:rFonts w:asciiTheme="minorHAnsi" w:hAnsiTheme="minorHAnsi" w:cstheme="minorHAnsi"/>
        </w:rPr>
        <w:t>professional standards</w:t>
      </w:r>
      <w:r w:rsidR="00E53108">
        <w:rPr>
          <w:rFonts w:asciiTheme="minorHAnsi" w:hAnsiTheme="minorHAnsi" w:cstheme="minorHAnsi"/>
        </w:rPr>
        <w:t>,</w:t>
      </w:r>
      <w:r w:rsidR="004350D8" w:rsidRPr="004350D8">
        <w:rPr>
          <w:rFonts w:asciiTheme="minorHAnsi" w:hAnsiTheme="minorHAnsi" w:cstheme="minorHAnsi"/>
        </w:rPr>
        <w:t xml:space="preserve"> they </w:t>
      </w:r>
      <w:r w:rsidR="00791EE7">
        <w:rPr>
          <w:rFonts w:asciiTheme="minorHAnsi" w:hAnsiTheme="minorHAnsi" w:cstheme="minorHAnsi"/>
        </w:rPr>
        <w:t xml:space="preserve">may </w:t>
      </w:r>
      <w:r w:rsidR="004350D8" w:rsidRPr="004350D8">
        <w:rPr>
          <w:rFonts w:asciiTheme="minorHAnsi" w:hAnsiTheme="minorHAnsi" w:cstheme="minorHAnsi"/>
        </w:rPr>
        <w:t>shape the impact of tort law.</w:t>
      </w:r>
    </w:p>
    <w:p w14:paraId="5A07FABB" w14:textId="77777777" w:rsidR="00267A4E" w:rsidRDefault="007855CD" w:rsidP="00527616">
      <w:pPr>
        <w:pStyle w:val="Default"/>
        <w:spacing w:line="480" w:lineRule="auto"/>
        <w:ind w:firstLine="720"/>
        <w:rPr>
          <w:rFonts w:asciiTheme="minorHAnsi" w:hAnsiTheme="minorHAnsi" w:cstheme="minorHAnsi"/>
          <w:lang w:val="en-GB"/>
        </w:rPr>
      </w:pPr>
      <w:r>
        <w:rPr>
          <w:rFonts w:asciiTheme="minorHAnsi" w:hAnsiTheme="minorHAnsi" w:cstheme="minorHAnsi"/>
        </w:rPr>
        <w:t>And, in light of our findings, h</w:t>
      </w:r>
      <w:r w:rsidR="0035712D">
        <w:rPr>
          <w:rFonts w:asciiTheme="minorHAnsi" w:hAnsiTheme="minorHAnsi" w:cstheme="minorHAnsi"/>
        </w:rPr>
        <w:t xml:space="preserve">ow should we assess </w:t>
      </w:r>
      <w:r>
        <w:rPr>
          <w:rFonts w:asciiTheme="minorHAnsi" w:hAnsiTheme="minorHAnsi" w:cstheme="minorHAnsi"/>
        </w:rPr>
        <w:t xml:space="preserve">the </w:t>
      </w:r>
      <w:r w:rsidR="00495A5B">
        <w:rPr>
          <w:rFonts w:asciiTheme="minorHAnsi" w:hAnsiTheme="minorHAnsi" w:cstheme="minorHAnsi"/>
        </w:rPr>
        <w:t xml:space="preserve">compensation culture </w:t>
      </w:r>
      <w:r w:rsidR="0035712D">
        <w:rPr>
          <w:rFonts w:asciiTheme="minorHAnsi" w:hAnsiTheme="minorHAnsi" w:cstheme="minorHAnsi"/>
        </w:rPr>
        <w:t xml:space="preserve">fears </w:t>
      </w:r>
      <w:r>
        <w:rPr>
          <w:rFonts w:asciiTheme="minorHAnsi" w:hAnsiTheme="minorHAnsi" w:cstheme="minorHAnsi"/>
        </w:rPr>
        <w:t>outlined in our introduction? In terms of excessive risk-aversion, our data certainly confirms that this is a response on the part of some local authorities. However,</w:t>
      </w:r>
      <w:r w:rsidR="006552EA">
        <w:rPr>
          <w:rFonts w:asciiTheme="minorHAnsi" w:hAnsiTheme="minorHAnsi" w:cstheme="minorHAnsi"/>
        </w:rPr>
        <w:t xml:space="preserve"> </w:t>
      </w:r>
      <w:r w:rsidR="00410026">
        <w:rPr>
          <w:rFonts w:asciiTheme="minorHAnsi" w:hAnsiTheme="minorHAnsi" w:cstheme="minorHAnsi"/>
        </w:rPr>
        <w:t>our</w:t>
      </w:r>
      <w:r>
        <w:rPr>
          <w:rFonts w:asciiTheme="minorHAnsi" w:hAnsiTheme="minorHAnsi" w:cstheme="minorHAnsi"/>
        </w:rPr>
        <w:t xml:space="preserve"> data also suggests that excessively risk-averse instincts have to compete with conflicting accountability pressures. Clearly, how such conflicts are resolved</w:t>
      </w:r>
      <w:r w:rsidR="00031745">
        <w:rPr>
          <w:rFonts w:asciiTheme="minorHAnsi" w:hAnsiTheme="minorHAnsi" w:cstheme="minorHAnsi"/>
        </w:rPr>
        <w:t xml:space="preserve"> will vary from context to context. M</w:t>
      </w:r>
      <w:r>
        <w:rPr>
          <w:rFonts w:asciiTheme="minorHAnsi" w:hAnsiTheme="minorHAnsi" w:cstheme="minorHAnsi"/>
        </w:rPr>
        <w:t xml:space="preserve">uch will depend on the strength of bottom-up pressures, such as complaints systems, </w:t>
      </w:r>
      <w:r w:rsidR="00096AE0">
        <w:rPr>
          <w:rFonts w:asciiTheme="minorHAnsi" w:hAnsiTheme="minorHAnsi" w:cstheme="minorHAnsi"/>
        </w:rPr>
        <w:t xml:space="preserve">to continue the public service activity which gives rise to the liability risk </w:t>
      </w:r>
      <w:r>
        <w:rPr>
          <w:rFonts w:asciiTheme="minorHAnsi" w:hAnsiTheme="minorHAnsi" w:cstheme="minorHAnsi"/>
        </w:rPr>
        <w:t xml:space="preserve">or </w:t>
      </w:r>
      <w:r w:rsidR="00096AE0">
        <w:rPr>
          <w:rFonts w:asciiTheme="minorHAnsi" w:hAnsiTheme="minorHAnsi" w:cstheme="minorHAnsi"/>
        </w:rPr>
        <w:t xml:space="preserve">similar </w:t>
      </w:r>
      <w:r>
        <w:rPr>
          <w:rFonts w:asciiTheme="minorHAnsi" w:hAnsiTheme="minorHAnsi" w:cstheme="minorHAnsi"/>
        </w:rPr>
        <w:t xml:space="preserve">top down pressures such as performance audit </w:t>
      </w:r>
      <w:r w:rsidR="008F3AD6">
        <w:rPr>
          <w:rFonts w:asciiTheme="minorHAnsi" w:hAnsiTheme="minorHAnsi" w:cstheme="minorHAnsi"/>
        </w:rPr>
        <w:t>or</w:t>
      </w:r>
      <w:r>
        <w:rPr>
          <w:rFonts w:asciiTheme="minorHAnsi" w:hAnsiTheme="minorHAnsi" w:cstheme="minorHAnsi"/>
        </w:rPr>
        <w:t xml:space="preserve"> regulation</w:t>
      </w:r>
      <w:r w:rsidR="00031745">
        <w:rPr>
          <w:rFonts w:asciiTheme="minorHAnsi" w:hAnsiTheme="minorHAnsi" w:cstheme="minorHAnsi"/>
        </w:rPr>
        <w:t>. Equally, much will depend on what is at stake for public authorities should liability attach. The stakes</w:t>
      </w:r>
      <w:r w:rsidR="00031745" w:rsidRPr="00031745">
        <w:rPr>
          <w:rFonts w:asciiTheme="minorHAnsi" w:hAnsiTheme="minorHAnsi" w:cstheme="minorHAnsi"/>
        </w:rPr>
        <w:t xml:space="preserve"> </w:t>
      </w:r>
      <w:r w:rsidR="00031745" w:rsidRPr="00031745">
        <w:rPr>
          <w:rFonts w:asciiTheme="minorHAnsi" w:hAnsiTheme="minorHAnsi" w:cstheme="minorHAnsi"/>
          <w:lang w:val="en-GB"/>
        </w:rPr>
        <w:t xml:space="preserve">extend beyond the financial losses associated with liability. Most organisations will additionally be concerned to protect </w:t>
      </w:r>
      <w:r w:rsidR="00031745" w:rsidRPr="00031745">
        <w:rPr>
          <w:rFonts w:asciiTheme="minorHAnsi" w:hAnsiTheme="minorHAnsi" w:cstheme="minorHAnsi"/>
          <w:lang w:val="en-GB"/>
        </w:rPr>
        <w:lastRenderedPageBreak/>
        <w:t>against reputational harm associated with legal processes.</w:t>
      </w:r>
      <w:r w:rsidR="00E80F89">
        <w:rPr>
          <w:rStyle w:val="FootnoteReference"/>
          <w:rFonts w:asciiTheme="minorHAnsi" w:hAnsiTheme="minorHAnsi" w:cstheme="minorHAnsi"/>
          <w:lang w:val="en-GB"/>
        </w:rPr>
        <w:footnoteReference w:id="52"/>
      </w:r>
      <w:r w:rsidR="00031745">
        <w:rPr>
          <w:rFonts w:asciiTheme="minorHAnsi" w:hAnsiTheme="minorHAnsi" w:cstheme="minorHAnsi"/>
          <w:lang w:val="en-GB"/>
        </w:rPr>
        <w:t xml:space="preserve"> The reputational costs of liability </w:t>
      </w:r>
      <w:r w:rsidR="008F3AD6">
        <w:rPr>
          <w:rFonts w:asciiTheme="minorHAnsi" w:hAnsiTheme="minorHAnsi" w:cstheme="minorHAnsi"/>
          <w:lang w:val="en-GB"/>
        </w:rPr>
        <w:t>from</w:t>
      </w:r>
      <w:r w:rsidR="00031745">
        <w:rPr>
          <w:rFonts w:asciiTheme="minorHAnsi" w:hAnsiTheme="minorHAnsi" w:cstheme="minorHAnsi"/>
          <w:lang w:val="en-GB"/>
        </w:rPr>
        <w:t xml:space="preserve"> road maintenance </w:t>
      </w:r>
      <w:r w:rsidR="008F3AD6">
        <w:rPr>
          <w:rFonts w:asciiTheme="minorHAnsi" w:hAnsiTheme="minorHAnsi" w:cstheme="minorHAnsi"/>
          <w:lang w:val="en-GB"/>
        </w:rPr>
        <w:t xml:space="preserve">operations </w:t>
      </w:r>
      <w:r w:rsidR="00031745">
        <w:rPr>
          <w:rFonts w:asciiTheme="minorHAnsi" w:hAnsiTheme="minorHAnsi" w:cstheme="minorHAnsi"/>
          <w:lang w:val="en-GB"/>
        </w:rPr>
        <w:t>are, arguably, less than in the fields of, for example, social work</w:t>
      </w:r>
      <w:r w:rsidR="001A4F92">
        <w:rPr>
          <w:rFonts w:asciiTheme="minorHAnsi" w:hAnsiTheme="minorHAnsi" w:cstheme="minorHAnsi"/>
          <w:lang w:val="en-GB"/>
        </w:rPr>
        <w:t>,</w:t>
      </w:r>
      <w:r w:rsidR="00031745">
        <w:rPr>
          <w:rFonts w:asciiTheme="minorHAnsi" w:hAnsiTheme="minorHAnsi" w:cstheme="minorHAnsi"/>
          <w:lang w:val="en-GB"/>
        </w:rPr>
        <w:t xml:space="preserve"> education</w:t>
      </w:r>
      <w:r w:rsidR="001A4F92" w:rsidRPr="001A4F92">
        <w:rPr>
          <w:rFonts w:asciiTheme="minorHAnsi" w:hAnsiTheme="minorHAnsi" w:cstheme="minorHAnsi"/>
          <w:lang w:val="en-GB"/>
        </w:rPr>
        <w:t xml:space="preserve"> </w:t>
      </w:r>
      <w:r w:rsidR="001A4F92">
        <w:rPr>
          <w:rFonts w:asciiTheme="minorHAnsi" w:hAnsiTheme="minorHAnsi" w:cstheme="minorHAnsi"/>
          <w:lang w:val="en-GB"/>
        </w:rPr>
        <w:t>or policing</w:t>
      </w:r>
      <w:r w:rsidR="00031745">
        <w:rPr>
          <w:rFonts w:asciiTheme="minorHAnsi" w:hAnsiTheme="minorHAnsi" w:cstheme="minorHAnsi"/>
          <w:lang w:val="en-GB"/>
        </w:rPr>
        <w:t xml:space="preserve">. </w:t>
      </w:r>
    </w:p>
    <w:p w14:paraId="7F2ACB05" w14:textId="77777777" w:rsidR="00CF5E28" w:rsidRDefault="00CF5E28" w:rsidP="00527616">
      <w:pPr>
        <w:pStyle w:val="Default"/>
        <w:spacing w:line="480" w:lineRule="auto"/>
        <w:ind w:firstLine="720"/>
        <w:rPr>
          <w:rFonts w:asciiTheme="minorHAnsi" w:hAnsiTheme="minorHAnsi" w:cstheme="minorHAnsi"/>
        </w:rPr>
      </w:pPr>
      <w:r>
        <w:rPr>
          <w:rFonts w:asciiTheme="minorHAnsi" w:hAnsiTheme="minorHAnsi" w:cstheme="minorHAnsi"/>
        </w:rPr>
        <w:t xml:space="preserve">In terms of the financial implications of liability risk management and the potential diversion of public resources towards insurance premiums and compensation awards, </w:t>
      </w:r>
      <w:r w:rsidR="00781951">
        <w:rPr>
          <w:rFonts w:asciiTheme="minorHAnsi" w:hAnsiTheme="minorHAnsi" w:cstheme="minorHAnsi"/>
        </w:rPr>
        <w:t>our data suggests th</w:t>
      </w:r>
      <w:r w:rsidR="00E12137">
        <w:rPr>
          <w:rFonts w:asciiTheme="minorHAnsi" w:hAnsiTheme="minorHAnsi" w:cstheme="minorHAnsi"/>
        </w:rPr>
        <w:t>at we should be wary of an</w:t>
      </w:r>
      <w:r w:rsidR="00781951">
        <w:rPr>
          <w:rFonts w:asciiTheme="minorHAnsi" w:hAnsiTheme="minorHAnsi" w:cstheme="minorHAnsi"/>
        </w:rPr>
        <w:t xml:space="preserve"> easy calculus here. The internal financial management of insurance costs (including compensation awards) can mean that, at a departmental level, there is no direct relationship between liability costs and service budgets. In </w:t>
      </w:r>
      <w:r w:rsidR="00164FCD">
        <w:rPr>
          <w:rFonts w:asciiTheme="minorHAnsi" w:hAnsiTheme="minorHAnsi" w:cstheme="minorHAnsi"/>
        </w:rPr>
        <w:t>our</w:t>
      </w:r>
      <w:r w:rsidR="00781951">
        <w:rPr>
          <w:rFonts w:asciiTheme="minorHAnsi" w:hAnsiTheme="minorHAnsi" w:cstheme="minorHAnsi"/>
        </w:rPr>
        <w:t xml:space="preserve"> Scottish case study authorities, liability costs were spread over the local authority as a whole. Of course, more broadly, </w:t>
      </w:r>
      <w:r>
        <w:rPr>
          <w:rFonts w:asciiTheme="minorHAnsi" w:hAnsiTheme="minorHAnsi" w:cstheme="minorHAnsi"/>
        </w:rPr>
        <w:t xml:space="preserve">it is certainly </w:t>
      </w:r>
      <w:r w:rsidR="00E12137">
        <w:rPr>
          <w:rFonts w:asciiTheme="minorHAnsi" w:hAnsiTheme="minorHAnsi" w:cstheme="minorHAnsi"/>
        </w:rPr>
        <w:t xml:space="preserve">incontestable </w:t>
      </w:r>
      <w:r w:rsidR="001E0030">
        <w:rPr>
          <w:rFonts w:asciiTheme="minorHAnsi" w:hAnsiTheme="minorHAnsi" w:cstheme="minorHAnsi"/>
        </w:rPr>
        <w:t>that</w:t>
      </w:r>
      <w:r>
        <w:rPr>
          <w:rFonts w:asciiTheme="minorHAnsi" w:hAnsiTheme="minorHAnsi" w:cstheme="minorHAnsi"/>
        </w:rPr>
        <w:t xml:space="preserve"> where </w:t>
      </w:r>
      <w:r w:rsidR="00781951">
        <w:rPr>
          <w:rFonts w:asciiTheme="minorHAnsi" w:hAnsiTheme="minorHAnsi" w:cstheme="minorHAnsi"/>
        </w:rPr>
        <w:t xml:space="preserve">local authority </w:t>
      </w:r>
      <w:r>
        <w:rPr>
          <w:rFonts w:asciiTheme="minorHAnsi" w:hAnsiTheme="minorHAnsi" w:cstheme="minorHAnsi"/>
        </w:rPr>
        <w:t xml:space="preserve">resources are devoted to </w:t>
      </w:r>
      <w:r w:rsidR="00781951">
        <w:rPr>
          <w:rFonts w:asciiTheme="minorHAnsi" w:hAnsiTheme="minorHAnsi" w:cstheme="minorHAnsi"/>
        </w:rPr>
        <w:t>insurance premiums and compensation awards</w:t>
      </w:r>
      <w:r>
        <w:rPr>
          <w:rFonts w:asciiTheme="minorHAnsi" w:hAnsiTheme="minorHAnsi" w:cstheme="minorHAnsi"/>
        </w:rPr>
        <w:t xml:space="preserve"> there will be less money </w:t>
      </w:r>
      <w:r w:rsidR="00781951">
        <w:rPr>
          <w:rFonts w:asciiTheme="minorHAnsi" w:hAnsiTheme="minorHAnsi" w:cstheme="minorHAnsi"/>
        </w:rPr>
        <w:t xml:space="preserve">in general </w:t>
      </w:r>
      <w:r>
        <w:rPr>
          <w:rFonts w:asciiTheme="minorHAnsi" w:hAnsiTheme="minorHAnsi" w:cstheme="minorHAnsi"/>
        </w:rPr>
        <w:t xml:space="preserve">for service provision. </w:t>
      </w:r>
      <w:r w:rsidR="009869EC">
        <w:rPr>
          <w:rFonts w:asciiTheme="minorHAnsi" w:hAnsiTheme="minorHAnsi" w:cstheme="minorHAnsi"/>
        </w:rPr>
        <w:t xml:space="preserve">Equally, insurance companies, when setting premiums, will take into account an authority’s ‘claims history’ – i.e. its record of compensation claims which resulted in damages being paid. </w:t>
      </w:r>
      <w:r>
        <w:rPr>
          <w:rFonts w:asciiTheme="minorHAnsi" w:hAnsiTheme="minorHAnsi" w:cstheme="minorHAnsi"/>
        </w:rPr>
        <w:t xml:space="preserve">However, </w:t>
      </w:r>
      <w:r w:rsidR="00781951">
        <w:rPr>
          <w:rFonts w:asciiTheme="minorHAnsi" w:hAnsiTheme="minorHAnsi" w:cstheme="minorHAnsi"/>
        </w:rPr>
        <w:t xml:space="preserve">there are two </w:t>
      </w:r>
      <w:r w:rsidR="009869EC">
        <w:rPr>
          <w:rFonts w:asciiTheme="minorHAnsi" w:hAnsiTheme="minorHAnsi" w:cstheme="minorHAnsi"/>
        </w:rPr>
        <w:t>important</w:t>
      </w:r>
      <w:r w:rsidR="00781951">
        <w:rPr>
          <w:rFonts w:asciiTheme="minorHAnsi" w:hAnsiTheme="minorHAnsi" w:cstheme="minorHAnsi"/>
        </w:rPr>
        <w:t xml:space="preserve"> points to bear in mind here. First, </w:t>
      </w:r>
      <w:r>
        <w:rPr>
          <w:rFonts w:asciiTheme="minorHAnsi" w:hAnsiTheme="minorHAnsi" w:cstheme="minorHAnsi"/>
        </w:rPr>
        <w:t xml:space="preserve">local authority insurance contracts are fairly comprehensive and liability is </w:t>
      </w:r>
      <w:r w:rsidR="006175FF">
        <w:rPr>
          <w:rFonts w:asciiTheme="minorHAnsi" w:hAnsiTheme="minorHAnsi" w:cstheme="minorHAnsi"/>
        </w:rPr>
        <w:t xml:space="preserve">a </w:t>
      </w:r>
      <w:r>
        <w:rPr>
          <w:rFonts w:asciiTheme="minorHAnsi" w:hAnsiTheme="minorHAnsi" w:cstheme="minorHAnsi"/>
        </w:rPr>
        <w:t>relatively small area of coverage</w:t>
      </w:r>
      <w:r w:rsidR="006175FF">
        <w:rPr>
          <w:rFonts w:asciiTheme="minorHAnsi" w:hAnsiTheme="minorHAnsi" w:cstheme="minorHAnsi"/>
        </w:rPr>
        <w:t xml:space="preserve"> within the policy</w:t>
      </w:r>
      <w:r>
        <w:rPr>
          <w:rFonts w:asciiTheme="minorHAnsi" w:hAnsiTheme="minorHAnsi" w:cstheme="minorHAnsi"/>
        </w:rPr>
        <w:t>. In Beulah, for example, public liability insurance accounted for just over 20% of the premium. In Knockbrex,</w:t>
      </w:r>
      <w:r w:rsidR="006175FF">
        <w:rPr>
          <w:rFonts w:asciiTheme="minorHAnsi" w:hAnsiTheme="minorHAnsi" w:cstheme="minorHAnsi"/>
        </w:rPr>
        <w:t xml:space="preserve"> it accounted for</w:t>
      </w:r>
      <w:r>
        <w:rPr>
          <w:rFonts w:asciiTheme="minorHAnsi" w:hAnsiTheme="minorHAnsi" w:cstheme="minorHAnsi"/>
        </w:rPr>
        <w:t xml:space="preserve"> </w:t>
      </w:r>
      <w:r w:rsidR="006175FF">
        <w:rPr>
          <w:rFonts w:asciiTheme="minorHAnsi" w:hAnsiTheme="minorHAnsi" w:cstheme="minorHAnsi"/>
        </w:rPr>
        <w:t>approximately eight per cent of the premium</w:t>
      </w:r>
      <w:r>
        <w:rPr>
          <w:rFonts w:asciiTheme="minorHAnsi" w:hAnsiTheme="minorHAnsi" w:cstheme="minorHAnsi"/>
        </w:rPr>
        <w:t>.</w:t>
      </w:r>
      <w:r w:rsidR="00983F93">
        <w:rPr>
          <w:rFonts w:asciiTheme="minorHAnsi" w:hAnsiTheme="minorHAnsi" w:cstheme="minorHAnsi"/>
        </w:rPr>
        <w:t xml:space="preserve"> </w:t>
      </w:r>
      <w:r w:rsidR="001A2E37">
        <w:rPr>
          <w:rFonts w:asciiTheme="minorHAnsi" w:hAnsiTheme="minorHAnsi" w:cstheme="minorHAnsi"/>
        </w:rPr>
        <w:t>Costs</w:t>
      </w:r>
      <w:r w:rsidR="00983F93">
        <w:rPr>
          <w:rFonts w:asciiTheme="minorHAnsi" w:hAnsiTheme="minorHAnsi" w:cstheme="minorHAnsi"/>
        </w:rPr>
        <w:t xml:space="preserve"> </w:t>
      </w:r>
      <w:r w:rsidR="001E0030">
        <w:rPr>
          <w:rFonts w:asciiTheme="minorHAnsi" w:hAnsiTheme="minorHAnsi" w:cstheme="minorHAnsi"/>
        </w:rPr>
        <w:t>incurred</w:t>
      </w:r>
      <w:r w:rsidR="00983F93">
        <w:rPr>
          <w:rFonts w:asciiTheme="minorHAnsi" w:hAnsiTheme="minorHAnsi" w:cstheme="minorHAnsi"/>
        </w:rPr>
        <w:t xml:space="preserve"> </w:t>
      </w:r>
      <w:r w:rsidR="001E0030">
        <w:rPr>
          <w:rFonts w:asciiTheme="minorHAnsi" w:hAnsiTheme="minorHAnsi" w:cstheme="minorHAnsi"/>
        </w:rPr>
        <w:t>as a result of</w:t>
      </w:r>
      <w:r w:rsidR="00983F93">
        <w:rPr>
          <w:rFonts w:asciiTheme="minorHAnsi" w:hAnsiTheme="minorHAnsi" w:cstheme="minorHAnsi"/>
        </w:rPr>
        <w:t xml:space="preserve"> </w:t>
      </w:r>
      <w:r w:rsidR="001E0030">
        <w:rPr>
          <w:rFonts w:asciiTheme="minorHAnsi" w:hAnsiTheme="minorHAnsi" w:cstheme="minorHAnsi"/>
        </w:rPr>
        <w:t>claims in tort</w:t>
      </w:r>
      <w:r w:rsidR="00983F93">
        <w:rPr>
          <w:rFonts w:asciiTheme="minorHAnsi" w:hAnsiTheme="minorHAnsi" w:cstheme="minorHAnsi"/>
        </w:rPr>
        <w:t xml:space="preserve">, then, could easily be </w:t>
      </w:r>
      <w:r w:rsidR="001A2E37">
        <w:rPr>
          <w:rFonts w:asciiTheme="minorHAnsi" w:hAnsiTheme="minorHAnsi" w:cstheme="minorHAnsi"/>
        </w:rPr>
        <w:t>marginal</w:t>
      </w:r>
      <w:r w:rsidR="00983F93">
        <w:rPr>
          <w:rFonts w:asciiTheme="minorHAnsi" w:hAnsiTheme="minorHAnsi" w:cstheme="minorHAnsi"/>
        </w:rPr>
        <w:t xml:space="preserve"> for </w:t>
      </w:r>
      <w:r w:rsidR="00610A5D">
        <w:rPr>
          <w:rFonts w:asciiTheme="minorHAnsi" w:hAnsiTheme="minorHAnsi" w:cstheme="minorHAnsi"/>
        </w:rPr>
        <w:t xml:space="preserve">the </w:t>
      </w:r>
      <w:r w:rsidR="001E0030">
        <w:rPr>
          <w:rFonts w:asciiTheme="minorHAnsi" w:hAnsiTheme="minorHAnsi" w:cstheme="minorHAnsi"/>
        </w:rPr>
        <w:t>price</w:t>
      </w:r>
      <w:r w:rsidR="00C830A6">
        <w:rPr>
          <w:rFonts w:asciiTheme="minorHAnsi" w:hAnsiTheme="minorHAnsi" w:cstheme="minorHAnsi"/>
        </w:rPr>
        <w:t xml:space="preserve"> of </w:t>
      </w:r>
      <w:r w:rsidR="00983F93">
        <w:rPr>
          <w:rFonts w:asciiTheme="minorHAnsi" w:hAnsiTheme="minorHAnsi" w:cstheme="minorHAnsi"/>
        </w:rPr>
        <w:t xml:space="preserve">future premiums. Second, </w:t>
      </w:r>
      <w:r w:rsidR="00C830A6">
        <w:rPr>
          <w:rFonts w:asciiTheme="minorHAnsi" w:hAnsiTheme="minorHAnsi" w:cstheme="minorHAnsi"/>
        </w:rPr>
        <w:t xml:space="preserve">and more significantly, </w:t>
      </w:r>
      <w:r w:rsidR="00983F93">
        <w:rPr>
          <w:rFonts w:asciiTheme="minorHAnsi" w:hAnsiTheme="minorHAnsi" w:cstheme="minorHAnsi"/>
        </w:rPr>
        <w:t>the factor which makes the greatest difference to the cost of insurance premiums is not the claims history or risk control record of the local authority, but the state of the stock market</w:t>
      </w:r>
      <w:r w:rsidR="00C830A6">
        <w:rPr>
          <w:rFonts w:asciiTheme="minorHAnsi" w:hAnsiTheme="minorHAnsi" w:cstheme="minorHAnsi"/>
        </w:rPr>
        <w:t>.</w:t>
      </w:r>
      <w:r w:rsidR="00E80F89">
        <w:rPr>
          <w:rStyle w:val="FootnoteReference"/>
          <w:rFonts w:asciiTheme="minorHAnsi" w:hAnsiTheme="minorHAnsi" w:cstheme="minorHAnsi"/>
        </w:rPr>
        <w:footnoteReference w:id="53"/>
      </w:r>
      <w:r w:rsidR="00C830A6">
        <w:rPr>
          <w:rFonts w:asciiTheme="minorHAnsi" w:hAnsiTheme="minorHAnsi" w:cstheme="minorHAnsi"/>
        </w:rPr>
        <w:t xml:space="preserve"> As one </w:t>
      </w:r>
      <w:r w:rsidR="00AB7E6D">
        <w:rPr>
          <w:rFonts w:asciiTheme="minorHAnsi" w:hAnsiTheme="minorHAnsi" w:cstheme="minorHAnsi"/>
        </w:rPr>
        <w:t xml:space="preserve">Scottish </w:t>
      </w:r>
      <w:r w:rsidR="00C830A6">
        <w:rPr>
          <w:rFonts w:asciiTheme="minorHAnsi" w:hAnsiTheme="minorHAnsi" w:cstheme="minorHAnsi"/>
        </w:rPr>
        <w:t xml:space="preserve">insurance officer put it, the insurance </w:t>
      </w:r>
      <w:r w:rsidR="00C830A6">
        <w:rPr>
          <w:rFonts w:asciiTheme="minorHAnsi" w:hAnsiTheme="minorHAnsi" w:cstheme="minorHAnsi"/>
        </w:rPr>
        <w:lastRenderedPageBreak/>
        <w:t>market is like a “roller-coaster”</w:t>
      </w:r>
      <w:r w:rsidR="00781951">
        <w:rPr>
          <w:rFonts w:asciiTheme="minorHAnsi" w:hAnsiTheme="minorHAnsi" w:cstheme="minorHAnsi"/>
        </w:rPr>
        <w:t>, oscillating between ‘soft’ and ‘hard’ positions.</w:t>
      </w:r>
      <w:r w:rsidR="009869EC">
        <w:rPr>
          <w:rFonts w:asciiTheme="minorHAnsi" w:hAnsiTheme="minorHAnsi" w:cstheme="minorHAnsi"/>
        </w:rPr>
        <w:t xml:space="preserve"> </w:t>
      </w:r>
      <w:r w:rsidR="00781951">
        <w:rPr>
          <w:rFonts w:asciiTheme="minorHAnsi" w:hAnsiTheme="minorHAnsi" w:cstheme="minorHAnsi"/>
        </w:rPr>
        <w:t>Much of the power to influence premiums</w:t>
      </w:r>
      <w:r w:rsidR="001E0030">
        <w:rPr>
          <w:rFonts w:asciiTheme="minorHAnsi" w:hAnsiTheme="minorHAnsi" w:cstheme="minorHAnsi"/>
        </w:rPr>
        <w:t>, then,</w:t>
      </w:r>
      <w:r w:rsidR="009869EC">
        <w:rPr>
          <w:rFonts w:asciiTheme="minorHAnsi" w:hAnsiTheme="minorHAnsi" w:cstheme="minorHAnsi"/>
        </w:rPr>
        <w:t xml:space="preserve"> </w:t>
      </w:r>
      <w:r w:rsidR="00C830A6">
        <w:rPr>
          <w:rFonts w:asciiTheme="minorHAnsi" w:hAnsiTheme="minorHAnsi" w:cstheme="minorHAnsi"/>
        </w:rPr>
        <w:t>is beyond the power of local authorities</w:t>
      </w:r>
      <w:r w:rsidR="00781951">
        <w:rPr>
          <w:rFonts w:asciiTheme="minorHAnsi" w:hAnsiTheme="minorHAnsi" w:cstheme="minorHAnsi"/>
        </w:rPr>
        <w:t xml:space="preserve">. </w:t>
      </w:r>
    </w:p>
    <w:p w14:paraId="27BB7F05" w14:textId="77777777" w:rsidR="00DE23F3" w:rsidRPr="00BF53F5" w:rsidRDefault="00DE23F3" w:rsidP="00527616">
      <w:pPr>
        <w:pStyle w:val="Default"/>
        <w:spacing w:line="480" w:lineRule="auto"/>
        <w:ind w:firstLine="720"/>
        <w:rPr>
          <w:rFonts w:asciiTheme="minorHAnsi" w:hAnsiTheme="minorHAnsi" w:cstheme="minorHAnsi"/>
        </w:rPr>
      </w:pPr>
      <w:r>
        <w:rPr>
          <w:rFonts w:asciiTheme="minorHAnsi" w:hAnsiTheme="minorHAnsi" w:cstheme="minorHAnsi"/>
        </w:rPr>
        <w:t>In relation to potential ‘risk-bullying’ on the part of insurance companies, making local authorities into ‘agents of prevention’ as Ericson, Doyle and Barry</w:t>
      </w:r>
      <w:r w:rsidR="00E80F89">
        <w:rPr>
          <w:rStyle w:val="FootnoteReference"/>
          <w:rFonts w:asciiTheme="minorHAnsi" w:hAnsiTheme="minorHAnsi" w:cstheme="minorHAnsi"/>
        </w:rPr>
        <w:footnoteReference w:id="54"/>
      </w:r>
      <w:r>
        <w:rPr>
          <w:rFonts w:asciiTheme="minorHAnsi" w:hAnsiTheme="minorHAnsi" w:cstheme="minorHAnsi"/>
        </w:rPr>
        <w:t xml:space="preserve"> put it, we found little evidence of it. Insurance companies certainly offered advice about how better to avoid liability, but such was only to entice local authorities to give them their business – an add-on to their insurance services which is characteristic of a ‘soft’ insurance market</w:t>
      </w:r>
      <w:r w:rsidR="009E3525">
        <w:rPr>
          <w:rFonts w:asciiTheme="minorHAnsi" w:hAnsiTheme="minorHAnsi" w:cstheme="minorHAnsi"/>
        </w:rPr>
        <w:t>.</w:t>
      </w:r>
      <w:r w:rsidR="00E80F89">
        <w:rPr>
          <w:rStyle w:val="FootnoteReference"/>
          <w:rFonts w:asciiTheme="minorHAnsi" w:hAnsiTheme="minorHAnsi" w:cstheme="minorHAnsi"/>
        </w:rPr>
        <w:footnoteReference w:id="55"/>
      </w:r>
      <w:r w:rsidR="009E3525">
        <w:rPr>
          <w:rFonts w:asciiTheme="minorHAnsi" w:hAnsiTheme="minorHAnsi" w:cstheme="minorHAnsi"/>
        </w:rPr>
        <w:t xml:space="preserve"> Equally, we found little evidence of local authority risk managers being ‘risk bullies’ or of subverting professional </w:t>
      </w:r>
      <w:r w:rsidR="00E12137">
        <w:rPr>
          <w:rFonts w:asciiTheme="minorHAnsi" w:hAnsiTheme="minorHAnsi" w:cstheme="minorHAnsi"/>
        </w:rPr>
        <w:t>judgment</w:t>
      </w:r>
      <w:r w:rsidR="009E3525">
        <w:rPr>
          <w:rFonts w:asciiTheme="minorHAnsi" w:hAnsiTheme="minorHAnsi" w:cstheme="minorHAnsi"/>
        </w:rPr>
        <w:t xml:space="preserve"> </w:t>
      </w:r>
      <w:r w:rsidR="00AB7E6D">
        <w:rPr>
          <w:rFonts w:asciiTheme="minorHAnsi" w:hAnsiTheme="minorHAnsi" w:cstheme="minorHAnsi"/>
        </w:rPr>
        <w:t>through techniques of</w:t>
      </w:r>
      <w:r w:rsidR="009E3525">
        <w:rPr>
          <w:rFonts w:asciiTheme="minorHAnsi" w:hAnsiTheme="minorHAnsi" w:cstheme="minorHAnsi"/>
        </w:rPr>
        <w:t xml:space="preserve"> risk management. We found roads officers to be skeptical of the language of ‘risk</w:t>
      </w:r>
      <w:r w:rsidR="00E12137">
        <w:rPr>
          <w:rFonts w:asciiTheme="minorHAnsi" w:hAnsiTheme="minorHAnsi" w:cstheme="minorHAnsi"/>
        </w:rPr>
        <w:t xml:space="preserve"> management’, asserting that it i</w:t>
      </w:r>
      <w:r w:rsidR="009E3525">
        <w:rPr>
          <w:rFonts w:asciiTheme="minorHAnsi" w:hAnsiTheme="minorHAnsi" w:cstheme="minorHAnsi"/>
        </w:rPr>
        <w:t xml:space="preserve">s simply what they had been doing </w:t>
      </w:r>
      <w:r w:rsidR="00E12137">
        <w:rPr>
          <w:rFonts w:asciiTheme="minorHAnsi" w:hAnsiTheme="minorHAnsi" w:cstheme="minorHAnsi"/>
        </w:rPr>
        <w:t>all their careers</w:t>
      </w:r>
      <w:r w:rsidR="009E3525">
        <w:rPr>
          <w:rFonts w:asciiTheme="minorHAnsi" w:hAnsiTheme="minorHAnsi" w:cstheme="minorHAnsi"/>
        </w:rPr>
        <w:t xml:space="preserve">. Our Scottish data certainly confirmed that the impetus </w:t>
      </w:r>
      <w:r w:rsidR="00E12137">
        <w:rPr>
          <w:rFonts w:asciiTheme="minorHAnsi" w:hAnsiTheme="minorHAnsi" w:cstheme="minorHAnsi"/>
        </w:rPr>
        <w:t xml:space="preserve">to </w:t>
      </w:r>
      <w:r w:rsidR="00BF53F5">
        <w:rPr>
          <w:rFonts w:asciiTheme="minorHAnsi" w:hAnsiTheme="minorHAnsi" w:cstheme="minorHAnsi"/>
        </w:rPr>
        <w:t xml:space="preserve">adopt the inspection routines of the code of practice and so better comply with the legal duty of care came not from risk managers, but from the </w:t>
      </w:r>
      <w:r w:rsidR="00013D0E">
        <w:rPr>
          <w:rFonts w:asciiTheme="minorHAnsi" w:hAnsiTheme="minorHAnsi" w:cstheme="minorHAnsi"/>
        </w:rPr>
        <w:t xml:space="preserve">exhortations of the </w:t>
      </w:r>
      <w:r w:rsidR="00BF53F5">
        <w:rPr>
          <w:rFonts w:asciiTheme="minorHAnsi" w:hAnsiTheme="minorHAnsi" w:cstheme="minorHAnsi"/>
        </w:rPr>
        <w:t>professional association of roads officers</w:t>
      </w:r>
      <w:r w:rsidR="00013D0E">
        <w:rPr>
          <w:rFonts w:asciiTheme="minorHAnsi" w:hAnsiTheme="minorHAnsi" w:cstheme="minorHAnsi"/>
        </w:rPr>
        <w:t xml:space="preserve"> and</w:t>
      </w:r>
      <w:r w:rsidR="00BF53F5">
        <w:rPr>
          <w:rFonts w:asciiTheme="minorHAnsi" w:hAnsiTheme="minorHAnsi" w:cstheme="minorHAnsi"/>
        </w:rPr>
        <w:t xml:space="preserve"> the A</w:t>
      </w:r>
      <w:r w:rsidR="001E0030">
        <w:rPr>
          <w:rFonts w:asciiTheme="minorHAnsi" w:hAnsiTheme="minorHAnsi" w:cstheme="minorHAnsi"/>
        </w:rPr>
        <w:t>ccounts Commission for Scotland</w:t>
      </w:r>
      <w:r w:rsidR="00013D0E">
        <w:rPr>
          <w:rFonts w:asciiTheme="minorHAnsi" w:hAnsiTheme="minorHAnsi" w:cstheme="minorHAnsi"/>
        </w:rPr>
        <w:t>,</w:t>
      </w:r>
      <w:r w:rsidR="001E0030">
        <w:rPr>
          <w:rFonts w:asciiTheme="minorHAnsi" w:hAnsiTheme="minorHAnsi" w:cstheme="minorHAnsi"/>
        </w:rPr>
        <w:t xml:space="preserve"> and the risk control </w:t>
      </w:r>
      <w:r w:rsidR="00013D0E">
        <w:rPr>
          <w:rFonts w:asciiTheme="minorHAnsi" w:hAnsiTheme="minorHAnsi" w:cstheme="minorHAnsi"/>
        </w:rPr>
        <w:t>suggestions</w:t>
      </w:r>
      <w:r w:rsidR="001E0030">
        <w:rPr>
          <w:rFonts w:asciiTheme="minorHAnsi" w:hAnsiTheme="minorHAnsi" w:cstheme="minorHAnsi"/>
        </w:rPr>
        <w:t xml:space="preserve"> of insurance companies.</w:t>
      </w:r>
      <w:r w:rsidR="00E80F89">
        <w:rPr>
          <w:rStyle w:val="FootnoteReference"/>
          <w:rFonts w:asciiTheme="minorHAnsi" w:hAnsiTheme="minorHAnsi" w:cstheme="minorHAnsi"/>
        </w:rPr>
        <w:footnoteReference w:id="56"/>
      </w:r>
    </w:p>
    <w:p w14:paraId="5F04B490" w14:textId="77777777" w:rsidR="001166E2" w:rsidRPr="004350D8" w:rsidRDefault="001166E2" w:rsidP="007E7A8D">
      <w:pPr>
        <w:pStyle w:val="Default"/>
        <w:spacing w:line="480" w:lineRule="auto"/>
        <w:rPr>
          <w:rFonts w:asciiTheme="minorHAnsi" w:hAnsiTheme="minorHAnsi" w:cstheme="minorHAnsi"/>
        </w:rPr>
      </w:pPr>
    </w:p>
    <w:p w14:paraId="528FD8AB" w14:textId="77777777" w:rsidR="00880981" w:rsidRPr="004350D8" w:rsidRDefault="00880981" w:rsidP="007E7A8D">
      <w:pPr>
        <w:spacing w:after="0" w:line="480" w:lineRule="auto"/>
        <w:rPr>
          <w:rFonts w:cstheme="minorHAnsi"/>
          <w:sz w:val="24"/>
          <w:szCs w:val="24"/>
        </w:rPr>
      </w:pPr>
    </w:p>
    <w:p w14:paraId="73780896" w14:textId="77777777" w:rsidR="00B803E3" w:rsidRPr="009D52A4" w:rsidRDefault="00DE23F3" w:rsidP="009D52A4">
      <w:pPr>
        <w:pStyle w:val="ListParagraph"/>
        <w:numPr>
          <w:ilvl w:val="0"/>
          <w:numId w:val="2"/>
        </w:numPr>
        <w:spacing w:after="0" w:line="480" w:lineRule="auto"/>
        <w:jc w:val="center"/>
        <w:rPr>
          <w:rFonts w:cstheme="minorHAnsi"/>
          <w:sz w:val="24"/>
          <w:szCs w:val="24"/>
        </w:rPr>
      </w:pPr>
      <w:r w:rsidRPr="009D52A4">
        <w:rPr>
          <w:rFonts w:cstheme="minorHAnsi"/>
          <w:sz w:val="24"/>
          <w:szCs w:val="24"/>
        </w:rPr>
        <w:t>CONCLUSION</w:t>
      </w:r>
    </w:p>
    <w:p w14:paraId="5EEE54FB" w14:textId="77777777" w:rsidR="00B803E3" w:rsidRPr="004350D8" w:rsidRDefault="00B803E3" w:rsidP="007E7A8D">
      <w:pPr>
        <w:spacing w:after="0" w:line="480" w:lineRule="auto"/>
        <w:jc w:val="center"/>
        <w:rPr>
          <w:rFonts w:cstheme="minorHAnsi"/>
          <w:sz w:val="24"/>
          <w:szCs w:val="24"/>
        </w:rPr>
      </w:pPr>
    </w:p>
    <w:p w14:paraId="783F1000" w14:textId="77777777" w:rsidR="00B37DB8" w:rsidRPr="004350D8" w:rsidRDefault="00B37DB8" w:rsidP="007E7A8D">
      <w:pPr>
        <w:spacing w:after="0" w:line="480" w:lineRule="auto"/>
        <w:rPr>
          <w:rFonts w:cstheme="minorHAnsi"/>
          <w:sz w:val="24"/>
          <w:szCs w:val="24"/>
        </w:rPr>
      </w:pPr>
      <w:r w:rsidRPr="004350D8">
        <w:rPr>
          <w:rFonts w:cstheme="minorHAnsi"/>
          <w:sz w:val="24"/>
          <w:szCs w:val="24"/>
        </w:rPr>
        <w:t xml:space="preserve">Deterrent theories of tort law, which </w:t>
      </w:r>
      <w:r>
        <w:rPr>
          <w:rFonts w:cstheme="minorHAnsi"/>
          <w:sz w:val="24"/>
          <w:szCs w:val="24"/>
        </w:rPr>
        <w:t>stress</w:t>
      </w:r>
      <w:r w:rsidRPr="004350D8">
        <w:rPr>
          <w:rFonts w:cstheme="minorHAnsi"/>
          <w:sz w:val="24"/>
          <w:szCs w:val="24"/>
        </w:rPr>
        <w:t xml:space="preserve"> the </w:t>
      </w:r>
      <w:r>
        <w:rPr>
          <w:rFonts w:cstheme="minorHAnsi"/>
          <w:sz w:val="24"/>
          <w:szCs w:val="24"/>
        </w:rPr>
        <w:t>regulatory potential</w:t>
      </w:r>
      <w:r w:rsidRPr="004350D8">
        <w:rPr>
          <w:rFonts w:cstheme="minorHAnsi"/>
          <w:sz w:val="24"/>
          <w:szCs w:val="24"/>
        </w:rPr>
        <w:t xml:space="preserve"> of tort law for public administration, have been criticised on the grounds that they are premised on a flawed </w:t>
      </w:r>
      <w:r w:rsidRPr="004350D8">
        <w:rPr>
          <w:rFonts w:cstheme="minorHAnsi"/>
          <w:sz w:val="24"/>
          <w:szCs w:val="24"/>
        </w:rPr>
        <w:lastRenderedPageBreak/>
        <w:t>image of the rationality of potential defendants.</w:t>
      </w:r>
      <w:r w:rsidR="00E80F89">
        <w:rPr>
          <w:rStyle w:val="FootnoteReference"/>
          <w:rFonts w:cstheme="minorHAnsi"/>
          <w:sz w:val="24"/>
          <w:szCs w:val="24"/>
        </w:rPr>
        <w:footnoteReference w:id="57"/>
      </w:r>
      <w:r w:rsidRPr="004350D8">
        <w:rPr>
          <w:rFonts w:cstheme="minorHAnsi"/>
          <w:sz w:val="24"/>
          <w:szCs w:val="24"/>
        </w:rPr>
        <w:t xml:space="preserve"> Our data suggests that this critique of </w:t>
      </w:r>
      <w:r w:rsidRPr="004350D8">
        <w:rPr>
          <w:rFonts w:cstheme="minorHAnsi"/>
          <w:i/>
          <w:sz w:val="24"/>
          <w:szCs w:val="24"/>
        </w:rPr>
        <w:t>homo economicus</w:t>
      </w:r>
      <w:r w:rsidRPr="004350D8">
        <w:rPr>
          <w:rFonts w:cstheme="minorHAnsi"/>
          <w:sz w:val="24"/>
          <w:szCs w:val="24"/>
        </w:rPr>
        <w:t xml:space="preserve"> should also be applied to theories which stress the operational </w:t>
      </w:r>
      <w:r w:rsidRPr="00786D9F">
        <w:rPr>
          <w:rFonts w:cstheme="minorHAnsi"/>
          <w:sz w:val="24"/>
          <w:szCs w:val="24"/>
        </w:rPr>
        <w:t>risks</w:t>
      </w:r>
      <w:r w:rsidRPr="004350D8">
        <w:rPr>
          <w:rFonts w:cstheme="minorHAnsi"/>
          <w:sz w:val="24"/>
          <w:szCs w:val="24"/>
        </w:rPr>
        <w:t xml:space="preserve"> posed by tort law to the implementation of public policy. There is much in the messy and prosaic quality of public administration which militates against tort law having </w:t>
      </w:r>
      <w:r w:rsidR="00AB7E6D">
        <w:rPr>
          <w:rFonts w:cstheme="minorHAnsi"/>
          <w:sz w:val="24"/>
          <w:szCs w:val="24"/>
        </w:rPr>
        <w:t>the</w:t>
      </w:r>
      <w:r w:rsidRPr="004350D8">
        <w:rPr>
          <w:rFonts w:cstheme="minorHAnsi"/>
          <w:sz w:val="24"/>
          <w:szCs w:val="24"/>
        </w:rPr>
        <w:t xml:space="preserve"> presumed negative and unintended effects</w:t>
      </w:r>
      <w:r w:rsidR="00AB7E6D">
        <w:rPr>
          <w:rFonts w:cstheme="minorHAnsi"/>
          <w:sz w:val="24"/>
          <w:szCs w:val="24"/>
        </w:rPr>
        <w:t xml:space="preserve"> which constitute compensation culture fears</w:t>
      </w:r>
      <w:r w:rsidRPr="004350D8">
        <w:rPr>
          <w:rFonts w:cstheme="minorHAnsi"/>
          <w:sz w:val="24"/>
          <w:szCs w:val="24"/>
        </w:rPr>
        <w:t>. We do not suggest</w:t>
      </w:r>
      <w:r>
        <w:rPr>
          <w:rFonts w:cstheme="minorHAnsi"/>
          <w:sz w:val="24"/>
          <w:szCs w:val="24"/>
        </w:rPr>
        <w:t>, of course,</w:t>
      </w:r>
      <w:r w:rsidRPr="004350D8">
        <w:rPr>
          <w:rFonts w:cstheme="minorHAnsi"/>
          <w:sz w:val="24"/>
          <w:szCs w:val="24"/>
        </w:rPr>
        <w:t xml:space="preserve"> that tort law is irrelevant to public administration or that it poses no operational risks. Nor do we suggest that the responses we observed to liability risks in the road maintenance sector will necessarily be replicated in other sectors of government. However, our research does</w:t>
      </w:r>
      <w:r>
        <w:rPr>
          <w:rFonts w:cstheme="minorHAnsi"/>
          <w:sz w:val="24"/>
          <w:szCs w:val="24"/>
        </w:rPr>
        <w:t xml:space="preserve"> demonstrate that the mundane complexities of public administration mediate the significance of liability of risks to service delivery in a </w:t>
      </w:r>
      <w:r w:rsidR="00AB7E6D">
        <w:rPr>
          <w:rFonts w:cstheme="minorHAnsi"/>
          <w:sz w:val="24"/>
          <w:szCs w:val="24"/>
        </w:rPr>
        <w:t>host</w:t>
      </w:r>
      <w:r>
        <w:rPr>
          <w:rFonts w:cstheme="minorHAnsi"/>
          <w:sz w:val="24"/>
          <w:szCs w:val="24"/>
        </w:rPr>
        <w:t xml:space="preserve"> of ways</w:t>
      </w:r>
      <w:r w:rsidR="00AB7E6D">
        <w:rPr>
          <w:rFonts w:cstheme="minorHAnsi"/>
          <w:sz w:val="24"/>
          <w:szCs w:val="24"/>
        </w:rPr>
        <w:t>, making the task of evaluating the appropriateness of state liability rather challenging</w:t>
      </w:r>
      <w:r>
        <w:rPr>
          <w:rFonts w:cstheme="minorHAnsi"/>
          <w:sz w:val="24"/>
          <w:szCs w:val="24"/>
        </w:rPr>
        <w:t xml:space="preserve">. A </w:t>
      </w:r>
      <w:r w:rsidR="00AB7E6D">
        <w:rPr>
          <w:rFonts w:cstheme="minorHAnsi"/>
          <w:sz w:val="24"/>
          <w:szCs w:val="24"/>
        </w:rPr>
        <w:t>large number</w:t>
      </w:r>
      <w:r>
        <w:rPr>
          <w:rFonts w:cstheme="minorHAnsi"/>
          <w:sz w:val="24"/>
          <w:szCs w:val="24"/>
        </w:rPr>
        <w:t xml:space="preserve"> of factors require to be considered when thinking, context by context, about the promise or threat of tort law: </w:t>
      </w:r>
      <w:r w:rsidR="0016271E">
        <w:rPr>
          <w:rFonts w:cstheme="minorHAnsi"/>
          <w:sz w:val="24"/>
          <w:szCs w:val="24"/>
        </w:rPr>
        <w:t xml:space="preserve">the nature of the legal regime, </w:t>
      </w:r>
      <w:r>
        <w:rPr>
          <w:rFonts w:cstheme="minorHAnsi"/>
          <w:sz w:val="24"/>
          <w:szCs w:val="24"/>
        </w:rPr>
        <w:t xml:space="preserve">perceptions of legal certainty, the work of professional networks, the management of claims handling, </w:t>
      </w:r>
      <w:r w:rsidR="00DF77C3">
        <w:rPr>
          <w:rFonts w:cstheme="minorHAnsi"/>
          <w:sz w:val="24"/>
          <w:szCs w:val="24"/>
        </w:rPr>
        <w:t>the budgeting practices of individual</w:t>
      </w:r>
      <w:r>
        <w:rPr>
          <w:rFonts w:cstheme="minorHAnsi"/>
          <w:sz w:val="24"/>
          <w:szCs w:val="24"/>
        </w:rPr>
        <w:t xml:space="preserve"> public authority, </w:t>
      </w:r>
      <w:r w:rsidR="00AB7E6D">
        <w:rPr>
          <w:rFonts w:cstheme="minorHAnsi"/>
          <w:sz w:val="24"/>
          <w:szCs w:val="24"/>
        </w:rPr>
        <w:t xml:space="preserve">the scale of reputational risk associated with liability, </w:t>
      </w:r>
      <w:r>
        <w:rPr>
          <w:rFonts w:cstheme="minorHAnsi"/>
          <w:sz w:val="24"/>
          <w:szCs w:val="24"/>
        </w:rPr>
        <w:t>and so on.</w:t>
      </w:r>
    </w:p>
    <w:p w14:paraId="2655C2A4" w14:textId="77777777" w:rsidR="00A551CB" w:rsidRPr="00A551CB" w:rsidRDefault="005171FA" w:rsidP="00527616">
      <w:pPr>
        <w:spacing w:line="480" w:lineRule="auto"/>
        <w:ind w:firstLine="720"/>
        <w:jc w:val="both"/>
        <w:rPr>
          <w:rFonts w:cstheme="minorHAnsi"/>
          <w:sz w:val="24"/>
          <w:szCs w:val="24"/>
        </w:rPr>
      </w:pPr>
      <w:r>
        <w:rPr>
          <w:rFonts w:cstheme="minorHAnsi"/>
          <w:sz w:val="24"/>
          <w:szCs w:val="24"/>
        </w:rPr>
        <w:t>Further, a</w:t>
      </w:r>
      <w:r w:rsidR="00A551CB" w:rsidRPr="00A551CB">
        <w:rPr>
          <w:rFonts w:cstheme="minorHAnsi"/>
          <w:sz w:val="24"/>
          <w:szCs w:val="24"/>
        </w:rPr>
        <w:t xml:space="preserve">lthough our study offers a framework for </w:t>
      </w:r>
      <w:r>
        <w:rPr>
          <w:rFonts w:cstheme="minorHAnsi"/>
          <w:sz w:val="24"/>
          <w:szCs w:val="24"/>
        </w:rPr>
        <w:t>the further exploration of</w:t>
      </w:r>
      <w:r w:rsidR="00A551CB" w:rsidRPr="00A551CB">
        <w:rPr>
          <w:rFonts w:cstheme="minorHAnsi"/>
          <w:sz w:val="24"/>
          <w:szCs w:val="24"/>
        </w:rPr>
        <w:t xml:space="preserve"> public authorities’ responses to </w:t>
      </w:r>
      <w:r>
        <w:rPr>
          <w:rFonts w:cstheme="minorHAnsi"/>
          <w:sz w:val="24"/>
          <w:szCs w:val="24"/>
        </w:rPr>
        <w:t>liability</w:t>
      </w:r>
      <w:r w:rsidR="00A551CB" w:rsidRPr="00A551CB">
        <w:rPr>
          <w:rFonts w:cstheme="minorHAnsi"/>
          <w:sz w:val="24"/>
          <w:szCs w:val="24"/>
        </w:rPr>
        <w:t xml:space="preserve"> risks, it leaves unanswered important questions about the relationship between the management of </w:t>
      </w:r>
      <w:r>
        <w:rPr>
          <w:rFonts w:cstheme="minorHAnsi"/>
          <w:sz w:val="24"/>
          <w:szCs w:val="24"/>
        </w:rPr>
        <w:t>liability</w:t>
      </w:r>
      <w:r w:rsidR="00A551CB" w:rsidRPr="00A551CB">
        <w:rPr>
          <w:rFonts w:cstheme="minorHAnsi"/>
          <w:sz w:val="24"/>
          <w:szCs w:val="24"/>
        </w:rPr>
        <w:t xml:space="preserve"> risks and the quality of </w:t>
      </w:r>
      <w:r w:rsidR="00303771">
        <w:rPr>
          <w:rFonts w:cstheme="minorHAnsi"/>
          <w:sz w:val="24"/>
          <w:szCs w:val="24"/>
        </w:rPr>
        <w:t xml:space="preserve">public service provision - in our study a </w:t>
      </w:r>
      <w:r>
        <w:rPr>
          <w:rFonts w:cstheme="minorHAnsi"/>
          <w:sz w:val="24"/>
          <w:szCs w:val="24"/>
        </w:rPr>
        <w:t xml:space="preserve">roads maintenance </w:t>
      </w:r>
      <w:r w:rsidR="00A551CB" w:rsidRPr="00A551CB">
        <w:rPr>
          <w:rFonts w:cstheme="minorHAnsi"/>
          <w:sz w:val="24"/>
          <w:szCs w:val="24"/>
        </w:rPr>
        <w:t xml:space="preserve">service. </w:t>
      </w:r>
      <w:r w:rsidR="0016271E">
        <w:rPr>
          <w:rFonts w:cstheme="minorHAnsi"/>
          <w:sz w:val="24"/>
          <w:szCs w:val="24"/>
        </w:rPr>
        <w:t>Although</w:t>
      </w:r>
      <w:r w:rsidR="00A551CB" w:rsidRPr="00A551CB">
        <w:rPr>
          <w:rFonts w:cstheme="minorHAnsi"/>
          <w:sz w:val="24"/>
          <w:szCs w:val="24"/>
        </w:rPr>
        <w:t xml:space="preserve"> the Scottish legal and policy environment seems more conducive to </w:t>
      </w:r>
      <w:r w:rsidR="0016271E">
        <w:rPr>
          <w:rFonts w:cstheme="minorHAnsi"/>
          <w:sz w:val="24"/>
          <w:szCs w:val="24"/>
        </w:rPr>
        <w:t>systematic</w:t>
      </w:r>
      <w:r w:rsidR="00A551CB" w:rsidRPr="00A551CB">
        <w:rPr>
          <w:rFonts w:cstheme="minorHAnsi"/>
          <w:sz w:val="24"/>
          <w:szCs w:val="24"/>
        </w:rPr>
        <w:t xml:space="preserve"> legal compliance</w:t>
      </w:r>
      <w:r w:rsidR="0016271E">
        <w:rPr>
          <w:rFonts w:cstheme="minorHAnsi"/>
          <w:sz w:val="24"/>
          <w:szCs w:val="24"/>
        </w:rPr>
        <w:t xml:space="preserve">, </w:t>
      </w:r>
      <w:r w:rsidR="00A551CB" w:rsidRPr="00A551CB">
        <w:rPr>
          <w:rFonts w:cstheme="minorHAnsi"/>
          <w:sz w:val="24"/>
          <w:szCs w:val="24"/>
        </w:rPr>
        <w:t xml:space="preserve">it is not clear whether </w:t>
      </w:r>
      <w:r w:rsidR="002B53B0">
        <w:rPr>
          <w:rFonts w:cstheme="minorHAnsi"/>
          <w:sz w:val="24"/>
          <w:szCs w:val="24"/>
        </w:rPr>
        <w:t>this</w:t>
      </w:r>
      <w:r w:rsidR="00A551CB" w:rsidRPr="00A551CB">
        <w:rPr>
          <w:rFonts w:cstheme="minorHAnsi"/>
          <w:sz w:val="24"/>
          <w:szCs w:val="24"/>
        </w:rPr>
        <w:t xml:space="preserve"> generates the safer, better or more responsive system for administering local road provision. Such an assessment was considerably beyond the scope of this study. Although </w:t>
      </w:r>
      <w:r w:rsidR="00A551CB" w:rsidRPr="00A551CB">
        <w:rPr>
          <w:rFonts w:cstheme="minorHAnsi"/>
          <w:sz w:val="24"/>
          <w:szCs w:val="24"/>
        </w:rPr>
        <w:lastRenderedPageBreak/>
        <w:t xml:space="preserve">recent attempts have been made to probe the relationship between judicial review litigation </w:t>
      </w:r>
      <w:r>
        <w:rPr>
          <w:rFonts w:cstheme="minorHAnsi"/>
          <w:sz w:val="24"/>
          <w:szCs w:val="24"/>
        </w:rPr>
        <w:t xml:space="preserve">in England and Wales </w:t>
      </w:r>
      <w:r w:rsidR="00A551CB" w:rsidRPr="00A551CB">
        <w:rPr>
          <w:rFonts w:cstheme="minorHAnsi"/>
          <w:sz w:val="24"/>
          <w:szCs w:val="24"/>
        </w:rPr>
        <w:t>and the overall quality of public service delivery,</w:t>
      </w:r>
      <w:r w:rsidR="00C44632">
        <w:rPr>
          <w:rStyle w:val="FootnoteReference"/>
          <w:rFonts w:cstheme="minorHAnsi"/>
          <w:sz w:val="24"/>
          <w:szCs w:val="24"/>
        </w:rPr>
        <w:footnoteReference w:id="58"/>
      </w:r>
      <w:r w:rsidR="00A551CB" w:rsidRPr="00A551CB">
        <w:rPr>
          <w:rFonts w:cstheme="minorHAnsi"/>
          <w:sz w:val="24"/>
          <w:szCs w:val="24"/>
        </w:rPr>
        <w:t xml:space="preserve"> this research agenda is still in its relative infancy and faces difficult methodological challenges. In addition to the problem of identifying cause and effect, the legal certainty which provides a platform for </w:t>
      </w:r>
      <w:r w:rsidR="002B53B0">
        <w:rPr>
          <w:rFonts w:cstheme="minorHAnsi"/>
          <w:sz w:val="24"/>
          <w:szCs w:val="24"/>
        </w:rPr>
        <w:t>systematic</w:t>
      </w:r>
      <w:r w:rsidR="00A551CB" w:rsidRPr="00A551CB">
        <w:rPr>
          <w:rFonts w:cstheme="minorHAnsi"/>
          <w:sz w:val="24"/>
          <w:szCs w:val="24"/>
        </w:rPr>
        <w:t xml:space="preserve"> legal compliance is, as our study shows, at the same time vulnerable to creative compliance. Th</w:t>
      </w:r>
      <w:r w:rsidR="00303771">
        <w:rPr>
          <w:rFonts w:cstheme="minorHAnsi"/>
          <w:sz w:val="24"/>
          <w:szCs w:val="24"/>
        </w:rPr>
        <w:t>is serv</w:t>
      </w:r>
      <w:r w:rsidR="00502340">
        <w:rPr>
          <w:rFonts w:cstheme="minorHAnsi"/>
          <w:sz w:val="24"/>
          <w:szCs w:val="24"/>
        </w:rPr>
        <w:t>es</w:t>
      </w:r>
      <w:r w:rsidR="00303771">
        <w:rPr>
          <w:rFonts w:cstheme="minorHAnsi"/>
          <w:sz w:val="24"/>
          <w:szCs w:val="24"/>
        </w:rPr>
        <w:t xml:space="preserve"> to further reinforce the point that the</w:t>
      </w:r>
      <w:r w:rsidR="00A551CB" w:rsidRPr="00A551CB">
        <w:rPr>
          <w:rFonts w:cstheme="minorHAnsi"/>
          <w:sz w:val="24"/>
          <w:szCs w:val="24"/>
        </w:rPr>
        <w:t xml:space="preserve"> relationship between the quality of public service delivery and the legal duty of care owed in the process is</w:t>
      </w:r>
      <w:r w:rsidR="00303771">
        <w:rPr>
          <w:rFonts w:cstheme="minorHAnsi"/>
          <w:sz w:val="24"/>
          <w:szCs w:val="24"/>
        </w:rPr>
        <w:t>, unfortunately,</w:t>
      </w:r>
      <w:r w:rsidR="00A551CB" w:rsidRPr="00A551CB">
        <w:rPr>
          <w:rFonts w:cstheme="minorHAnsi"/>
          <w:sz w:val="24"/>
          <w:szCs w:val="24"/>
        </w:rPr>
        <w:t xml:space="preserve"> by no means straightforward. </w:t>
      </w:r>
    </w:p>
    <w:p w14:paraId="4318E41F" w14:textId="77777777" w:rsidR="0077542C" w:rsidRDefault="0077542C">
      <w:pPr>
        <w:rPr>
          <w:rFonts w:cstheme="minorHAnsi"/>
          <w:b/>
          <w:sz w:val="24"/>
          <w:szCs w:val="24"/>
        </w:rPr>
      </w:pPr>
      <w:r>
        <w:rPr>
          <w:rFonts w:cstheme="minorHAnsi"/>
          <w:b/>
          <w:sz w:val="24"/>
          <w:szCs w:val="24"/>
        </w:rPr>
        <w:br w:type="page"/>
      </w:r>
    </w:p>
    <w:p w14:paraId="2CF44B3C" w14:textId="77777777" w:rsidR="00C920CD" w:rsidRDefault="00EB61CA" w:rsidP="00EB61CA">
      <w:pPr>
        <w:spacing w:after="0" w:line="480" w:lineRule="auto"/>
        <w:jc w:val="center"/>
        <w:rPr>
          <w:rFonts w:cstheme="minorHAnsi"/>
          <w:b/>
          <w:sz w:val="24"/>
          <w:szCs w:val="24"/>
        </w:rPr>
      </w:pPr>
      <w:r w:rsidRPr="004350D8">
        <w:rPr>
          <w:rFonts w:cstheme="minorHAnsi"/>
          <w:b/>
          <w:sz w:val="24"/>
          <w:szCs w:val="24"/>
        </w:rPr>
        <w:lastRenderedPageBreak/>
        <w:t>FIGURES</w:t>
      </w:r>
    </w:p>
    <w:p w14:paraId="32F70BB3" w14:textId="77777777" w:rsidR="0077542C" w:rsidRDefault="0077542C" w:rsidP="007E7A8D">
      <w:pPr>
        <w:spacing w:after="0" w:line="480" w:lineRule="auto"/>
        <w:jc w:val="both"/>
        <w:rPr>
          <w:rFonts w:cstheme="minorHAnsi"/>
          <w:b/>
          <w:sz w:val="24"/>
          <w:szCs w:val="24"/>
        </w:rPr>
      </w:pPr>
    </w:p>
    <w:tbl>
      <w:tblPr>
        <w:tblW w:w="928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20" w:firstRow="1" w:lastRow="0" w:firstColumn="0" w:lastColumn="0" w:noHBand="0" w:noVBand="1"/>
      </w:tblPr>
      <w:tblGrid>
        <w:gridCol w:w="2320"/>
        <w:gridCol w:w="2320"/>
        <w:gridCol w:w="2320"/>
        <w:gridCol w:w="2320"/>
      </w:tblGrid>
      <w:tr w:rsidR="0077542C" w:rsidRPr="00736064" w14:paraId="4983472E" w14:textId="77777777" w:rsidTr="00785DAC">
        <w:trPr>
          <w:trHeight w:val="20"/>
          <w:tblCellSpacing w:w="20" w:type="dxa"/>
        </w:trPr>
        <w:tc>
          <w:tcPr>
            <w:tcW w:w="4580" w:type="dxa"/>
            <w:gridSpan w:val="2"/>
          </w:tcPr>
          <w:p w14:paraId="4A888FC5" w14:textId="77777777" w:rsidR="0077542C" w:rsidRPr="00B16E1A" w:rsidRDefault="0077542C" w:rsidP="00EB61CA">
            <w:pPr>
              <w:spacing w:line="240" w:lineRule="auto"/>
              <w:jc w:val="center"/>
              <w:rPr>
                <w:rFonts w:eastAsia="Batang"/>
                <w:b/>
                <w:sz w:val="20"/>
                <w:szCs w:val="20"/>
              </w:rPr>
            </w:pPr>
            <w:r w:rsidRPr="00736064">
              <w:rPr>
                <w:rFonts w:eastAsia="Batang"/>
              </w:rPr>
              <w:br w:type="page"/>
            </w:r>
            <w:r w:rsidRPr="00B16E1A">
              <w:rPr>
                <w:rFonts w:eastAsia="Batang"/>
                <w:b/>
                <w:sz w:val="20"/>
                <w:szCs w:val="20"/>
              </w:rPr>
              <w:t>CARRIAGEWAY</w:t>
            </w:r>
          </w:p>
        </w:tc>
        <w:tc>
          <w:tcPr>
            <w:tcW w:w="4580" w:type="dxa"/>
            <w:gridSpan w:val="2"/>
          </w:tcPr>
          <w:p w14:paraId="740045D1" w14:textId="77777777" w:rsidR="0077542C" w:rsidRPr="00B16E1A" w:rsidRDefault="0077542C" w:rsidP="00EB61CA">
            <w:pPr>
              <w:spacing w:line="240" w:lineRule="auto"/>
              <w:jc w:val="center"/>
              <w:rPr>
                <w:rFonts w:eastAsia="Batang"/>
                <w:b/>
                <w:sz w:val="20"/>
                <w:szCs w:val="20"/>
              </w:rPr>
            </w:pPr>
            <w:r w:rsidRPr="00B16E1A">
              <w:rPr>
                <w:rFonts w:eastAsia="Batang"/>
                <w:b/>
                <w:sz w:val="20"/>
                <w:szCs w:val="20"/>
              </w:rPr>
              <w:t>FOOTWAY</w:t>
            </w:r>
          </w:p>
        </w:tc>
      </w:tr>
      <w:tr w:rsidR="0077542C" w:rsidRPr="00736064" w14:paraId="3A7E0910" w14:textId="77777777" w:rsidTr="00785DAC">
        <w:trPr>
          <w:trHeight w:val="20"/>
          <w:tblCellSpacing w:w="20" w:type="dxa"/>
        </w:trPr>
        <w:tc>
          <w:tcPr>
            <w:tcW w:w="2260" w:type="dxa"/>
          </w:tcPr>
          <w:p w14:paraId="4C4E8B0C" w14:textId="77777777" w:rsidR="0077542C" w:rsidRPr="00B16E1A" w:rsidRDefault="0077542C" w:rsidP="00EB61CA">
            <w:pPr>
              <w:spacing w:line="240" w:lineRule="auto"/>
              <w:jc w:val="center"/>
              <w:rPr>
                <w:rFonts w:eastAsia="Batang"/>
                <w:b/>
                <w:sz w:val="20"/>
                <w:szCs w:val="20"/>
              </w:rPr>
            </w:pPr>
            <w:r w:rsidRPr="00B16E1A">
              <w:rPr>
                <w:rFonts w:eastAsia="Batang"/>
                <w:b/>
                <w:sz w:val="20"/>
                <w:szCs w:val="20"/>
              </w:rPr>
              <w:t>Carriageway Category</w:t>
            </w:r>
          </w:p>
        </w:tc>
        <w:tc>
          <w:tcPr>
            <w:tcW w:w="2280" w:type="dxa"/>
          </w:tcPr>
          <w:p w14:paraId="7C39354E" w14:textId="77777777" w:rsidR="0077542C" w:rsidRPr="00B16E1A" w:rsidRDefault="0077542C" w:rsidP="00EB61CA">
            <w:pPr>
              <w:spacing w:line="240" w:lineRule="auto"/>
              <w:jc w:val="center"/>
              <w:rPr>
                <w:rFonts w:eastAsia="Batang"/>
                <w:b/>
                <w:sz w:val="20"/>
                <w:szCs w:val="20"/>
              </w:rPr>
            </w:pPr>
            <w:r w:rsidRPr="00B16E1A">
              <w:rPr>
                <w:rFonts w:eastAsia="Batang"/>
                <w:b/>
                <w:sz w:val="20"/>
                <w:szCs w:val="20"/>
              </w:rPr>
              <w:t>Inspection Frequency</w:t>
            </w:r>
          </w:p>
        </w:tc>
        <w:tc>
          <w:tcPr>
            <w:tcW w:w="2280" w:type="dxa"/>
          </w:tcPr>
          <w:p w14:paraId="39BEEB65" w14:textId="77777777" w:rsidR="0077542C" w:rsidRPr="00B16E1A" w:rsidRDefault="0077542C" w:rsidP="00EB61CA">
            <w:pPr>
              <w:spacing w:line="240" w:lineRule="auto"/>
              <w:jc w:val="center"/>
              <w:rPr>
                <w:rFonts w:eastAsia="Batang"/>
                <w:b/>
                <w:sz w:val="20"/>
                <w:szCs w:val="20"/>
              </w:rPr>
            </w:pPr>
            <w:r w:rsidRPr="00B16E1A">
              <w:rPr>
                <w:rFonts w:eastAsia="Batang"/>
                <w:b/>
                <w:sz w:val="20"/>
                <w:szCs w:val="20"/>
              </w:rPr>
              <w:t>Footway Category</w:t>
            </w:r>
          </w:p>
        </w:tc>
        <w:tc>
          <w:tcPr>
            <w:tcW w:w="2260" w:type="dxa"/>
          </w:tcPr>
          <w:p w14:paraId="6C59577B" w14:textId="77777777" w:rsidR="0077542C" w:rsidRPr="00B16E1A" w:rsidRDefault="0077542C" w:rsidP="00EB61CA">
            <w:pPr>
              <w:spacing w:line="240" w:lineRule="auto"/>
              <w:jc w:val="center"/>
              <w:rPr>
                <w:rFonts w:eastAsia="Batang"/>
                <w:b/>
                <w:sz w:val="20"/>
                <w:szCs w:val="20"/>
              </w:rPr>
            </w:pPr>
            <w:r w:rsidRPr="00B16E1A">
              <w:rPr>
                <w:rFonts w:eastAsia="Batang"/>
                <w:b/>
                <w:sz w:val="20"/>
                <w:szCs w:val="20"/>
              </w:rPr>
              <w:t>Inspection Frequency</w:t>
            </w:r>
          </w:p>
        </w:tc>
      </w:tr>
      <w:tr w:rsidR="0077542C" w:rsidRPr="00736064" w14:paraId="5232F02F" w14:textId="77777777" w:rsidTr="00785DAC">
        <w:trPr>
          <w:trHeight w:val="20"/>
          <w:tblCellSpacing w:w="20" w:type="dxa"/>
        </w:trPr>
        <w:tc>
          <w:tcPr>
            <w:tcW w:w="2260" w:type="dxa"/>
          </w:tcPr>
          <w:p w14:paraId="102E7C90"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Main Distributor</w:t>
            </w:r>
          </w:p>
        </w:tc>
        <w:tc>
          <w:tcPr>
            <w:tcW w:w="2280" w:type="dxa"/>
          </w:tcPr>
          <w:p w14:paraId="626D5A4E"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Monthly</w:t>
            </w:r>
          </w:p>
        </w:tc>
        <w:tc>
          <w:tcPr>
            <w:tcW w:w="2280" w:type="dxa"/>
          </w:tcPr>
          <w:p w14:paraId="182E52CE"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Prestige walkway</w:t>
            </w:r>
          </w:p>
        </w:tc>
        <w:tc>
          <w:tcPr>
            <w:tcW w:w="2260" w:type="dxa"/>
          </w:tcPr>
          <w:p w14:paraId="442B74F7"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Monthly</w:t>
            </w:r>
          </w:p>
        </w:tc>
      </w:tr>
      <w:tr w:rsidR="0077542C" w:rsidRPr="00736064" w14:paraId="724AFEF2" w14:textId="77777777" w:rsidTr="00785DAC">
        <w:trPr>
          <w:trHeight w:val="20"/>
          <w:tblCellSpacing w:w="20" w:type="dxa"/>
        </w:trPr>
        <w:tc>
          <w:tcPr>
            <w:tcW w:w="2260" w:type="dxa"/>
          </w:tcPr>
          <w:p w14:paraId="07352DB8"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Secondary Distributor</w:t>
            </w:r>
          </w:p>
        </w:tc>
        <w:tc>
          <w:tcPr>
            <w:tcW w:w="2280" w:type="dxa"/>
          </w:tcPr>
          <w:p w14:paraId="1E279BE0"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Monthly</w:t>
            </w:r>
          </w:p>
        </w:tc>
        <w:tc>
          <w:tcPr>
            <w:tcW w:w="2280" w:type="dxa"/>
          </w:tcPr>
          <w:p w14:paraId="7093A468"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Primary route</w:t>
            </w:r>
          </w:p>
        </w:tc>
        <w:tc>
          <w:tcPr>
            <w:tcW w:w="2260" w:type="dxa"/>
          </w:tcPr>
          <w:p w14:paraId="6B172749"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Monthly</w:t>
            </w:r>
          </w:p>
        </w:tc>
      </w:tr>
      <w:tr w:rsidR="0077542C" w:rsidRPr="00736064" w14:paraId="168746C7" w14:textId="77777777" w:rsidTr="00785DAC">
        <w:trPr>
          <w:trHeight w:val="20"/>
          <w:tblCellSpacing w:w="20" w:type="dxa"/>
        </w:trPr>
        <w:tc>
          <w:tcPr>
            <w:tcW w:w="2260" w:type="dxa"/>
          </w:tcPr>
          <w:p w14:paraId="42238B9D"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Link road</w:t>
            </w:r>
          </w:p>
        </w:tc>
        <w:tc>
          <w:tcPr>
            <w:tcW w:w="2280" w:type="dxa"/>
          </w:tcPr>
          <w:p w14:paraId="68AFF00E"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Quarterly</w:t>
            </w:r>
          </w:p>
        </w:tc>
        <w:tc>
          <w:tcPr>
            <w:tcW w:w="2280" w:type="dxa"/>
          </w:tcPr>
          <w:p w14:paraId="40994A1D"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Secondary walkway</w:t>
            </w:r>
          </w:p>
        </w:tc>
        <w:tc>
          <w:tcPr>
            <w:tcW w:w="2260" w:type="dxa"/>
          </w:tcPr>
          <w:p w14:paraId="53BD0C22"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Quarterly</w:t>
            </w:r>
          </w:p>
        </w:tc>
      </w:tr>
      <w:tr w:rsidR="0077542C" w:rsidRPr="00736064" w14:paraId="2CCD74A2" w14:textId="77777777" w:rsidTr="00785DAC">
        <w:trPr>
          <w:trHeight w:val="20"/>
          <w:tblCellSpacing w:w="20" w:type="dxa"/>
        </w:trPr>
        <w:tc>
          <w:tcPr>
            <w:tcW w:w="2260" w:type="dxa"/>
          </w:tcPr>
          <w:p w14:paraId="5EB2EC46"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Local access</w:t>
            </w:r>
          </w:p>
        </w:tc>
        <w:tc>
          <w:tcPr>
            <w:tcW w:w="2280" w:type="dxa"/>
          </w:tcPr>
          <w:p w14:paraId="111F2B2D"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Yearly</w:t>
            </w:r>
          </w:p>
        </w:tc>
        <w:tc>
          <w:tcPr>
            <w:tcW w:w="2280" w:type="dxa"/>
          </w:tcPr>
          <w:p w14:paraId="73C8067B"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Link footway</w:t>
            </w:r>
          </w:p>
        </w:tc>
        <w:tc>
          <w:tcPr>
            <w:tcW w:w="2260" w:type="dxa"/>
          </w:tcPr>
          <w:p w14:paraId="5BAD922B"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Half-yearly</w:t>
            </w:r>
          </w:p>
        </w:tc>
      </w:tr>
      <w:tr w:rsidR="0077542C" w:rsidRPr="00736064" w14:paraId="54977466" w14:textId="77777777" w:rsidTr="00785DAC">
        <w:trPr>
          <w:trHeight w:val="20"/>
          <w:tblCellSpacing w:w="20" w:type="dxa"/>
        </w:trPr>
        <w:tc>
          <w:tcPr>
            <w:tcW w:w="2260" w:type="dxa"/>
          </w:tcPr>
          <w:p w14:paraId="61002BBD" w14:textId="77777777" w:rsidR="0077542C" w:rsidRPr="00B16E1A" w:rsidRDefault="0077542C" w:rsidP="00EB61CA">
            <w:pPr>
              <w:spacing w:line="240" w:lineRule="auto"/>
              <w:jc w:val="center"/>
              <w:rPr>
                <w:rFonts w:eastAsia="Batang"/>
                <w:sz w:val="20"/>
                <w:szCs w:val="20"/>
              </w:rPr>
            </w:pPr>
          </w:p>
        </w:tc>
        <w:tc>
          <w:tcPr>
            <w:tcW w:w="2280" w:type="dxa"/>
          </w:tcPr>
          <w:p w14:paraId="5E9AD709" w14:textId="77777777" w:rsidR="0077542C" w:rsidRPr="00B16E1A" w:rsidRDefault="0077542C" w:rsidP="00EB61CA">
            <w:pPr>
              <w:spacing w:line="240" w:lineRule="auto"/>
              <w:jc w:val="center"/>
              <w:rPr>
                <w:rFonts w:eastAsia="Batang"/>
                <w:sz w:val="20"/>
                <w:szCs w:val="20"/>
              </w:rPr>
            </w:pPr>
          </w:p>
        </w:tc>
        <w:tc>
          <w:tcPr>
            <w:tcW w:w="2280" w:type="dxa"/>
          </w:tcPr>
          <w:p w14:paraId="75386B41"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Local access</w:t>
            </w:r>
          </w:p>
        </w:tc>
        <w:tc>
          <w:tcPr>
            <w:tcW w:w="2260" w:type="dxa"/>
          </w:tcPr>
          <w:p w14:paraId="1077878A" w14:textId="77777777" w:rsidR="0077542C" w:rsidRPr="00B16E1A" w:rsidRDefault="0077542C" w:rsidP="00EB61CA">
            <w:pPr>
              <w:spacing w:line="240" w:lineRule="auto"/>
              <w:jc w:val="center"/>
              <w:rPr>
                <w:rFonts w:eastAsia="Batang"/>
                <w:sz w:val="20"/>
                <w:szCs w:val="20"/>
              </w:rPr>
            </w:pPr>
            <w:r w:rsidRPr="00B16E1A">
              <w:rPr>
                <w:rFonts w:eastAsia="Batang"/>
                <w:sz w:val="20"/>
                <w:szCs w:val="20"/>
              </w:rPr>
              <w:t>Yearly</w:t>
            </w:r>
          </w:p>
        </w:tc>
      </w:tr>
    </w:tbl>
    <w:p w14:paraId="515960E5" w14:textId="77777777" w:rsidR="0077542C" w:rsidRDefault="0077542C" w:rsidP="007E7A8D">
      <w:pPr>
        <w:spacing w:after="0" w:line="480" w:lineRule="auto"/>
        <w:jc w:val="both"/>
      </w:pPr>
      <w:r w:rsidRPr="00736064">
        <w:t xml:space="preserve">Figure 1: </w:t>
      </w:r>
      <w:r w:rsidRPr="00736064">
        <w:rPr>
          <w:i/>
        </w:rPr>
        <w:t>Well Maintained Highways</w:t>
      </w:r>
      <w:r w:rsidRPr="00736064">
        <w:t xml:space="preserve"> (Roads Liaison Group, 2005: 94)</w:t>
      </w:r>
    </w:p>
    <w:p w14:paraId="6CE703FC" w14:textId="77777777" w:rsidR="0077542C" w:rsidRDefault="0077542C" w:rsidP="007E7A8D">
      <w:pPr>
        <w:spacing w:after="0" w:line="480" w:lineRule="auto"/>
        <w:jc w:val="both"/>
        <w:rPr>
          <w:rFonts w:cstheme="minorHAnsi"/>
          <w:b/>
          <w:sz w:val="24"/>
          <w:szCs w:val="24"/>
        </w:rPr>
      </w:pPr>
    </w:p>
    <w:tbl>
      <w:tblPr>
        <w:tblW w:w="0" w:type="auto"/>
        <w:jc w:val="center"/>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1247"/>
        <w:gridCol w:w="1931"/>
        <w:gridCol w:w="1446"/>
        <w:gridCol w:w="992"/>
        <w:gridCol w:w="1417"/>
        <w:gridCol w:w="1307"/>
      </w:tblGrid>
      <w:tr w:rsidR="00EB61CA" w:rsidRPr="007D7397" w14:paraId="38E13FC6" w14:textId="77777777" w:rsidTr="00785DAC">
        <w:trPr>
          <w:trHeight w:val="397"/>
          <w:tblCellSpacing w:w="20" w:type="dxa"/>
          <w:jc w:val="center"/>
        </w:trPr>
        <w:tc>
          <w:tcPr>
            <w:tcW w:w="1187" w:type="dxa"/>
          </w:tcPr>
          <w:p w14:paraId="7590CFBB" w14:textId="77777777" w:rsidR="00EB61CA" w:rsidRPr="007D7397" w:rsidRDefault="00EB61CA" w:rsidP="00EB61CA">
            <w:pPr>
              <w:spacing w:line="240" w:lineRule="auto"/>
              <w:jc w:val="both"/>
              <w:rPr>
                <w:rFonts w:eastAsia="Batang" w:cstheme="minorHAnsi"/>
                <w:sz w:val="20"/>
                <w:szCs w:val="20"/>
              </w:rPr>
            </w:pPr>
            <w:r w:rsidRPr="007D7397">
              <w:rPr>
                <w:rFonts w:eastAsia="Batang" w:cstheme="minorHAnsi"/>
                <w:sz w:val="20"/>
                <w:szCs w:val="20"/>
              </w:rPr>
              <w:br w:type="page"/>
            </w:r>
          </w:p>
        </w:tc>
        <w:tc>
          <w:tcPr>
            <w:tcW w:w="7033" w:type="dxa"/>
            <w:gridSpan w:val="5"/>
          </w:tcPr>
          <w:p w14:paraId="4F7E3C6F"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IMPACT</w:t>
            </w:r>
          </w:p>
        </w:tc>
      </w:tr>
      <w:tr w:rsidR="00EB61CA" w:rsidRPr="007D7397" w14:paraId="4FDE6926" w14:textId="77777777" w:rsidTr="00785DAC">
        <w:trPr>
          <w:cantSplit/>
          <w:trHeight w:val="397"/>
          <w:tblCellSpacing w:w="20" w:type="dxa"/>
          <w:jc w:val="center"/>
        </w:trPr>
        <w:tc>
          <w:tcPr>
            <w:tcW w:w="1187" w:type="dxa"/>
            <w:vMerge w:val="restart"/>
            <w:textDirection w:val="tbRl"/>
          </w:tcPr>
          <w:p w14:paraId="3458536A" w14:textId="77777777" w:rsidR="00EB61CA" w:rsidRPr="007D7397" w:rsidRDefault="00EB61CA" w:rsidP="00EB61CA">
            <w:pPr>
              <w:spacing w:line="240" w:lineRule="auto"/>
              <w:ind w:left="113" w:right="113"/>
              <w:rPr>
                <w:rFonts w:eastAsia="Batang" w:cstheme="minorHAnsi"/>
                <w:sz w:val="20"/>
                <w:szCs w:val="20"/>
              </w:rPr>
            </w:pPr>
            <w:r w:rsidRPr="007D7397">
              <w:rPr>
                <w:rFonts w:eastAsia="Batang" w:cstheme="minorHAnsi"/>
                <w:sz w:val="20"/>
                <w:szCs w:val="20"/>
              </w:rPr>
              <w:t xml:space="preserve">        </w:t>
            </w:r>
          </w:p>
          <w:p w14:paraId="3B84E419" w14:textId="77777777" w:rsidR="00EB61CA" w:rsidRPr="007D7397" w:rsidRDefault="00EB61CA" w:rsidP="00EB61CA">
            <w:pPr>
              <w:spacing w:line="240" w:lineRule="auto"/>
              <w:ind w:left="113" w:right="113"/>
              <w:rPr>
                <w:rFonts w:eastAsia="Batang" w:cstheme="minorHAnsi"/>
                <w:sz w:val="20"/>
                <w:szCs w:val="20"/>
              </w:rPr>
            </w:pPr>
            <w:r w:rsidRPr="007D7397">
              <w:rPr>
                <w:rFonts w:eastAsia="Batang" w:cstheme="minorHAnsi"/>
                <w:sz w:val="20"/>
                <w:szCs w:val="20"/>
              </w:rPr>
              <w:t xml:space="preserve">        PROBABILITY</w:t>
            </w:r>
          </w:p>
        </w:tc>
        <w:tc>
          <w:tcPr>
            <w:tcW w:w="1891" w:type="dxa"/>
          </w:tcPr>
          <w:p w14:paraId="742F5DB5" w14:textId="77777777" w:rsidR="00EB61CA" w:rsidRPr="007D7397" w:rsidRDefault="00EB61CA" w:rsidP="00EB61CA">
            <w:pPr>
              <w:spacing w:line="240" w:lineRule="auto"/>
              <w:jc w:val="center"/>
              <w:rPr>
                <w:rFonts w:eastAsia="Batang" w:cstheme="minorHAnsi"/>
                <w:sz w:val="20"/>
                <w:szCs w:val="20"/>
              </w:rPr>
            </w:pPr>
          </w:p>
        </w:tc>
        <w:tc>
          <w:tcPr>
            <w:tcW w:w="1406" w:type="dxa"/>
          </w:tcPr>
          <w:p w14:paraId="582AE5A9"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Very low (1)</w:t>
            </w:r>
          </w:p>
        </w:tc>
        <w:tc>
          <w:tcPr>
            <w:tcW w:w="952" w:type="dxa"/>
          </w:tcPr>
          <w:p w14:paraId="00B95672"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Low (2)</w:t>
            </w:r>
          </w:p>
        </w:tc>
        <w:tc>
          <w:tcPr>
            <w:tcW w:w="1377" w:type="dxa"/>
          </w:tcPr>
          <w:p w14:paraId="613602EB"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Medium (3)</w:t>
            </w:r>
          </w:p>
        </w:tc>
        <w:tc>
          <w:tcPr>
            <w:tcW w:w="1247" w:type="dxa"/>
          </w:tcPr>
          <w:p w14:paraId="701AD15A"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High (4)</w:t>
            </w:r>
          </w:p>
        </w:tc>
      </w:tr>
      <w:tr w:rsidR="00EB61CA" w:rsidRPr="007D7397" w14:paraId="62A12666" w14:textId="77777777" w:rsidTr="00785DAC">
        <w:trPr>
          <w:cantSplit/>
          <w:trHeight w:val="134"/>
          <w:tblCellSpacing w:w="20" w:type="dxa"/>
          <w:jc w:val="center"/>
        </w:trPr>
        <w:tc>
          <w:tcPr>
            <w:tcW w:w="1187" w:type="dxa"/>
            <w:vMerge/>
          </w:tcPr>
          <w:p w14:paraId="2274AF99" w14:textId="77777777" w:rsidR="00EB61CA" w:rsidRPr="007D7397" w:rsidRDefault="00EB61CA" w:rsidP="00EB61CA">
            <w:pPr>
              <w:spacing w:line="240" w:lineRule="auto"/>
              <w:jc w:val="both"/>
              <w:rPr>
                <w:rFonts w:eastAsia="Batang" w:cstheme="minorHAnsi"/>
                <w:sz w:val="20"/>
                <w:szCs w:val="20"/>
              </w:rPr>
            </w:pPr>
          </w:p>
        </w:tc>
        <w:tc>
          <w:tcPr>
            <w:tcW w:w="1891" w:type="dxa"/>
          </w:tcPr>
          <w:p w14:paraId="71813D6C" w14:textId="77777777" w:rsidR="00EB61CA" w:rsidRPr="007D7397" w:rsidRDefault="00EB61CA" w:rsidP="00EB61CA">
            <w:pPr>
              <w:spacing w:line="240" w:lineRule="auto"/>
              <w:jc w:val="both"/>
              <w:rPr>
                <w:rFonts w:eastAsia="Batang" w:cstheme="minorHAnsi"/>
                <w:sz w:val="20"/>
                <w:szCs w:val="20"/>
              </w:rPr>
            </w:pPr>
            <w:r w:rsidRPr="007D7397">
              <w:rPr>
                <w:rFonts w:eastAsia="Batang" w:cstheme="minorHAnsi"/>
                <w:sz w:val="20"/>
                <w:szCs w:val="20"/>
              </w:rPr>
              <w:t>Negligible (1)</w:t>
            </w:r>
          </w:p>
        </w:tc>
        <w:tc>
          <w:tcPr>
            <w:tcW w:w="1406" w:type="dxa"/>
            <w:shd w:val="clear" w:color="auto" w:fill="FFFF00"/>
          </w:tcPr>
          <w:p w14:paraId="061E44F6"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1</w:t>
            </w:r>
          </w:p>
        </w:tc>
        <w:tc>
          <w:tcPr>
            <w:tcW w:w="952" w:type="dxa"/>
            <w:shd w:val="clear" w:color="auto" w:fill="FFFF00"/>
          </w:tcPr>
          <w:p w14:paraId="5248340F"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2</w:t>
            </w:r>
          </w:p>
        </w:tc>
        <w:tc>
          <w:tcPr>
            <w:tcW w:w="1377" w:type="dxa"/>
            <w:shd w:val="clear" w:color="auto" w:fill="FFFF00"/>
          </w:tcPr>
          <w:p w14:paraId="3702011C"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3</w:t>
            </w:r>
          </w:p>
        </w:tc>
        <w:tc>
          <w:tcPr>
            <w:tcW w:w="1247" w:type="dxa"/>
            <w:shd w:val="clear" w:color="auto" w:fill="FFFF00"/>
          </w:tcPr>
          <w:p w14:paraId="62F16AF5"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4</w:t>
            </w:r>
          </w:p>
        </w:tc>
      </w:tr>
      <w:tr w:rsidR="00EB61CA" w:rsidRPr="007D7397" w14:paraId="30F2AE35" w14:textId="77777777" w:rsidTr="00785DAC">
        <w:trPr>
          <w:cantSplit/>
          <w:trHeight w:val="134"/>
          <w:tblCellSpacing w:w="20" w:type="dxa"/>
          <w:jc w:val="center"/>
        </w:trPr>
        <w:tc>
          <w:tcPr>
            <w:tcW w:w="1187" w:type="dxa"/>
            <w:vMerge/>
          </w:tcPr>
          <w:p w14:paraId="5B4AF863" w14:textId="77777777" w:rsidR="00EB61CA" w:rsidRPr="007D7397" w:rsidRDefault="00EB61CA" w:rsidP="00EB61CA">
            <w:pPr>
              <w:spacing w:line="240" w:lineRule="auto"/>
              <w:jc w:val="both"/>
              <w:rPr>
                <w:rFonts w:eastAsia="Batang" w:cstheme="minorHAnsi"/>
                <w:sz w:val="20"/>
                <w:szCs w:val="20"/>
              </w:rPr>
            </w:pPr>
          </w:p>
        </w:tc>
        <w:tc>
          <w:tcPr>
            <w:tcW w:w="1891" w:type="dxa"/>
          </w:tcPr>
          <w:p w14:paraId="6627C5EE" w14:textId="77777777" w:rsidR="00EB61CA" w:rsidRPr="007D7397" w:rsidRDefault="00EB61CA" w:rsidP="00EB61CA">
            <w:pPr>
              <w:spacing w:line="240" w:lineRule="auto"/>
              <w:jc w:val="both"/>
              <w:rPr>
                <w:rFonts w:eastAsia="Batang" w:cstheme="minorHAnsi"/>
                <w:sz w:val="20"/>
                <w:szCs w:val="20"/>
              </w:rPr>
            </w:pPr>
            <w:r w:rsidRPr="007D7397">
              <w:rPr>
                <w:rFonts w:eastAsia="Batang" w:cstheme="minorHAnsi"/>
                <w:sz w:val="20"/>
                <w:szCs w:val="20"/>
              </w:rPr>
              <w:t>Low (2)</w:t>
            </w:r>
          </w:p>
        </w:tc>
        <w:tc>
          <w:tcPr>
            <w:tcW w:w="1406" w:type="dxa"/>
            <w:shd w:val="clear" w:color="auto" w:fill="FFFF00"/>
          </w:tcPr>
          <w:p w14:paraId="1EE11EBE"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2</w:t>
            </w:r>
          </w:p>
        </w:tc>
        <w:tc>
          <w:tcPr>
            <w:tcW w:w="952" w:type="dxa"/>
            <w:shd w:val="clear" w:color="auto" w:fill="FFFF00"/>
          </w:tcPr>
          <w:p w14:paraId="3D652C5A"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4</w:t>
            </w:r>
          </w:p>
        </w:tc>
        <w:tc>
          <w:tcPr>
            <w:tcW w:w="1377" w:type="dxa"/>
            <w:shd w:val="clear" w:color="auto" w:fill="FFC000"/>
          </w:tcPr>
          <w:p w14:paraId="6D633D8D"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6</w:t>
            </w:r>
          </w:p>
        </w:tc>
        <w:tc>
          <w:tcPr>
            <w:tcW w:w="1247" w:type="dxa"/>
            <w:shd w:val="clear" w:color="auto" w:fill="FFC000"/>
          </w:tcPr>
          <w:p w14:paraId="133D47A8"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8</w:t>
            </w:r>
          </w:p>
        </w:tc>
      </w:tr>
      <w:tr w:rsidR="00EB61CA" w:rsidRPr="007D7397" w14:paraId="61F9AE4D" w14:textId="77777777" w:rsidTr="00785DAC">
        <w:trPr>
          <w:cantSplit/>
          <w:trHeight w:val="134"/>
          <w:tblCellSpacing w:w="20" w:type="dxa"/>
          <w:jc w:val="center"/>
        </w:trPr>
        <w:tc>
          <w:tcPr>
            <w:tcW w:w="1187" w:type="dxa"/>
            <w:vMerge/>
          </w:tcPr>
          <w:p w14:paraId="6911E73E" w14:textId="77777777" w:rsidR="00EB61CA" w:rsidRPr="007D7397" w:rsidRDefault="00EB61CA" w:rsidP="00EB61CA">
            <w:pPr>
              <w:spacing w:line="240" w:lineRule="auto"/>
              <w:jc w:val="both"/>
              <w:rPr>
                <w:rFonts w:eastAsia="Batang" w:cstheme="minorHAnsi"/>
                <w:sz w:val="20"/>
                <w:szCs w:val="20"/>
              </w:rPr>
            </w:pPr>
          </w:p>
        </w:tc>
        <w:tc>
          <w:tcPr>
            <w:tcW w:w="1891" w:type="dxa"/>
          </w:tcPr>
          <w:p w14:paraId="6EE11401" w14:textId="77777777" w:rsidR="00EB61CA" w:rsidRPr="007D7397" w:rsidRDefault="00EB61CA" w:rsidP="00EB61CA">
            <w:pPr>
              <w:spacing w:line="240" w:lineRule="auto"/>
              <w:jc w:val="both"/>
              <w:rPr>
                <w:rFonts w:eastAsia="Batang" w:cstheme="minorHAnsi"/>
                <w:sz w:val="20"/>
                <w:szCs w:val="20"/>
              </w:rPr>
            </w:pPr>
            <w:r w:rsidRPr="007D7397">
              <w:rPr>
                <w:rFonts w:eastAsia="Batang" w:cstheme="minorHAnsi"/>
                <w:sz w:val="20"/>
                <w:szCs w:val="20"/>
              </w:rPr>
              <w:t>Noticeable (3)</w:t>
            </w:r>
          </w:p>
        </w:tc>
        <w:tc>
          <w:tcPr>
            <w:tcW w:w="1406" w:type="dxa"/>
            <w:shd w:val="clear" w:color="auto" w:fill="FFFF00"/>
          </w:tcPr>
          <w:p w14:paraId="4BC96C70"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3</w:t>
            </w:r>
          </w:p>
        </w:tc>
        <w:tc>
          <w:tcPr>
            <w:tcW w:w="952" w:type="dxa"/>
            <w:shd w:val="clear" w:color="auto" w:fill="FFC000"/>
          </w:tcPr>
          <w:p w14:paraId="0951EB1E"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6</w:t>
            </w:r>
          </w:p>
        </w:tc>
        <w:tc>
          <w:tcPr>
            <w:tcW w:w="1377" w:type="dxa"/>
            <w:shd w:val="clear" w:color="auto" w:fill="FF0000"/>
          </w:tcPr>
          <w:p w14:paraId="26B59CFD"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9</w:t>
            </w:r>
          </w:p>
        </w:tc>
        <w:tc>
          <w:tcPr>
            <w:tcW w:w="1247" w:type="dxa"/>
            <w:shd w:val="clear" w:color="auto" w:fill="FF0000"/>
          </w:tcPr>
          <w:p w14:paraId="20546D81"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12</w:t>
            </w:r>
          </w:p>
        </w:tc>
      </w:tr>
      <w:tr w:rsidR="00EB61CA" w:rsidRPr="007D7397" w14:paraId="404C1E3D" w14:textId="77777777" w:rsidTr="00785DAC">
        <w:trPr>
          <w:cantSplit/>
          <w:trHeight w:val="149"/>
          <w:tblCellSpacing w:w="20" w:type="dxa"/>
          <w:jc w:val="center"/>
        </w:trPr>
        <w:tc>
          <w:tcPr>
            <w:tcW w:w="1187" w:type="dxa"/>
            <w:vMerge/>
          </w:tcPr>
          <w:p w14:paraId="42A0A1E7" w14:textId="77777777" w:rsidR="00EB61CA" w:rsidRPr="007D7397" w:rsidRDefault="00EB61CA" w:rsidP="00EB61CA">
            <w:pPr>
              <w:spacing w:line="240" w:lineRule="auto"/>
              <w:jc w:val="both"/>
              <w:rPr>
                <w:rFonts w:eastAsia="Batang" w:cstheme="minorHAnsi"/>
                <w:sz w:val="20"/>
                <w:szCs w:val="20"/>
              </w:rPr>
            </w:pPr>
          </w:p>
        </w:tc>
        <w:tc>
          <w:tcPr>
            <w:tcW w:w="1891" w:type="dxa"/>
          </w:tcPr>
          <w:p w14:paraId="27700445" w14:textId="77777777" w:rsidR="00EB61CA" w:rsidRPr="007D7397" w:rsidRDefault="00EB61CA" w:rsidP="00EB61CA">
            <w:pPr>
              <w:spacing w:line="240" w:lineRule="auto"/>
              <w:jc w:val="both"/>
              <w:rPr>
                <w:rFonts w:eastAsia="Batang" w:cstheme="minorHAnsi"/>
                <w:sz w:val="20"/>
                <w:szCs w:val="20"/>
              </w:rPr>
            </w:pPr>
            <w:r w:rsidRPr="007D7397">
              <w:rPr>
                <w:rFonts w:eastAsia="Batang" w:cstheme="minorHAnsi"/>
                <w:sz w:val="20"/>
                <w:szCs w:val="20"/>
              </w:rPr>
              <w:t>High (4)</w:t>
            </w:r>
          </w:p>
        </w:tc>
        <w:tc>
          <w:tcPr>
            <w:tcW w:w="1406" w:type="dxa"/>
            <w:shd w:val="clear" w:color="auto" w:fill="FFFF00"/>
          </w:tcPr>
          <w:p w14:paraId="0F608D62"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4</w:t>
            </w:r>
          </w:p>
        </w:tc>
        <w:tc>
          <w:tcPr>
            <w:tcW w:w="952" w:type="dxa"/>
            <w:shd w:val="clear" w:color="auto" w:fill="FFC000"/>
          </w:tcPr>
          <w:p w14:paraId="061C9291"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8</w:t>
            </w:r>
          </w:p>
        </w:tc>
        <w:tc>
          <w:tcPr>
            <w:tcW w:w="1377" w:type="dxa"/>
            <w:shd w:val="clear" w:color="auto" w:fill="FF0000"/>
          </w:tcPr>
          <w:p w14:paraId="112F6D5D"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12</w:t>
            </w:r>
          </w:p>
        </w:tc>
        <w:tc>
          <w:tcPr>
            <w:tcW w:w="1247" w:type="dxa"/>
            <w:shd w:val="clear" w:color="auto" w:fill="C00000"/>
          </w:tcPr>
          <w:p w14:paraId="63835476"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16</w:t>
            </w:r>
          </w:p>
        </w:tc>
      </w:tr>
    </w:tbl>
    <w:p w14:paraId="4330EF2A" w14:textId="77777777" w:rsidR="00EB61CA" w:rsidRDefault="00EB61CA" w:rsidP="007E7A8D">
      <w:pPr>
        <w:spacing w:after="0" w:line="480" w:lineRule="auto"/>
        <w:jc w:val="both"/>
      </w:pPr>
      <w:r w:rsidRPr="00EB61CA">
        <w:rPr>
          <w:rFonts w:cstheme="minorHAnsi"/>
          <w:sz w:val="24"/>
          <w:szCs w:val="24"/>
        </w:rPr>
        <w:t>Figure 2</w:t>
      </w:r>
      <w:r>
        <w:rPr>
          <w:rFonts w:cstheme="minorHAnsi"/>
          <w:sz w:val="24"/>
          <w:szCs w:val="24"/>
        </w:rPr>
        <w:t xml:space="preserve">: </w:t>
      </w:r>
      <w:r w:rsidRPr="00736064">
        <w:rPr>
          <w:i/>
        </w:rPr>
        <w:t>Well Maintained Highways</w:t>
      </w:r>
      <w:r>
        <w:t xml:space="preserve"> (Roads Liaison Group, 2005: 98</w:t>
      </w:r>
      <w:r w:rsidRPr="00736064">
        <w:t>)</w:t>
      </w:r>
    </w:p>
    <w:p w14:paraId="4753F267" w14:textId="77777777" w:rsidR="00EB61CA" w:rsidRDefault="00EB61CA" w:rsidP="007E7A8D">
      <w:pPr>
        <w:spacing w:after="0" w:line="480" w:lineRule="auto"/>
        <w:jc w:val="both"/>
      </w:pPr>
    </w:p>
    <w:tbl>
      <w:tblPr>
        <w:tblW w:w="0" w:type="auto"/>
        <w:jc w:val="center"/>
        <w:tblCellSpacing w:w="20" w:type="dxa"/>
        <w:tblInd w:w="-443"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2314"/>
        <w:gridCol w:w="2243"/>
        <w:gridCol w:w="1871"/>
        <w:gridCol w:w="1714"/>
      </w:tblGrid>
      <w:tr w:rsidR="00EB61CA" w:rsidRPr="007D7397" w14:paraId="62DEF50B" w14:textId="77777777" w:rsidTr="00785DAC">
        <w:trPr>
          <w:trHeight w:val="567"/>
          <w:tblCellSpacing w:w="20" w:type="dxa"/>
          <w:jc w:val="center"/>
        </w:trPr>
        <w:tc>
          <w:tcPr>
            <w:tcW w:w="2254" w:type="dxa"/>
            <w:shd w:val="clear" w:color="auto" w:fill="FFFF00"/>
          </w:tcPr>
          <w:p w14:paraId="7A873294" w14:textId="77777777" w:rsidR="00EB61CA" w:rsidRPr="007D7397" w:rsidRDefault="00EB61CA" w:rsidP="00EB61CA">
            <w:pPr>
              <w:spacing w:line="240" w:lineRule="auto"/>
              <w:jc w:val="center"/>
              <w:rPr>
                <w:rFonts w:eastAsia="Batang" w:cstheme="minorHAnsi"/>
                <w:sz w:val="20"/>
                <w:szCs w:val="20"/>
              </w:rPr>
            </w:pPr>
          </w:p>
          <w:p w14:paraId="2FAC5DD0"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Category 2 (low)</w:t>
            </w:r>
          </w:p>
        </w:tc>
        <w:tc>
          <w:tcPr>
            <w:tcW w:w="2203" w:type="dxa"/>
            <w:shd w:val="clear" w:color="auto" w:fill="FFC000"/>
          </w:tcPr>
          <w:p w14:paraId="0297CCC2" w14:textId="77777777" w:rsidR="00EB61CA" w:rsidRPr="007D7397" w:rsidRDefault="00EB61CA" w:rsidP="00EB61CA">
            <w:pPr>
              <w:spacing w:line="240" w:lineRule="auto"/>
              <w:jc w:val="center"/>
              <w:rPr>
                <w:rFonts w:eastAsia="Batang" w:cstheme="minorHAnsi"/>
                <w:sz w:val="20"/>
                <w:szCs w:val="20"/>
              </w:rPr>
            </w:pPr>
          </w:p>
          <w:p w14:paraId="1496D9F0"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Category 2 (medium)</w:t>
            </w:r>
          </w:p>
        </w:tc>
        <w:tc>
          <w:tcPr>
            <w:tcW w:w="1831" w:type="dxa"/>
            <w:shd w:val="clear" w:color="auto" w:fill="FF0000"/>
          </w:tcPr>
          <w:p w14:paraId="7A338D26" w14:textId="77777777" w:rsidR="00EB61CA" w:rsidRPr="007D7397" w:rsidRDefault="00EB61CA" w:rsidP="00EB61CA">
            <w:pPr>
              <w:spacing w:line="240" w:lineRule="auto"/>
              <w:jc w:val="center"/>
              <w:rPr>
                <w:rFonts w:eastAsia="Batang" w:cstheme="minorHAnsi"/>
                <w:sz w:val="20"/>
                <w:szCs w:val="20"/>
              </w:rPr>
            </w:pPr>
          </w:p>
          <w:p w14:paraId="26BAEE28"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Category 2 (high)</w:t>
            </w:r>
          </w:p>
        </w:tc>
        <w:tc>
          <w:tcPr>
            <w:tcW w:w="1654" w:type="dxa"/>
            <w:shd w:val="clear" w:color="auto" w:fill="C00000"/>
          </w:tcPr>
          <w:p w14:paraId="6C4F380A" w14:textId="77777777" w:rsidR="00EB61CA" w:rsidRPr="007D7397" w:rsidRDefault="00EB61CA" w:rsidP="00EB61CA">
            <w:pPr>
              <w:spacing w:line="240" w:lineRule="auto"/>
              <w:jc w:val="center"/>
              <w:rPr>
                <w:rFonts w:eastAsia="Batang" w:cstheme="minorHAnsi"/>
                <w:sz w:val="20"/>
                <w:szCs w:val="20"/>
              </w:rPr>
            </w:pPr>
          </w:p>
          <w:p w14:paraId="3625CAB9" w14:textId="77777777" w:rsidR="00EB61CA" w:rsidRPr="007D7397" w:rsidRDefault="00EB61CA" w:rsidP="00EB61CA">
            <w:pPr>
              <w:spacing w:line="240" w:lineRule="auto"/>
              <w:jc w:val="center"/>
              <w:rPr>
                <w:rFonts w:eastAsia="Batang" w:cstheme="minorHAnsi"/>
                <w:sz w:val="20"/>
                <w:szCs w:val="20"/>
              </w:rPr>
            </w:pPr>
            <w:r w:rsidRPr="007D7397">
              <w:rPr>
                <w:rFonts w:eastAsia="Batang" w:cstheme="minorHAnsi"/>
                <w:sz w:val="20"/>
                <w:szCs w:val="20"/>
              </w:rPr>
              <w:t>Category 1</w:t>
            </w:r>
          </w:p>
        </w:tc>
      </w:tr>
    </w:tbl>
    <w:p w14:paraId="1E6B9F09" w14:textId="77777777" w:rsidR="00EB61CA" w:rsidRPr="00EB61CA" w:rsidRDefault="00EB61CA" w:rsidP="007E7A8D">
      <w:pPr>
        <w:spacing w:after="0" w:line="480" w:lineRule="auto"/>
        <w:jc w:val="both"/>
        <w:rPr>
          <w:rFonts w:cstheme="minorHAnsi"/>
          <w:sz w:val="24"/>
          <w:szCs w:val="24"/>
        </w:rPr>
      </w:pPr>
      <w:r>
        <w:rPr>
          <w:rFonts w:cstheme="minorHAnsi"/>
          <w:sz w:val="24"/>
          <w:szCs w:val="24"/>
        </w:rPr>
        <w:t xml:space="preserve">Figure 3: </w:t>
      </w:r>
      <w:r w:rsidRPr="00736064">
        <w:rPr>
          <w:i/>
        </w:rPr>
        <w:t>Well Maintained Highways</w:t>
      </w:r>
      <w:r>
        <w:t xml:space="preserve"> (Roads Liaison Group, 2005: 98</w:t>
      </w:r>
      <w:r w:rsidRPr="00736064">
        <w:t>)</w:t>
      </w:r>
    </w:p>
    <w:p w14:paraId="21C0CF4C" w14:textId="77777777" w:rsidR="00C920CD" w:rsidRPr="004350D8" w:rsidRDefault="00C920CD" w:rsidP="007E7A8D">
      <w:pPr>
        <w:spacing w:after="0" w:line="480" w:lineRule="auto"/>
        <w:jc w:val="both"/>
        <w:rPr>
          <w:rFonts w:cstheme="minorHAnsi"/>
          <w:b/>
          <w:bCs/>
          <w:color w:val="000000"/>
          <w:sz w:val="24"/>
          <w:szCs w:val="24"/>
        </w:rPr>
      </w:pPr>
      <w:r w:rsidRPr="004350D8">
        <w:rPr>
          <w:rFonts w:cstheme="minorHAnsi"/>
          <w:b/>
          <w:bCs/>
          <w:noProof/>
          <w:color w:val="000000"/>
          <w:sz w:val="24"/>
          <w:szCs w:val="24"/>
          <w:lang w:val="en-US" w:eastAsia="en-US"/>
        </w:rPr>
        <w:lastRenderedPageBreak/>
        <w:drawing>
          <wp:inline distT="0" distB="0" distL="0" distR="0" wp14:anchorId="4EB95FFE" wp14:editId="38A46CD0">
            <wp:extent cx="3411220"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1220" cy="2727325"/>
                    </a:xfrm>
                    <a:prstGeom prst="rect">
                      <a:avLst/>
                    </a:prstGeom>
                    <a:noFill/>
                    <a:ln>
                      <a:noFill/>
                    </a:ln>
                  </pic:spPr>
                </pic:pic>
              </a:graphicData>
            </a:graphic>
          </wp:inline>
        </w:drawing>
      </w:r>
    </w:p>
    <w:p w14:paraId="7CDD64D5" w14:textId="77777777" w:rsidR="00C920CD" w:rsidRPr="004350D8" w:rsidRDefault="00C920CD" w:rsidP="007E7A8D">
      <w:pPr>
        <w:spacing w:after="0" w:line="480" w:lineRule="auto"/>
        <w:jc w:val="both"/>
        <w:rPr>
          <w:rFonts w:cstheme="minorHAnsi"/>
          <w:i/>
          <w:sz w:val="24"/>
          <w:szCs w:val="24"/>
        </w:rPr>
      </w:pPr>
      <w:r w:rsidRPr="004350D8">
        <w:rPr>
          <w:rFonts w:cstheme="minorHAnsi"/>
          <w:sz w:val="24"/>
          <w:szCs w:val="24"/>
        </w:rPr>
        <w:t>Fig</w:t>
      </w:r>
      <w:r w:rsidR="0077542C">
        <w:rPr>
          <w:rFonts w:cstheme="minorHAnsi"/>
          <w:sz w:val="24"/>
          <w:szCs w:val="24"/>
        </w:rPr>
        <w:t>ure</w:t>
      </w:r>
      <w:r w:rsidR="00144659">
        <w:rPr>
          <w:rFonts w:cstheme="minorHAnsi"/>
          <w:sz w:val="24"/>
          <w:szCs w:val="24"/>
        </w:rPr>
        <w:t xml:space="preserve"> 4</w:t>
      </w:r>
      <w:r w:rsidRPr="004350D8">
        <w:rPr>
          <w:rFonts w:cstheme="minorHAnsi"/>
          <w:sz w:val="24"/>
          <w:szCs w:val="24"/>
        </w:rPr>
        <w:t xml:space="preserve">: Claims Against Thirteen Authorities in Scotland, 2002-2006 </w:t>
      </w:r>
      <w:r w:rsidRPr="004350D8">
        <w:rPr>
          <w:rFonts w:cstheme="minorHAnsi"/>
          <w:i/>
          <w:sz w:val="24"/>
          <w:szCs w:val="24"/>
        </w:rPr>
        <w:t>Source: Project Survey</w:t>
      </w:r>
    </w:p>
    <w:p w14:paraId="5472317E" w14:textId="77777777" w:rsidR="00C920CD" w:rsidRPr="004350D8" w:rsidRDefault="00C920CD" w:rsidP="007E7A8D">
      <w:pPr>
        <w:spacing w:after="0" w:line="480" w:lineRule="auto"/>
        <w:jc w:val="both"/>
        <w:rPr>
          <w:rFonts w:cstheme="minorHAnsi"/>
          <w:sz w:val="24"/>
          <w:szCs w:val="24"/>
        </w:rPr>
      </w:pPr>
    </w:p>
    <w:p w14:paraId="3BE1A131" w14:textId="77777777" w:rsidR="00C920CD" w:rsidRPr="004350D8" w:rsidRDefault="00C920CD" w:rsidP="007E7A8D">
      <w:pPr>
        <w:spacing w:after="0" w:line="480" w:lineRule="auto"/>
        <w:jc w:val="both"/>
        <w:rPr>
          <w:rFonts w:cstheme="minorHAnsi"/>
          <w:sz w:val="24"/>
          <w:szCs w:val="24"/>
        </w:rPr>
      </w:pPr>
    </w:p>
    <w:p w14:paraId="59F19649" w14:textId="77777777" w:rsidR="00C920CD" w:rsidRPr="004350D8" w:rsidRDefault="00C920CD" w:rsidP="007E7A8D">
      <w:pPr>
        <w:spacing w:after="0" w:line="480" w:lineRule="auto"/>
        <w:jc w:val="both"/>
        <w:rPr>
          <w:rFonts w:cstheme="minorHAnsi"/>
          <w:b/>
          <w:bCs/>
          <w:color w:val="000000"/>
          <w:sz w:val="24"/>
          <w:szCs w:val="24"/>
        </w:rPr>
      </w:pPr>
      <w:r w:rsidRPr="004350D8">
        <w:rPr>
          <w:rFonts w:cstheme="minorHAnsi"/>
          <w:sz w:val="24"/>
          <w:szCs w:val="24"/>
        </w:rPr>
        <w:object w:dxaOrig="7072" w:dyaOrig="5657" w14:anchorId="16EF4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4pt;height:3in" o:ole="">
            <v:imagedata r:id="rId10" o:title=""/>
          </v:shape>
          <o:OLEObject Type="Embed" ProgID="StaticMetafile" ShapeID="_x0000_i1025" DrawAspect="Content" ObjectID="_1319700437" r:id="rId11"/>
        </w:object>
      </w:r>
    </w:p>
    <w:p w14:paraId="241F6548" w14:textId="77777777" w:rsidR="00C920CD" w:rsidRPr="004350D8" w:rsidRDefault="00C920CD" w:rsidP="007E7A8D">
      <w:pPr>
        <w:spacing w:after="0" w:line="480" w:lineRule="auto"/>
        <w:jc w:val="both"/>
        <w:rPr>
          <w:rFonts w:cstheme="minorHAnsi"/>
          <w:bCs/>
          <w:i/>
          <w:color w:val="000000"/>
          <w:sz w:val="24"/>
          <w:szCs w:val="24"/>
        </w:rPr>
      </w:pPr>
      <w:r w:rsidRPr="004350D8">
        <w:rPr>
          <w:rFonts w:cstheme="minorHAnsi"/>
          <w:bCs/>
          <w:color w:val="000000"/>
          <w:sz w:val="24"/>
          <w:szCs w:val="24"/>
        </w:rPr>
        <w:t>Fig</w:t>
      </w:r>
      <w:r w:rsidR="00144659">
        <w:rPr>
          <w:rFonts w:cstheme="minorHAnsi"/>
          <w:bCs/>
          <w:color w:val="000000"/>
          <w:sz w:val="24"/>
          <w:szCs w:val="24"/>
        </w:rPr>
        <w:t>ure</w:t>
      </w:r>
      <w:r w:rsidRPr="004350D8">
        <w:rPr>
          <w:rFonts w:cstheme="minorHAnsi"/>
          <w:bCs/>
          <w:color w:val="000000"/>
          <w:sz w:val="24"/>
          <w:szCs w:val="24"/>
        </w:rPr>
        <w:t xml:space="preserve"> </w:t>
      </w:r>
      <w:r w:rsidR="00144659">
        <w:rPr>
          <w:rFonts w:cstheme="minorHAnsi"/>
          <w:bCs/>
          <w:color w:val="000000"/>
          <w:sz w:val="24"/>
          <w:szCs w:val="24"/>
        </w:rPr>
        <w:t>5</w:t>
      </w:r>
      <w:r w:rsidRPr="004350D8">
        <w:rPr>
          <w:rFonts w:cstheme="minorHAnsi"/>
          <w:bCs/>
          <w:color w:val="000000"/>
          <w:sz w:val="24"/>
          <w:szCs w:val="24"/>
        </w:rPr>
        <w:t xml:space="preserve">: Claims Against Nine Authorities in Ireland 2002-2006 </w:t>
      </w:r>
      <w:r w:rsidRPr="004350D8">
        <w:rPr>
          <w:rFonts w:cstheme="minorHAnsi"/>
          <w:bCs/>
          <w:i/>
          <w:color w:val="000000"/>
          <w:sz w:val="24"/>
          <w:szCs w:val="24"/>
        </w:rPr>
        <w:t>Source: Project Survey</w:t>
      </w:r>
    </w:p>
    <w:p w14:paraId="637D512C" w14:textId="77777777" w:rsidR="00C47560" w:rsidRPr="004350D8" w:rsidRDefault="00C47560" w:rsidP="007E7A8D">
      <w:pPr>
        <w:autoSpaceDE w:val="0"/>
        <w:autoSpaceDN w:val="0"/>
        <w:adjustRightInd w:val="0"/>
        <w:spacing w:after="0" w:line="480" w:lineRule="auto"/>
        <w:jc w:val="both"/>
        <w:rPr>
          <w:rFonts w:cstheme="minorHAnsi"/>
          <w:sz w:val="24"/>
          <w:szCs w:val="24"/>
        </w:rPr>
      </w:pPr>
    </w:p>
    <w:p w14:paraId="599FF2E7" w14:textId="77777777" w:rsidR="00C47560" w:rsidRPr="004350D8" w:rsidRDefault="00C47560" w:rsidP="007E7A8D">
      <w:pPr>
        <w:spacing w:after="0" w:line="480" w:lineRule="auto"/>
        <w:jc w:val="both"/>
        <w:rPr>
          <w:rFonts w:cstheme="minorHAnsi"/>
          <w:sz w:val="24"/>
          <w:szCs w:val="24"/>
        </w:rPr>
      </w:pPr>
      <w:r w:rsidRPr="004350D8">
        <w:rPr>
          <w:rFonts w:cstheme="minorHAnsi"/>
          <w:noProof/>
          <w:sz w:val="24"/>
          <w:szCs w:val="24"/>
          <w:lang w:val="en-US" w:eastAsia="en-US"/>
        </w:rPr>
        <w:lastRenderedPageBreak/>
        <w:drawing>
          <wp:inline distT="0" distB="0" distL="0" distR="0" wp14:anchorId="7405FA14" wp14:editId="2457C45C">
            <wp:extent cx="3999230" cy="3578225"/>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7692" t="3604" b="18919"/>
                    <a:stretch>
                      <a:fillRect/>
                    </a:stretch>
                  </pic:blipFill>
                  <pic:spPr bwMode="auto">
                    <a:xfrm>
                      <a:off x="0" y="0"/>
                      <a:ext cx="3999230" cy="3578225"/>
                    </a:xfrm>
                    <a:prstGeom prst="rect">
                      <a:avLst/>
                    </a:prstGeom>
                    <a:noFill/>
                    <a:ln w="9525">
                      <a:noFill/>
                      <a:miter lim="800000"/>
                      <a:headEnd/>
                      <a:tailEnd/>
                    </a:ln>
                  </pic:spPr>
                </pic:pic>
              </a:graphicData>
            </a:graphic>
          </wp:inline>
        </w:drawing>
      </w:r>
      <w:r w:rsidRPr="004350D8">
        <w:rPr>
          <w:rFonts w:cstheme="minorHAnsi"/>
          <w:sz w:val="24"/>
          <w:szCs w:val="24"/>
        </w:rPr>
        <w:t xml:space="preserve">  </w:t>
      </w:r>
    </w:p>
    <w:p w14:paraId="683673AA" w14:textId="77777777" w:rsidR="00C47560" w:rsidRPr="004350D8" w:rsidRDefault="00C47560" w:rsidP="007E7A8D">
      <w:pPr>
        <w:tabs>
          <w:tab w:val="left" w:pos="6765"/>
        </w:tabs>
        <w:spacing w:after="0" w:line="480" w:lineRule="auto"/>
        <w:jc w:val="both"/>
        <w:rPr>
          <w:rFonts w:cstheme="minorHAnsi"/>
          <w:sz w:val="24"/>
          <w:szCs w:val="24"/>
        </w:rPr>
      </w:pPr>
      <w:r w:rsidRPr="004350D8">
        <w:rPr>
          <w:rFonts w:cstheme="minorHAnsi"/>
          <w:sz w:val="24"/>
          <w:szCs w:val="24"/>
        </w:rPr>
        <w:tab/>
      </w:r>
      <w:r w:rsidRPr="004350D8">
        <w:rPr>
          <w:rFonts w:cstheme="minorHAnsi"/>
          <w:noProof/>
          <w:sz w:val="24"/>
          <w:szCs w:val="24"/>
          <w:lang w:val="en-US" w:eastAsia="en-US"/>
        </w:rPr>
        <w:drawing>
          <wp:inline distT="0" distB="0" distL="0" distR="0" wp14:anchorId="5614B0E6" wp14:editId="72D33939">
            <wp:extent cx="3999230" cy="3411220"/>
            <wp:effectExtent l="1905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l="7692" t="4504" b="21771"/>
                    <a:stretch>
                      <a:fillRect/>
                    </a:stretch>
                  </pic:blipFill>
                  <pic:spPr bwMode="auto">
                    <a:xfrm>
                      <a:off x="0" y="0"/>
                      <a:ext cx="3999230" cy="3411220"/>
                    </a:xfrm>
                    <a:prstGeom prst="rect">
                      <a:avLst/>
                    </a:prstGeom>
                    <a:noFill/>
                    <a:ln w="9525">
                      <a:noFill/>
                      <a:miter lim="800000"/>
                      <a:headEnd/>
                      <a:tailEnd/>
                    </a:ln>
                  </pic:spPr>
                </pic:pic>
              </a:graphicData>
            </a:graphic>
          </wp:inline>
        </w:drawing>
      </w:r>
    </w:p>
    <w:p w14:paraId="0C00223E"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 xml:space="preserve">Fig </w:t>
      </w:r>
      <w:r w:rsidR="00133876">
        <w:rPr>
          <w:rFonts w:cstheme="minorHAnsi"/>
          <w:sz w:val="24"/>
          <w:szCs w:val="24"/>
        </w:rPr>
        <w:t>6</w:t>
      </w:r>
      <w:r w:rsidRPr="004350D8">
        <w:rPr>
          <w:rFonts w:cstheme="minorHAnsi"/>
          <w:sz w:val="24"/>
          <w:szCs w:val="24"/>
        </w:rPr>
        <w:t>: Banding of Insurance Excesses in Scotland and Ireland, all authorities, 2006-7</w:t>
      </w:r>
    </w:p>
    <w:p w14:paraId="7C2E640F" w14:textId="77777777" w:rsidR="00C47560" w:rsidRPr="004350D8" w:rsidRDefault="00C47560" w:rsidP="007E7A8D">
      <w:pPr>
        <w:spacing w:after="0" w:line="480" w:lineRule="auto"/>
        <w:jc w:val="both"/>
        <w:rPr>
          <w:rFonts w:cstheme="minorHAnsi"/>
          <w:sz w:val="24"/>
          <w:szCs w:val="24"/>
        </w:rPr>
      </w:pPr>
    </w:p>
    <w:tbl>
      <w:tblPr>
        <w:tblW w:w="0" w:type="auto"/>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1980"/>
      </w:tblGrid>
      <w:tr w:rsidR="00C47560" w:rsidRPr="004350D8" w14:paraId="410002FF" w14:textId="77777777" w:rsidTr="00785DAC">
        <w:trPr>
          <w:cantSplit/>
          <w:trHeight w:val="420"/>
        </w:trPr>
        <w:tc>
          <w:tcPr>
            <w:tcW w:w="2088" w:type="dxa"/>
            <w:vMerge w:val="restart"/>
          </w:tcPr>
          <w:p w14:paraId="1AC194DA"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lastRenderedPageBreak/>
              <w:t>Band</w:t>
            </w:r>
          </w:p>
        </w:tc>
        <w:tc>
          <w:tcPr>
            <w:tcW w:w="3960" w:type="dxa"/>
            <w:gridSpan w:val="2"/>
          </w:tcPr>
          <w:p w14:paraId="0F783D59"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 xml:space="preserve">                      Excess</w:t>
            </w:r>
          </w:p>
          <w:p w14:paraId="12D6441F" w14:textId="77777777" w:rsidR="00C47560" w:rsidRPr="004350D8" w:rsidRDefault="00C47560" w:rsidP="007E7A8D">
            <w:pPr>
              <w:spacing w:after="0" w:line="480" w:lineRule="auto"/>
              <w:jc w:val="both"/>
              <w:rPr>
                <w:rFonts w:cstheme="minorHAnsi"/>
                <w:sz w:val="24"/>
                <w:szCs w:val="24"/>
              </w:rPr>
            </w:pPr>
          </w:p>
        </w:tc>
      </w:tr>
      <w:tr w:rsidR="00C47560" w:rsidRPr="004350D8" w14:paraId="06F16208" w14:textId="77777777" w:rsidTr="00785DAC">
        <w:trPr>
          <w:cantSplit/>
          <w:trHeight w:val="150"/>
        </w:trPr>
        <w:tc>
          <w:tcPr>
            <w:tcW w:w="2088" w:type="dxa"/>
            <w:vMerge/>
          </w:tcPr>
          <w:p w14:paraId="387FD125" w14:textId="77777777" w:rsidR="00C47560" w:rsidRPr="004350D8" w:rsidRDefault="00C47560" w:rsidP="007E7A8D">
            <w:pPr>
              <w:spacing w:after="0" w:line="480" w:lineRule="auto"/>
              <w:jc w:val="both"/>
              <w:rPr>
                <w:rFonts w:cstheme="minorHAnsi"/>
                <w:sz w:val="24"/>
                <w:szCs w:val="24"/>
              </w:rPr>
            </w:pPr>
          </w:p>
        </w:tc>
        <w:tc>
          <w:tcPr>
            <w:tcW w:w="1980" w:type="dxa"/>
          </w:tcPr>
          <w:p w14:paraId="1A87507C"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Scotland £</w:t>
            </w:r>
          </w:p>
        </w:tc>
        <w:tc>
          <w:tcPr>
            <w:tcW w:w="1980" w:type="dxa"/>
          </w:tcPr>
          <w:p w14:paraId="542768EE"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Ireland €</w:t>
            </w:r>
          </w:p>
        </w:tc>
      </w:tr>
      <w:tr w:rsidR="00C47560" w:rsidRPr="004350D8" w14:paraId="4B5D6D71" w14:textId="77777777" w:rsidTr="00785DAC">
        <w:tc>
          <w:tcPr>
            <w:tcW w:w="2088" w:type="dxa"/>
          </w:tcPr>
          <w:p w14:paraId="754A9223"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No</w:t>
            </w:r>
          </w:p>
        </w:tc>
        <w:tc>
          <w:tcPr>
            <w:tcW w:w="1980" w:type="dxa"/>
          </w:tcPr>
          <w:p w14:paraId="48D5429F"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0</w:t>
            </w:r>
          </w:p>
        </w:tc>
        <w:tc>
          <w:tcPr>
            <w:tcW w:w="1980" w:type="dxa"/>
          </w:tcPr>
          <w:p w14:paraId="3869BBFB"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0</w:t>
            </w:r>
          </w:p>
        </w:tc>
      </w:tr>
      <w:tr w:rsidR="00C47560" w:rsidRPr="004350D8" w14:paraId="1F944D21" w14:textId="77777777" w:rsidTr="00785DAC">
        <w:tc>
          <w:tcPr>
            <w:tcW w:w="2088" w:type="dxa"/>
          </w:tcPr>
          <w:p w14:paraId="5A3C590C"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Min</w:t>
            </w:r>
          </w:p>
        </w:tc>
        <w:tc>
          <w:tcPr>
            <w:tcW w:w="1980" w:type="dxa"/>
          </w:tcPr>
          <w:p w14:paraId="583108C2"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1-4,999</w:t>
            </w:r>
          </w:p>
        </w:tc>
        <w:tc>
          <w:tcPr>
            <w:tcW w:w="1980" w:type="dxa"/>
          </w:tcPr>
          <w:p w14:paraId="6C29EDCA"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1-6,299*</w:t>
            </w:r>
          </w:p>
        </w:tc>
      </w:tr>
      <w:tr w:rsidR="00C47560" w:rsidRPr="004350D8" w14:paraId="46787C97" w14:textId="77777777" w:rsidTr="00785DAC">
        <w:tc>
          <w:tcPr>
            <w:tcW w:w="2088" w:type="dxa"/>
          </w:tcPr>
          <w:p w14:paraId="175FB073"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Low</w:t>
            </w:r>
          </w:p>
        </w:tc>
        <w:tc>
          <w:tcPr>
            <w:tcW w:w="1980" w:type="dxa"/>
          </w:tcPr>
          <w:p w14:paraId="4D00EDDD"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5,000-10,000</w:t>
            </w:r>
          </w:p>
        </w:tc>
        <w:tc>
          <w:tcPr>
            <w:tcW w:w="1980" w:type="dxa"/>
          </w:tcPr>
          <w:p w14:paraId="37B21911"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6,300-12,700</w:t>
            </w:r>
          </w:p>
        </w:tc>
      </w:tr>
      <w:tr w:rsidR="00C47560" w:rsidRPr="004350D8" w14:paraId="6FE103B6" w14:textId="77777777" w:rsidTr="00785DAC">
        <w:tc>
          <w:tcPr>
            <w:tcW w:w="2088" w:type="dxa"/>
          </w:tcPr>
          <w:p w14:paraId="17507769"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Medium</w:t>
            </w:r>
          </w:p>
        </w:tc>
        <w:tc>
          <w:tcPr>
            <w:tcW w:w="1980" w:type="dxa"/>
          </w:tcPr>
          <w:p w14:paraId="0501C6B9"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10,001-99,999</w:t>
            </w:r>
          </w:p>
        </w:tc>
        <w:tc>
          <w:tcPr>
            <w:tcW w:w="1980" w:type="dxa"/>
          </w:tcPr>
          <w:p w14:paraId="303156F0"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12,701-125,999</w:t>
            </w:r>
          </w:p>
        </w:tc>
      </w:tr>
      <w:tr w:rsidR="00C47560" w:rsidRPr="004350D8" w14:paraId="15E4C596" w14:textId="77777777" w:rsidTr="00785DAC">
        <w:tc>
          <w:tcPr>
            <w:tcW w:w="2088" w:type="dxa"/>
          </w:tcPr>
          <w:p w14:paraId="265844BF"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High</w:t>
            </w:r>
          </w:p>
        </w:tc>
        <w:tc>
          <w:tcPr>
            <w:tcW w:w="1980" w:type="dxa"/>
          </w:tcPr>
          <w:p w14:paraId="23520EF5"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100,000+</w:t>
            </w:r>
          </w:p>
        </w:tc>
        <w:tc>
          <w:tcPr>
            <w:tcW w:w="1980" w:type="dxa"/>
          </w:tcPr>
          <w:p w14:paraId="1E148FFE" w14:textId="77777777" w:rsidR="00C47560" w:rsidRPr="004350D8" w:rsidRDefault="00C47560" w:rsidP="007E7A8D">
            <w:pPr>
              <w:spacing w:after="0" w:line="480" w:lineRule="auto"/>
              <w:jc w:val="both"/>
              <w:rPr>
                <w:rFonts w:cstheme="minorHAnsi"/>
                <w:sz w:val="24"/>
                <w:szCs w:val="24"/>
              </w:rPr>
            </w:pPr>
            <w:r w:rsidRPr="004350D8">
              <w:rPr>
                <w:rFonts w:cstheme="minorHAnsi"/>
                <w:sz w:val="24"/>
                <w:szCs w:val="24"/>
              </w:rPr>
              <w:t>126,000</w:t>
            </w:r>
          </w:p>
        </w:tc>
      </w:tr>
    </w:tbl>
    <w:p w14:paraId="047CDBD2" w14:textId="77777777" w:rsidR="00C47560" w:rsidRPr="004350D8" w:rsidRDefault="00C47560" w:rsidP="007E7A8D">
      <w:pPr>
        <w:spacing w:after="0" w:line="480" w:lineRule="auto"/>
        <w:ind w:left="720" w:firstLine="720"/>
        <w:jc w:val="both"/>
        <w:rPr>
          <w:rFonts w:cstheme="minorHAnsi"/>
          <w:sz w:val="24"/>
          <w:szCs w:val="24"/>
        </w:rPr>
      </w:pPr>
      <w:r w:rsidRPr="004350D8">
        <w:rPr>
          <w:rFonts w:cstheme="minorHAnsi"/>
          <w:sz w:val="24"/>
          <w:szCs w:val="24"/>
        </w:rPr>
        <w:t>Table 1 – Banding Scheme for Insurance Excesses</w:t>
      </w:r>
    </w:p>
    <w:p w14:paraId="4509AFFA" w14:textId="77777777" w:rsidR="00522A08" w:rsidRPr="004350D8" w:rsidRDefault="00522A08" w:rsidP="007E7A8D">
      <w:pPr>
        <w:pStyle w:val="Default"/>
        <w:spacing w:line="480" w:lineRule="auto"/>
        <w:jc w:val="both"/>
        <w:rPr>
          <w:rFonts w:asciiTheme="minorHAnsi" w:hAnsiTheme="minorHAnsi" w:cstheme="minorHAnsi"/>
          <w:lang w:val="en-GB"/>
        </w:rPr>
      </w:pPr>
    </w:p>
    <w:p w14:paraId="1FB0D580" w14:textId="77777777" w:rsidR="00143BAA" w:rsidRPr="004350D8" w:rsidRDefault="00143BAA" w:rsidP="007E7A8D">
      <w:pPr>
        <w:pStyle w:val="Default"/>
        <w:spacing w:line="480" w:lineRule="auto"/>
        <w:jc w:val="both"/>
        <w:rPr>
          <w:rFonts w:asciiTheme="minorHAnsi" w:eastAsia="Batang" w:hAnsiTheme="minorHAnsi" w:cstheme="minorHAnsi"/>
        </w:rPr>
      </w:pPr>
    </w:p>
    <w:p w14:paraId="5DFB5482" w14:textId="77777777" w:rsidR="00EA7540" w:rsidRPr="004350D8" w:rsidRDefault="00EA7540" w:rsidP="007E7A8D">
      <w:pPr>
        <w:pStyle w:val="Default"/>
        <w:spacing w:line="480" w:lineRule="auto"/>
        <w:jc w:val="both"/>
        <w:rPr>
          <w:rFonts w:asciiTheme="minorHAnsi" w:eastAsia="Batang" w:hAnsiTheme="minorHAnsi" w:cstheme="minorHAnsi"/>
        </w:rPr>
      </w:pPr>
    </w:p>
    <w:p w14:paraId="0DE5E43C" w14:textId="77777777" w:rsidR="00EA7540" w:rsidRPr="004350D8" w:rsidRDefault="00EA7540" w:rsidP="007E7A8D">
      <w:pPr>
        <w:pStyle w:val="Default"/>
        <w:spacing w:line="480" w:lineRule="auto"/>
        <w:jc w:val="both"/>
        <w:rPr>
          <w:rFonts w:asciiTheme="minorHAnsi" w:eastAsia="Batang" w:hAnsiTheme="minorHAnsi" w:cstheme="minorHAnsi"/>
        </w:rPr>
      </w:pPr>
    </w:p>
    <w:p w14:paraId="47717F94" w14:textId="77777777" w:rsidR="00EA7540" w:rsidRPr="004350D8" w:rsidRDefault="00EA7540" w:rsidP="007E7A8D">
      <w:pPr>
        <w:pStyle w:val="Default"/>
        <w:spacing w:line="480" w:lineRule="auto"/>
        <w:jc w:val="both"/>
        <w:rPr>
          <w:rFonts w:asciiTheme="minorHAnsi" w:eastAsia="Batang" w:hAnsiTheme="minorHAnsi" w:cstheme="minorHAnsi"/>
        </w:rPr>
      </w:pPr>
    </w:p>
    <w:p w14:paraId="683829EE" w14:textId="77777777" w:rsidR="00EA7540" w:rsidRPr="004350D8" w:rsidRDefault="00EA7540" w:rsidP="007E7A8D">
      <w:pPr>
        <w:pStyle w:val="Default"/>
        <w:spacing w:line="480" w:lineRule="auto"/>
        <w:jc w:val="both"/>
        <w:rPr>
          <w:rFonts w:asciiTheme="minorHAnsi" w:eastAsia="Batang" w:hAnsiTheme="minorHAnsi" w:cstheme="minorHAnsi"/>
        </w:rPr>
      </w:pPr>
    </w:p>
    <w:p w14:paraId="4DAD6F25" w14:textId="77777777" w:rsidR="00EA7540" w:rsidRPr="004350D8" w:rsidRDefault="00EA7540" w:rsidP="007E7A8D">
      <w:pPr>
        <w:spacing w:after="0" w:line="480" w:lineRule="auto"/>
        <w:jc w:val="both"/>
        <w:rPr>
          <w:rFonts w:cstheme="minorHAnsi"/>
          <w:sz w:val="24"/>
          <w:szCs w:val="24"/>
          <w:lang w:eastAsia="en-AU"/>
        </w:rPr>
      </w:pPr>
    </w:p>
    <w:p w14:paraId="118DB68F" w14:textId="77777777" w:rsidR="00EA7540" w:rsidRPr="004350D8" w:rsidRDefault="00EA7540" w:rsidP="007E7A8D">
      <w:pPr>
        <w:pStyle w:val="Default"/>
        <w:spacing w:line="480" w:lineRule="auto"/>
        <w:jc w:val="both"/>
        <w:rPr>
          <w:rFonts w:asciiTheme="minorHAnsi" w:hAnsiTheme="minorHAnsi" w:cstheme="minorHAnsi"/>
          <w:lang w:val="en-GB"/>
        </w:rPr>
      </w:pPr>
    </w:p>
    <w:p w14:paraId="04A156CE" w14:textId="77777777" w:rsidR="00DE4F2E" w:rsidRPr="004350D8" w:rsidRDefault="00DE4F2E" w:rsidP="007E7A8D">
      <w:pPr>
        <w:spacing w:after="0" w:line="480" w:lineRule="auto"/>
        <w:ind w:left="720" w:hanging="720"/>
        <w:rPr>
          <w:rFonts w:cstheme="minorHAnsi"/>
          <w:sz w:val="24"/>
          <w:szCs w:val="24"/>
        </w:rPr>
      </w:pPr>
    </w:p>
    <w:p w14:paraId="3C8BE1EC" w14:textId="77777777" w:rsidR="004679DC" w:rsidRPr="004350D8" w:rsidRDefault="004679DC" w:rsidP="007E7A8D">
      <w:pPr>
        <w:spacing w:after="0" w:line="480" w:lineRule="auto"/>
        <w:jc w:val="both"/>
        <w:rPr>
          <w:rFonts w:eastAsia="Batang" w:cstheme="minorHAnsi"/>
          <w:sz w:val="24"/>
          <w:szCs w:val="24"/>
        </w:rPr>
      </w:pPr>
    </w:p>
    <w:p w14:paraId="5D66E057" w14:textId="77777777" w:rsidR="004679DC" w:rsidRPr="004350D8" w:rsidRDefault="004679DC" w:rsidP="007E7A8D">
      <w:pPr>
        <w:spacing w:after="0" w:line="480" w:lineRule="auto"/>
        <w:ind w:left="720" w:hanging="720"/>
        <w:rPr>
          <w:rFonts w:cstheme="minorHAnsi"/>
          <w:sz w:val="24"/>
          <w:szCs w:val="24"/>
        </w:rPr>
      </w:pPr>
    </w:p>
    <w:sectPr w:rsidR="004679DC" w:rsidRPr="004350D8" w:rsidSect="00F5230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D7EEA" w14:textId="77777777" w:rsidR="0090145A" w:rsidRDefault="0090145A" w:rsidP="003D6501">
      <w:pPr>
        <w:spacing w:after="0" w:line="240" w:lineRule="auto"/>
      </w:pPr>
      <w:r>
        <w:separator/>
      </w:r>
    </w:p>
  </w:endnote>
  <w:endnote w:type="continuationSeparator" w:id="0">
    <w:p w14:paraId="28AC57FB" w14:textId="77777777" w:rsidR="0090145A" w:rsidRDefault="0090145A" w:rsidP="003D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dvT208">
    <w:altName w:val="MS Mincho"/>
    <w:panose1 w:val="00000000000000000000"/>
    <w:charset w:val="80"/>
    <w:family w:val="auto"/>
    <w:notTrueType/>
    <w:pitch w:val="default"/>
    <w:sig w:usb0="00000000" w:usb1="08070000" w:usb2="00000010" w:usb3="00000000" w:csb0="00020000" w:csb1="00000000"/>
  </w:font>
  <w:font w:name="AdvT207">
    <w:altName w:val="MS Mincho"/>
    <w:panose1 w:val="00000000000000000000"/>
    <w:charset w:val="80"/>
    <w:family w:val="auto"/>
    <w:notTrueType/>
    <w:pitch w:val="default"/>
    <w:sig w:usb0="00000000"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595112"/>
      <w:docPartObj>
        <w:docPartGallery w:val="Page Numbers (Bottom of Page)"/>
        <w:docPartUnique/>
      </w:docPartObj>
    </w:sdtPr>
    <w:sdtEndPr>
      <w:rPr>
        <w:noProof/>
      </w:rPr>
    </w:sdtEndPr>
    <w:sdtContent>
      <w:p w14:paraId="0CA9D819" w14:textId="77777777" w:rsidR="0082140C" w:rsidRDefault="009F72C3">
        <w:pPr>
          <w:pStyle w:val="Footer"/>
          <w:jc w:val="center"/>
        </w:pPr>
        <w:r>
          <w:fldChar w:fldCharType="begin"/>
        </w:r>
        <w:r>
          <w:instrText xml:space="preserve"> PAGE   \* MERGEFORMAT </w:instrText>
        </w:r>
        <w:r>
          <w:fldChar w:fldCharType="separate"/>
        </w:r>
        <w:r w:rsidR="00061764">
          <w:rPr>
            <w:noProof/>
          </w:rPr>
          <w:t>2</w:t>
        </w:r>
        <w:r>
          <w:rPr>
            <w:noProof/>
          </w:rPr>
          <w:fldChar w:fldCharType="end"/>
        </w:r>
      </w:p>
    </w:sdtContent>
  </w:sdt>
  <w:p w14:paraId="6AD3FC8A" w14:textId="77777777" w:rsidR="0082140C" w:rsidRDefault="008214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73F76" w14:textId="77777777" w:rsidR="0090145A" w:rsidRDefault="0090145A" w:rsidP="003D6501">
      <w:pPr>
        <w:spacing w:after="0" w:line="240" w:lineRule="auto"/>
      </w:pPr>
      <w:r>
        <w:separator/>
      </w:r>
    </w:p>
  </w:footnote>
  <w:footnote w:type="continuationSeparator" w:id="0">
    <w:p w14:paraId="5A282457" w14:textId="77777777" w:rsidR="0090145A" w:rsidRDefault="0090145A" w:rsidP="003D6501">
      <w:pPr>
        <w:spacing w:after="0" w:line="240" w:lineRule="auto"/>
      </w:pPr>
      <w:r>
        <w:continuationSeparator/>
      </w:r>
    </w:p>
  </w:footnote>
  <w:footnote w:id="1">
    <w:p w14:paraId="1AFE78CD" w14:textId="77777777" w:rsidR="0082140C" w:rsidRPr="005017F2" w:rsidRDefault="0082140C" w:rsidP="005017F2">
      <w:pPr>
        <w:spacing w:after="0" w:line="240" w:lineRule="auto"/>
      </w:pPr>
      <w:r>
        <w:rPr>
          <w:rFonts w:cstheme="minorHAnsi"/>
        </w:rPr>
        <w:t xml:space="preserve">* </w:t>
      </w:r>
      <w:r w:rsidRPr="005017F2">
        <w:rPr>
          <w:rFonts w:cstheme="minorHAnsi"/>
          <w:sz w:val="20"/>
          <w:szCs w:val="20"/>
        </w:rPr>
        <w:t xml:space="preserve">We are grateful to </w:t>
      </w:r>
      <w:r w:rsidR="005017F2" w:rsidRPr="005017F2">
        <w:rPr>
          <w:rFonts w:cstheme="minorHAnsi"/>
          <w:sz w:val="20"/>
          <w:szCs w:val="20"/>
        </w:rPr>
        <w:t xml:space="preserve">Jeff King and </w:t>
      </w:r>
      <w:r w:rsidRPr="005017F2">
        <w:rPr>
          <w:rFonts w:cstheme="minorHAnsi"/>
          <w:sz w:val="20"/>
          <w:szCs w:val="20"/>
        </w:rPr>
        <w:t>Maurice Sunkin for helpful feedback on a draft of this article.</w:t>
      </w:r>
      <w:r w:rsidR="005017F2" w:rsidRPr="005017F2">
        <w:rPr>
          <w:rFonts w:cstheme="minorHAnsi"/>
          <w:sz w:val="20"/>
          <w:szCs w:val="20"/>
        </w:rPr>
        <w:t xml:space="preserve"> </w:t>
      </w:r>
      <w:r w:rsidR="005017F2">
        <w:rPr>
          <w:sz w:val="20"/>
          <w:szCs w:val="20"/>
        </w:rPr>
        <w:t>The</w:t>
      </w:r>
      <w:r w:rsidR="005017F2" w:rsidRPr="005017F2">
        <w:rPr>
          <w:sz w:val="20"/>
          <w:szCs w:val="20"/>
        </w:rPr>
        <w:t xml:space="preserve"> article is based on the findings of the research project, ‘A Compensation Culture? A Comparative Investigation of the Risk Management of Legal Liability Risks in Public Services in Scotland and Ireland’. We are grateful to our funding agencies, the Economic and Social Research Council (Award Reference </w:t>
      </w:r>
      <w:r w:rsidR="005017F2" w:rsidRPr="005017F2">
        <w:rPr>
          <w:rStyle w:val="Strong"/>
          <w:b w:val="0"/>
          <w:sz w:val="20"/>
          <w:szCs w:val="20"/>
        </w:rPr>
        <w:t>RES-062-23-0492) and the Irish Research Council for Humanities and Social Sciences, for their support of the research.</w:t>
      </w:r>
    </w:p>
    <w:p w14:paraId="2F6D12C9"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 Haltom and M McCann, </w:t>
      </w:r>
      <w:r w:rsidRPr="00C85407">
        <w:rPr>
          <w:rFonts w:asciiTheme="minorHAnsi" w:hAnsiTheme="minorHAnsi" w:cstheme="minorHAnsi"/>
          <w:i/>
        </w:rPr>
        <w:t>Distorting the Law: Politics, Media and the Litigation Crisis</w:t>
      </w:r>
      <w:r w:rsidRPr="00C85407">
        <w:rPr>
          <w:rFonts w:asciiTheme="minorHAnsi" w:hAnsiTheme="minorHAnsi" w:cstheme="minorHAnsi"/>
        </w:rPr>
        <w:t xml:space="preserve"> (Chicago University Press, 2004); K Williams, ‘State of Fear: Britain’s “Compensation Culture” Reviewed’ (2005) </w:t>
      </w:r>
      <w:r w:rsidRPr="00C85407">
        <w:rPr>
          <w:rFonts w:asciiTheme="minorHAnsi" w:hAnsiTheme="minorHAnsi" w:cstheme="minorHAnsi"/>
          <w:i/>
        </w:rPr>
        <w:t>Legal Studies</w:t>
      </w:r>
      <w:r w:rsidRPr="00C85407">
        <w:rPr>
          <w:rFonts w:asciiTheme="minorHAnsi" w:hAnsiTheme="minorHAnsi" w:cstheme="minorHAnsi"/>
        </w:rPr>
        <w:t xml:space="preserve">, 499-514; A Morris ‘Spiralling or Stabilising? The Compensation Culture and Our Propensity to Claim Damages for Personal Injury’ (2007) </w:t>
      </w:r>
      <w:r w:rsidRPr="00C85407">
        <w:rPr>
          <w:rFonts w:asciiTheme="minorHAnsi" w:hAnsiTheme="minorHAnsi" w:cstheme="minorHAnsi"/>
          <w:i/>
        </w:rPr>
        <w:t>Modern Law Review</w:t>
      </w:r>
      <w:r w:rsidRPr="00C85407">
        <w:rPr>
          <w:rFonts w:asciiTheme="minorHAnsi" w:hAnsiTheme="minorHAnsi" w:cstheme="minorHAnsi"/>
        </w:rPr>
        <w:t xml:space="preserve"> 70(3), 349-78.</w:t>
      </w:r>
    </w:p>
  </w:footnote>
  <w:footnote w:id="2">
    <w:p w14:paraId="06767959"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Actuarial Profession, ‘The Cost of Compensation Culture’ &lt;http://www.actuaries.org.uk/sites/all/files/documents/pdf/lowe.pdf&gt; (accessed 26</w:t>
      </w:r>
      <w:r w:rsidRPr="00C85407">
        <w:rPr>
          <w:rFonts w:asciiTheme="minorHAnsi" w:hAnsiTheme="minorHAnsi" w:cstheme="minorHAnsi"/>
          <w:vertAlign w:val="superscript"/>
        </w:rPr>
        <w:t>th</w:t>
      </w:r>
      <w:r w:rsidRPr="00C85407">
        <w:rPr>
          <w:rFonts w:asciiTheme="minorHAnsi" w:hAnsiTheme="minorHAnsi" w:cstheme="minorHAnsi"/>
        </w:rPr>
        <w:t xml:space="preserve"> November 2010)</w:t>
      </w:r>
    </w:p>
  </w:footnote>
  <w:footnote w:id="3">
    <w:p w14:paraId="0A19F406"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Irish Business and Employers’ Confederation, </w:t>
      </w:r>
      <w:r w:rsidRPr="00C85407">
        <w:rPr>
          <w:rFonts w:asciiTheme="minorHAnsi" w:hAnsiTheme="minorHAnsi" w:cstheme="minorHAnsi"/>
          <w:i/>
        </w:rPr>
        <w:t>National Survey of Personal Injury Claims 2000</w:t>
      </w:r>
      <w:r w:rsidRPr="00C85407">
        <w:rPr>
          <w:rFonts w:asciiTheme="minorHAnsi" w:hAnsiTheme="minorHAnsi" w:cstheme="minorHAnsi"/>
        </w:rPr>
        <w:t>, (IBEC, 2001)</w:t>
      </w:r>
    </w:p>
  </w:footnote>
  <w:footnote w:id="4">
    <w:p w14:paraId="20B32F7F"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Better Regulation Task Force, </w:t>
      </w:r>
      <w:r w:rsidRPr="00C85407">
        <w:rPr>
          <w:rFonts w:asciiTheme="minorHAnsi" w:hAnsiTheme="minorHAnsi" w:cstheme="minorHAnsi"/>
          <w:i/>
        </w:rPr>
        <w:t>Better Routes to Redress</w:t>
      </w:r>
      <w:r w:rsidRPr="00C85407">
        <w:rPr>
          <w:rFonts w:asciiTheme="minorHAnsi" w:hAnsiTheme="minorHAnsi" w:cstheme="minorHAnsi"/>
        </w:rPr>
        <w:t xml:space="preserve"> (Better Regulation Task Force, 2004); R Lewis, A Morris and K Oliphant, ‘Tort Personal Injury Claims Statistics: Is there a compensation culture in the UK?’ (2006) </w:t>
      </w:r>
      <w:r w:rsidRPr="00C85407">
        <w:rPr>
          <w:rFonts w:asciiTheme="minorHAnsi" w:hAnsiTheme="minorHAnsi" w:cstheme="minorHAnsi"/>
          <w:i/>
        </w:rPr>
        <w:t>Torts Law Journal</w:t>
      </w:r>
      <w:r w:rsidRPr="00C85407">
        <w:rPr>
          <w:rFonts w:asciiTheme="minorHAnsi" w:hAnsiTheme="minorHAnsi" w:cstheme="minorHAnsi"/>
        </w:rPr>
        <w:t>, vol. 14, pp. 158-75.</w:t>
      </w:r>
    </w:p>
  </w:footnote>
  <w:footnote w:id="5">
    <w:p w14:paraId="1531E026"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See, for example, Better Regulation Task Force (n 4); House of Commons Select Committee on Constitutional Affairs (Third Report, Session 2005-6, The Stationery Office, 2006)</w:t>
      </w:r>
    </w:p>
  </w:footnote>
  <w:footnote w:id="6">
    <w:p w14:paraId="3570D072"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for example, C Harlow, </w:t>
      </w:r>
      <w:r w:rsidRPr="00C85407">
        <w:rPr>
          <w:rFonts w:asciiTheme="minorHAnsi" w:hAnsiTheme="minorHAnsi" w:cstheme="minorHAnsi"/>
          <w:i/>
          <w:lang w:val="en-GB"/>
        </w:rPr>
        <w:t>State Liability</w:t>
      </w:r>
      <w:r w:rsidRPr="00C85407">
        <w:rPr>
          <w:rFonts w:asciiTheme="minorHAnsi" w:hAnsiTheme="minorHAnsi" w:cstheme="minorHAnsi"/>
          <w:lang w:val="en-GB"/>
        </w:rPr>
        <w:t xml:space="preserve"> (OUP, 2004)</w:t>
      </w:r>
      <w:r>
        <w:rPr>
          <w:rFonts w:asciiTheme="minorHAnsi" w:hAnsiTheme="minorHAnsi" w:cstheme="minorHAnsi"/>
          <w:lang w:val="en-GB"/>
        </w:rPr>
        <w:t xml:space="preserve">; </w:t>
      </w:r>
      <w:r w:rsidRPr="00C846F4">
        <w:rPr>
          <w:rFonts w:asciiTheme="minorHAnsi" w:eastAsia="AdvT208" w:hAnsiTheme="minorHAnsi" w:cstheme="minorHAnsi"/>
          <w:i/>
        </w:rPr>
        <w:t xml:space="preserve">Stovin </w:t>
      </w:r>
      <w:r w:rsidRPr="00C846F4">
        <w:rPr>
          <w:rFonts w:asciiTheme="minorHAnsi" w:eastAsia="AdvT207" w:hAnsiTheme="minorHAnsi" w:cstheme="minorHAnsi"/>
          <w:i/>
        </w:rPr>
        <w:t xml:space="preserve">v </w:t>
      </w:r>
      <w:r w:rsidRPr="00C846F4">
        <w:rPr>
          <w:rFonts w:asciiTheme="minorHAnsi" w:eastAsia="AdvT208" w:hAnsiTheme="minorHAnsi" w:cstheme="minorHAnsi"/>
          <w:i/>
        </w:rPr>
        <w:t>Wise</w:t>
      </w:r>
      <w:r w:rsidRPr="00C846F4">
        <w:rPr>
          <w:rFonts w:asciiTheme="minorHAnsi" w:eastAsia="AdvT208" w:hAnsiTheme="minorHAnsi" w:cstheme="minorHAnsi"/>
        </w:rPr>
        <w:t xml:space="preserve"> </w:t>
      </w:r>
      <w:r w:rsidRPr="00C846F4">
        <w:rPr>
          <w:rFonts w:asciiTheme="minorHAnsi" w:eastAsia="AdvT207" w:hAnsiTheme="minorHAnsi" w:cstheme="minorHAnsi"/>
        </w:rPr>
        <w:t>[1996] AC 923</w:t>
      </w:r>
      <w:r>
        <w:rPr>
          <w:rFonts w:asciiTheme="minorHAnsi" w:hAnsiTheme="minorHAnsi" w:cstheme="minorHAnsi"/>
          <w:lang w:val="en-GB"/>
        </w:rPr>
        <w:t>, 958 (Lord Hoffman).</w:t>
      </w:r>
    </w:p>
  </w:footnote>
  <w:footnote w:id="7">
    <w:p w14:paraId="43F9798F"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See A Morris, ‘</w:t>
      </w:r>
      <w:r w:rsidRPr="00C85407">
        <w:rPr>
          <w:rFonts w:asciiTheme="minorHAnsi" w:hAnsiTheme="minorHAnsi" w:cstheme="minorHAnsi"/>
        </w:rPr>
        <w:t xml:space="preserve">Spiralling or Stabilising? The Compensation Culture and Our Propensity to Claim Damages for Personal Injury’ (2007) </w:t>
      </w:r>
      <w:r w:rsidRPr="00C85407">
        <w:rPr>
          <w:rFonts w:asciiTheme="minorHAnsi" w:hAnsiTheme="minorHAnsi" w:cstheme="minorHAnsi"/>
          <w:i/>
        </w:rPr>
        <w:t>Modern Law Review</w:t>
      </w:r>
      <w:r w:rsidRPr="00C85407">
        <w:rPr>
          <w:rFonts w:asciiTheme="minorHAnsi" w:hAnsiTheme="minorHAnsi" w:cstheme="minorHAnsi"/>
        </w:rPr>
        <w:t>, 70(3), pp. 349-78.</w:t>
      </w:r>
    </w:p>
  </w:footnote>
  <w:footnote w:id="8">
    <w:p w14:paraId="54B93C1D"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for example, M Power, </w:t>
      </w:r>
      <w:r w:rsidRPr="00C85407">
        <w:rPr>
          <w:rFonts w:asciiTheme="minorHAnsi" w:hAnsiTheme="minorHAnsi" w:cstheme="minorHAnsi"/>
          <w:i/>
          <w:lang w:val="en-GB"/>
        </w:rPr>
        <w:t>The Risk Management of Everything</w:t>
      </w:r>
      <w:r w:rsidRPr="00C85407">
        <w:rPr>
          <w:rFonts w:asciiTheme="minorHAnsi" w:hAnsiTheme="minorHAnsi" w:cstheme="minorHAnsi"/>
          <w:lang w:val="en-GB"/>
        </w:rPr>
        <w:t xml:space="preserve"> (Demos, 2004); </w:t>
      </w:r>
      <w:r w:rsidRPr="00C85407">
        <w:rPr>
          <w:rFonts w:asciiTheme="minorHAnsi" w:hAnsiTheme="minorHAnsi" w:cstheme="minorHAnsi"/>
        </w:rPr>
        <w:t xml:space="preserve">M Power, T Scheytt,  K Soin and K Sahlin, ‘Reputational Risk as a Logic of Organizing in Late Modernity’, (2009) 30 </w:t>
      </w:r>
      <w:r w:rsidRPr="00C85407">
        <w:rPr>
          <w:rFonts w:asciiTheme="minorHAnsi" w:hAnsiTheme="minorHAnsi" w:cstheme="minorHAnsi"/>
          <w:i/>
        </w:rPr>
        <w:t>Organization Studies</w:t>
      </w:r>
      <w:r w:rsidRPr="00C85407">
        <w:rPr>
          <w:rFonts w:asciiTheme="minorHAnsi" w:hAnsiTheme="minorHAnsi" w:cstheme="minorHAnsi"/>
        </w:rPr>
        <w:t>, 301-24.</w:t>
      </w:r>
    </w:p>
  </w:footnote>
  <w:footnote w:id="9">
    <w:p w14:paraId="61440438"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See </w:t>
      </w:r>
      <w:r w:rsidRPr="00C85407">
        <w:rPr>
          <w:rFonts w:asciiTheme="minorHAnsi" w:hAnsiTheme="minorHAnsi" w:cstheme="minorHAnsi"/>
          <w:lang w:val="en-GB"/>
        </w:rPr>
        <w:t>Harlow (n 6).</w:t>
      </w:r>
    </w:p>
  </w:footnote>
  <w:footnote w:id="10">
    <w:p w14:paraId="0962B077" w14:textId="77777777" w:rsidR="0082140C" w:rsidRPr="00C85407" w:rsidRDefault="0082140C">
      <w:pPr>
        <w:pStyle w:val="FootnoteText"/>
        <w:rPr>
          <w:rFonts w:asciiTheme="minorHAnsi" w:hAnsiTheme="minorHAnsi" w:cstheme="minorHAnsi"/>
          <w: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C Epp, </w:t>
      </w:r>
      <w:r w:rsidRPr="00C85407">
        <w:rPr>
          <w:rFonts w:asciiTheme="minorHAnsi" w:hAnsiTheme="minorHAnsi" w:cstheme="minorHAnsi"/>
          <w:i/>
        </w:rPr>
        <w:t>Making Rights Real: Activists, Bureaucrats, and the Creation of the Legalistic State</w:t>
      </w:r>
      <w:r w:rsidRPr="00C85407">
        <w:rPr>
          <w:rFonts w:asciiTheme="minorHAnsi" w:hAnsiTheme="minorHAnsi" w:cstheme="minorHAnsi"/>
        </w:rPr>
        <w:t xml:space="preserve"> (Chicago University Press, 2009)</w:t>
      </w:r>
    </w:p>
  </w:footnote>
  <w:footnote w:id="11">
    <w:p w14:paraId="2A1869B9"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L. Mather, </w:t>
      </w:r>
      <w:r w:rsidRPr="00C85407">
        <w:rPr>
          <w:rFonts w:asciiTheme="minorHAnsi" w:hAnsiTheme="minorHAnsi" w:cstheme="minorHAnsi"/>
        </w:rPr>
        <w:t xml:space="preserve">‘Lawyers and Solicitors Separated by a Common Legal System: Anti-Tobacco Litigation in the United States and Britain’, in D Engel, and M McCann (eds) </w:t>
      </w:r>
      <w:r w:rsidRPr="00C85407">
        <w:rPr>
          <w:rFonts w:asciiTheme="minorHAnsi" w:hAnsiTheme="minorHAnsi" w:cstheme="minorHAnsi"/>
          <w:i/>
        </w:rPr>
        <w:t>Fault Lines: Tort Law as Cultural Practice</w:t>
      </w:r>
      <w:r w:rsidRPr="00C85407">
        <w:rPr>
          <w:rFonts w:asciiTheme="minorHAnsi" w:hAnsiTheme="minorHAnsi" w:cstheme="minorHAnsi"/>
        </w:rPr>
        <w:t xml:space="preserve"> (Stanford University Press, 2009)</w:t>
      </w:r>
    </w:p>
  </w:footnote>
  <w:footnote w:id="12">
    <w:p w14:paraId="059CA34B"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See Epp (n 10, chapter 7)</w:t>
      </w:r>
    </w:p>
  </w:footnote>
  <w:footnote w:id="13">
    <w:p w14:paraId="653139DA"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Accounts Commission for Scotland, </w:t>
      </w:r>
      <w:r w:rsidRPr="00C85407">
        <w:rPr>
          <w:rFonts w:asciiTheme="minorHAnsi" w:hAnsiTheme="minorHAnsi" w:cstheme="minorHAnsi"/>
          <w:i/>
          <w:lang w:val="en-GB"/>
        </w:rPr>
        <w:t>A Costly Trip? Management of Road Safety Defects</w:t>
      </w:r>
      <w:r w:rsidRPr="00C85407">
        <w:rPr>
          <w:rFonts w:asciiTheme="minorHAnsi" w:hAnsiTheme="minorHAnsi" w:cstheme="minorHAnsi"/>
          <w:lang w:val="en-GB"/>
        </w:rPr>
        <w:t xml:space="preserve"> (Accounts Commission for Scotland, 1996)</w:t>
      </w:r>
    </w:p>
  </w:footnote>
  <w:footnote w:id="14">
    <w:p w14:paraId="2C855695"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Roads Act 1993, s 13; Road Traffic Act 1961, s 95.</w:t>
      </w:r>
    </w:p>
  </w:footnote>
  <w:footnote w:id="15">
    <w:p w14:paraId="12576BAC"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bCs/>
          <w:i/>
        </w:rPr>
        <w:t>Flynn v Waterford County Council</w:t>
      </w:r>
      <w:r w:rsidRPr="00C85407">
        <w:rPr>
          <w:rFonts w:asciiTheme="minorHAnsi" w:hAnsiTheme="minorHAnsi" w:cstheme="minorHAnsi"/>
        </w:rPr>
        <w:t xml:space="preserve"> [2004] IEHC 335. Provision was made to abolish local authority immunity in respect of provision and maintenance of roads, (Civil Liability Act 1961, s 60) but the order to activate the provision has not been adopted.</w:t>
      </w:r>
    </w:p>
  </w:footnote>
  <w:footnote w:id="16">
    <w:p w14:paraId="3ECA5B49" w14:textId="77777777" w:rsidR="0082140C" w:rsidRPr="00C618E6" w:rsidRDefault="0082140C">
      <w:pPr>
        <w:pStyle w:val="FootnoteText"/>
      </w:pPr>
      <w:r>
        <w:rPr>
          <w:rStyle w:val="FootnoteReference"/>
        </w:rPr>
        <w:footnoteRef/>
      </w:r>
      <w:r>
        <w:t xml:space="preserve"> </w:t>
      </w:r>
      <w:r w:rsidR="00C618E6" w:rsidRPr="00C13071">
        <w:rPr>
          <w:rFonts w:asciiTheme="minorHAnsi" w:hAnsiTheme="minorHAnsi" w:cstheme="minorHAnsi"/>
        </w:rPr>
        <w:t xml:space="preserve">G Dworkin , ‘Highways (Miscellaneous Provisions) Act , 1961: The Deathknell of Nonfeasance Immunity for Highway Authorities’ (1962) 25 </w:t>
      </w:r>
      <w:r w:rsidR="00C618E6" w:rsidRPr="00C13071">
        <w:rPr>
          <w:rFonts w:asciiTheme="minorHAnsi" w:hAnsiTheme="minorHAnsi" w:cstheme="minorHAnsi"/>
          <w:i/>
        </w:rPr>
        <w:t>Modern Law Review</w:t>
      </w:r>
      <w:r w:rsidR="00C13071">
        <w:rPr>
          <w:rFonts w:asciiTheme="minorHAnsi" w:hAnsiTheme="minorHAnsi" w:cstheme="minorHAnsi"/>
        </w:rPr>
        <w:t xml:space="preserve"> 336-340</w:t>
      </w:r>
    </w:p>
  </w:footnote>
  <w:footnote w:id="17">
    <w:p w14:paraId="741CC307" w14:textId="77777777" w:rsidR="0082140C" w:rsidRPr="00C85407" w:rsidRDefault="0082140C" w:rsidP="008D7AD0">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eastAsia="Batang" w:hAnsiTheme="minorHAnsi" w:cstheme="minorHAnsi"/>
          <w:i/>
        </w:rPr>
        <w:t>Laurie v Magistrates of Aberdeen</w:t>
      </w:r>
      <w:r w:rsidRPr="00C85407">
        <w:rPr>
          <w:rFonts w:asciiTheme="minorHAnsi" w:eastAsia="Batang" w:hAnsiTheme="minorHAnsi" w:cstheme="minorHAnsi"/>
        </w:rPr>
        <w:t xml:space="preserve"> 1911 SC 1226</w:t>
      </w:r>
    </w:p>
  </w:footnote>
  <w:footnote w:id="18">
    <w:p w14:paraId="0E72D6A3"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See, for example, </w:t>
      </w:r>
      <w:r w:rsidRPr="00C85407">
        <w:rPr>
          <w:rFonts w:asciiTheme="minorHAnsi" w:hAnsiTheme="minorHAnsi" w:cstheme="minorHAnsi"/>
          <w:i/>
          <w:lang w:val="en-AU"/>
        </w:rPr>
        <w:t>Innes v Magistrates of Edinburgh</w:t>
      </w:r>
      <w:r w:rsidRPr="00C85407">
        <w:rPr>
          <w:rFonts w:asciiTheme="minorHAnsi" w:hAnsiTheme="minorHAnsi" w:cstheme="minorHAnsi"/>
          <w:lang w:val="en-AU"/>
        </w:rPr>
        <w:t xml:space="preserve"> (1798) Mor 13189 and 13967; </w:t>
      </w:r>
      <w:r w:rsidRPr="00C85407">
        <w:rPr>
          <w:rFonts w:asciiTheme="minorHAnsi" w:hAnsiTheme="minorHAnsi" w:cstheme="minorHAnsi"/>
          <w:i/>
          <w:lang w:val="en-AU"/>
        </w:rPr>
        <w:t>Black v Glasgow Corporation</w:t>
      </w:r>
      <w:r w:rsidRPr="00C85407">
        <w:rPr>
          <w:rFonts w:asciiTheme="minorHAnsi" w:hAnsiTheme="minorHAnsi" w:cstheme="minorHAnsi"/>
          <w:lang w:val="en-AU"/>
        </w:rPr>
        <w:t xml:space="preserve"> 1959 SC 188; </w:t>
      </w:r>
      <w:r w:rsidRPr="00C85407">
        <w:rPr>
          <w:rFonts w:asciiTheme="minorHAnsi" w:hAnsiTheme="minorHAnsi" w:cstheme="minorHAnsi"/>
          <w:i/>
          <w:lang w:val="en-AU"/>
        </w:rPr>
        <w:t>Fraser v Glasgow Corporation</w:t>
      </w:r>
      <w:r w:rsidRPr="00C85407">
        <w:rPr>
          <w:rFonts w:asciiTheme="minorHAnsi" w:hAnsiTheme="minorHAnsi" w:cstheme="minorHAnsi"/>
          <w:lang w:val="en-AU"/>
        </w:rPr>
        <w:t xml:space="preserve"> (1972) SLT 177</w:t>
      </w:r>
    </w:p>
  </w:footnote>
  <w:footnote w:id="19">
    <w:p w14:paraId="66A0DEB0" w14:textId="77777777" w:rsidR="0082140C" w:rsidRPr="00142C6A" w:rsidRDefault="0082140C">
      <w:pPr>
        <w:pStyle w:val="FootnoteText"/>
        <w:rPr>
          <w:lang w:val="en-GB"/>
        </w:rPr>
      </w:pPr>
      <w:r>
        <w:rPr>
          <w:rStyle w:val="FootnoteReference"/>
        </w:rPr>
        <w:footnoteRef/>
      </w:r>
      <w:r>
        <w:t xml:space="preserve"> </w:t>
      </w:r>
      <w:r w:rsidRPr="00142C6A">
        <w:rPr>
          <w:rFonts w:asciiTheme="minorHAnsi" w:hAnsiTheme="minorHAnsi" w:cstheme="minorHAnsi"/>
          <w:lang w:val="en-GB"/>
        </w:rPr>
        <w:t>Highways Act 1980, s 41.</w:t>
      </w:r>
    </w:p>
  </w:footnote>
  <w:footnote w:id="20">
    <w:p w14:paraId="448BFDF9"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eastAsia="Batang" w:hAnsiTheme="minorHAnsi" w:cstheme="minorHAnsi"/>
        </w:rPr>
        <w:t>Roads (S) Act 1984, s 1.</w:t>
      </w:r>
    </w:p>
  </w:footnote>
  <w:footnote w:id="21">
    <w:p w14:paraId="499B12D9" w14:textId="77777777" w:rsidR="0082140C" w:rsidRPr="00C85407" w:rsidRDefault="0082140C" w:rsidP="008D7AD0">
      <w:pPr>
        <w:pStyle w:val="End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i/>
          <w:lang w:val="en-AU"/>
        </w:rPr>
        <w:t>Hutchison v North Lanarkshire Council</w:t>
      </w:r>
      <w:r w:rsidRPr="00C85407">
        <w:rPr>
          <w:rFonts w:asciiTheme="minorHAnsi" w:hAnsiTheme="minorHAnsi" w:cstheme="minorHAnsi"/>
          <w:lang w:val="en-AU"/>
        </w:rPr>
        <w:t xml:space="preserve"> (unreported, OH, 7</w:t>
      </w:r>
      <w:r w:rsidRPr="00C85407">
        <w:rPr>
          <w:rFonts w:asciiTheme="minorHAnsi" w:hAnsiTheme="minorHAnsi" w:cstheme="minorHAnsi"/>
          <w:vertAlign w:val="superscript"/>
          <w:lang w:val="en-AU"/>
        </w:rPr>
        <w:t>th</w:t>
      </w:r>
      <w:r w:rsidRPr="00C85407">
        <w:rPr>
          <w:rFonts w:asciiTheme="minorHAnsi" w:hAnsiTheme="minorHAnsi" w:cstheme="minorHAnsi"/>
          <w:lang w:val="en-AU"/>
        </w:rPr>
        <w:t xml:space="preserve"> February 2007); </w:t>
      </w:r>
      <w:r w:rsidRPr="00C85407">
        <w:rPr>
          <w:rFonts w:asciiTheme="minorHAnsi" w:hAnsiTheme="minorHAnsi" w:cstheme="minorHAnsi"/>
          <w:i/>
          <w:lang w:val="en-AU"/>
        </w:rPr>
        <w:t>Nugent v Glasgow City Council</w:t>
      </w:r>
      <w:r w:rsidRPr="00C85407">
        <w:rPr>
          <w:rFonts w:asciiTheme="minorHAnsi" w:hAnsiTheme="minorHAnsi" w:cstheme="minorHAnsi"/>
          <w:lang w:val="en-AU"/>
        </w:rPr>
        <w:t xml:space="preserve"> (unreported, OH, 24</w:t>
      </w:r>
      <w:r w:rsidRPr="00C85407">
        <w:rPr>
          <w:rFonts w:asciiTheme="minorHAnsi" w:hAnsiTheme="minorHAnsi" w:cstheme="minorHAnsi"/>
          <w:vertAlign w:val="superscript"/>
          <w:lang w:val="en-AU"/>
        </w:rPr>
        <w:t>th</w:t>
      </w:r>
      <w:r w:rsidRPr="00C85407">
        <w:rPr>
          <w:rFonts w:asciiTheme="minorHAnsi" w:hAnsiTheme="minorHAnsi" w:cstheme="minorHAnsi"/>
          <w:lang w:val="en-AU"/>
        </w:rPr>
        <w:t xml:space="preserve"> June 2009).</w:t>
      </w:r>
    </w:p>
  </w:footnote>
  <w:footnote w:id="22">
    <w:p w14:paraId="5D2EDD0E"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eastAsia="Batang" w:hAnsiTheme="minorHAnsi" w:cstheme="minorHAnsi"/>
          <w:i/>
        </w:rPr>
        <w:t>Gibson v Strathclyde Regional Council</w:t>
      </w:r>
      <w:r w:rsidRPr="00C85407">
        <w:rPr>
          <w:rFonts w:asciiTheme="minorHAnsi" w:eastAsia="Batang" w:hAnsiTheme="minorHAnsi" w:cstheme="minorHAnsi"/>
        </w:rPr>
        <w:t xml:space="preserve"> 1993 SLT 1243</w:t>
      </w:r>
    </w:p>
  </w:footnote>
  <w:footnote w:id="23">
    <w:p w14:paraId="69E35433"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Roads Liaison Group, </w:t>
      </w:r>
      <w:r w:rsidRPr="00C85407">
        <w:rPr>
          <w:rFonts w:asciiTheme="minorHAnsi" w:hAnsiTheme="minorHAnsi" w:cstheme="minorHAnsi"/>
          <w:i/>
        </w:rPr>
        <w:t>Well Maintained Highways - Code of Practice for Highway Maintenance Management</w:t>
      </w:r>
      <w:r w:rsidRPr="00C85407">
        <w:rPr>
          <w:rFonts w:asciiTheme="minorHAnsi" w:hAnsiTheme="minorHAnsi" w:cstheme="minorHAnsi"/>
        </w:rPr>
        <w:t xml:space="preserve"> (The Stationery Office, 2005).</w:t>
      </w:r>
    </w:p>
  </w:footnote>
  <w:footnote w:id="24">
    <w:p w14:paraId="51221ADE" w14:textId="77777777" w:rsidR="0082140C" w:rsidRPr="00C85407" w:rsidRDefault="0082140C" w:rsidP="001B3FB0">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AU"/>
        </w:rPr>
        <w:t xml:space="preserve">See, for example, </w:t>
      </w:r>
      <w:r w:rsidRPr="00C85407">
        <w:rPr>
          <w:rFonts w:asciiTheme="minorHAnsi" w:hAnsiTheme="minorHAnsi" w:cstheme="minorHAnsi"/>
          <w:i/>
          <w:lang w:val="en-AU"/>
        </w:rPr>
        <w:t>Hutchison v North Lanarkshire Council</w:t>
      </w:r>
      <w:r w:rsidRPr="00C85407">
        <w:rPr>
          <w:rFonts w:asciiTheme="minorHAnsi" w:hAnsiTheme="minorHAnsi" w:cstheme="minorHAnsi"/>
          <w:lang w:val="en-AU"/>
        </w:rPr>
        <w:t xml:space="preserve"> (unreported, OH, 7</w:t>
      </w:r>
      <w:r w:rsidRPr="00C85407">
        <w:rPr>
          <w:rFonts w:asciiTheme="minorHAnsi" w:hAnsiTheme="minorHAnsi" w:cstheme="minorHAnsi"/>
          <w:vertAlign w:val="superscript"/>
          <w:lang w:val="en-AU"/>
        </w:rPr>
        <w:t>th</w:t>
      </w:r>
      <w:r w:rsidRPr="00C85407">
        <w:rPr>
          <w:rFonts w:asciiTheme="minorHAnsi" w:hAnsiTheme="minorHAnsi" w:cstheme="minorHAnsi"/>
          <w:lang w:val="en-AU"/>
        </w:rPr>
        <w:t xml:space="preserve"> February 2007) and </w:t>
      </w:r>
      <w:r w:rsidRPr="00C85407">
        <w:rPr>
          <w:rFonts w:asciiTheme="minorHAnsi" w:hAnsiTheme="minorHAnsi" w:cstheme="minorHAnsi"/>
          <w:i/>
          <w:lang w:val="en-AU"/>
        </w:rPr>
        <w:t>Nugent v Glasgow City Council</w:t>
      </w:r>
      <w:r w:rsidRPr="00C85407">
        <w:rPr>
          <w:rFonts w:asciiTheme="minorHAnsi" w:hAnsiTheme="minorHAnsi" w:cstheme="minorHAnsi"/>
          <w:lang w:val="en-AU"/>
        </w:rPr>
        <w:t xml:space="preserve"> (unreported, OH, 24</w:t>
      </w:r>
      <w:r w:rsidRPr="00C85407">
        <w:rPr>
          <w:rFonts w:asciiTheme="minorHAnsi" w:hAnsiTheme="minorHAnsi" w:cstheme="minorHAnsi"/>
          <w:vertAlign w:val="superscript"/>
          <w:lang w:val="en-AU"/>
        </w:rPr>
        <w:t>th</w:t>
      </w:r>
      <w:r w:rsidRPr="00C85407">
        <w:rPr>
          <w:rFonts w:asciiTheme="minorHAnsi" w:hAnsiTheme="minorHAnsi" w:cstheme="minorHAnsi"/>
          <w:lang w:val="en-AU"/>
        </w:rPr>
        <w:t xml:space="preserve"> June 2009). </w:t>
      </w:r>
    </w:p>
  </w:footnote>
  <w:footnote w:id="25">
    <w:p w14:paraId="246D9788" w14:textId="77777777" w:rsidR="0082140C" w:rsidRPr="001567D3" w:rsidRDefault="0082140C">
      <w:pPr>
        <w:pStyle w:val="FootnoteText"/>
        <w:rPr>
          <w:lang w:val="en-GB"/>
        </w:rPr>
      </w:pPr>
      <w:r>
        <w:rPr>
          <w:rStyle w:val="FootnoteReference"/>
        </w:rPr>
        <w:footnoteRef/>
      </w:r>
      <w:r>
        <w:t xml:space="preserve"> </w:t>
      </w:r>
      <w:r w:rsidRPr="00C85407">
        <w:rPr>
          <w:rFonts w:asciiTheme="minorHAnsi" w:hAnsiTheme="minorHAnsi" w:cstheme="minorHAnsi"/>
          <w:lang w:val="en-AU"/>
        </w:rPr>
        <w:t>See</w:t>
      </w:r>
      <w:r w:rsidRPr="00C85407">
        <w:rPr>
          <w:rFonts w:asciiTheme="minorHAnsi" w:hAnsiTheme="minorHAnsi" w:cstheme="minorHAnsi"/>
          <w:lang w:val="en-GB"/>
        </w:rPr>
        <w:t xml:space="preserve"> </w:t>
      </w:r>
      <w:r w:rsidRPr="00C85407">
        <w:rPr>
          <w:rFonts w:asciiTheme="minorHAnsi" w:hAnsiTheme="minorHAnsi" w:cstheme="minorHAnsi"/>
          <w:i/>
          <w:lang w:val="en-GB"/>
        </w:rPr>
        <w:t>Harrison</w:t>
      </w:r>
      <w:r w:rsidRPr="00C85407">
        <w:rPr>
          <w:rFonts w:asciiTheme="minorHAnsi" w:hAnsiTheme="minorHAnsi" w:cstheme="minorHAnsi"/>
          <w:lang w:val="en-GB"/>
        </w:rPr>
        <w:t xml:space="preserve"> v </w:t>
      </w:r>
      <w:r w:rsidRPr="00C85407">
        <w:rPr>
          <w:rFonts w:asciiTheme="minorHAnsi" w:hAnsiTheme="minorHAnsi" w:cstheme="minorHAnsi"/>
          <w:i/>
          <w:lang w:val="en-GB"/>
        </w:rPr>
        <w:t>Derby City Council</w:t>
      </w:r>
      <w:r w:rsidRPr="00C85407">
        <w:rPr>
          <w:rFonts w:asciiTheme="minorHAnsi" w:hAnsiTheme="minorHAnsi" w:cstheme="minorHAnsi"/>
          <w:lang w:val="en-GB"/>
        </w:rPr>
        <w:t xml:space="preserve"> [2008] EWCA Civ 583</w:t>
      </w:r>
      <w:r w:rsidRPr="00C85407">
        <w:rPr>
          <w:rFonts w:asciiTheme="minorHAnsi" w:hAnsiTheme="minorHAnsi" w:cstheme="minorHAnsi"/>
          <w:lang w:val="en-AU"/>
        </w:rPr>
        <w:t>.</w:t>
      </w:r>
    </w:p>
  </w:footnote>
  <w:footnote w:id="26">
    <w:p w14:paraId="1B5B10EE"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n 2</w:t>
      </w:r>
      <w:r>
        <w:rPr>
          <w:rFonts w:asciiTheme="minorHAnsi" w:hAnsiTheme="minorHAnsi" w:cstheme="minorHAnsi"/>
          <w:lang w:val="en-GB"/>
        </w:rPr>
        <w:t>2</w:t>
      </w:r>
      <w:r w:rsidRPr="00C85407">
        <w:rPr>
          <w:rFonts w:asciiTheme="minorHAnsi" w:hAnsiTheme="minorHAnsi" w:cstheme="minorHAnsi"/>
          <w:lang w:val="en-GB"/>
        </w:rPr>
        <w:t>.</w:t>
      </w:r>
    </w:p>
  </w:footnote>
  <w:footnote w:id="27">
    <w:p w14:paraId="0FA529BE" w14:textId="77777777" w:rsidR="0082140C" w:rsidRPr="00C85407" w:rsidRDefault="0082140C" w:rsidP="001B3FB0">
      <w:pPr>
        <w:pStyle w:val="FootnoteText"/>
        <w:rPr>
          <w:rFonts w:asciiTheme="minorHAnsi" w:hAnsiTheme="minorHAnsi" w:cstheme="minorHAnsi"/>
          <w:lang w:val="en-AU"/>
        </w:rPr>
      </w:pPr>
      <w:r w:rsidRPr="00C85407">
        <w:rPr>
          <w:rStyle w:val="FootnoteReference"/>
          <w:rFonts w:asciiTheme="minorHAnsi" w:hAnsiTheme="minorHAnsi" w:cstheme="minorHAnsi"/>
        </w:rPr>
        <w:footnoteRef/>
      </w:r>
      <w:r w:rsidRPr="00C85407">
        <w:rPr>
          <w:rFonts w:asciiTheme="minorHAnsi" w:hAnsiTheme="minorHAnsi" w:cstheme="minorHAnsi"/>
          <w:lang w:val="en-AU"/>
        </w:rPr>
        <w:t xml:space="preserve"> Compare, for example, the approach of the courts in assessing defects in the following cases: </w:t>
      </w:r>
      <w:r w:rsidRPr="00C85407">
        <w:rPr>
          <w:rFonts w:asciiTheme="minorHAnsi" w:hAnsiTheme="minorHAnsi" w:cstheme="minorHAnsi"/>
          <w:i/>
          <w:lang w:val="en-AU"/>
        </w:rPr>
        <w:t>McClafferty v British Telecommunications</w:t>
      </w:r>
      <w:r w:rsidRPr="00C85407">
        <w:rPr>
          <w:rFonts w:asciiTheme="minorHAnsi" w:hAnsiTheme="minorHAnsi" w:cstheme="minorHAnsi"/>
          <w:lang w:val="en-AU"/>
        </w:rPr>
        <w:t xml:space="preserve"> 1987 SLT 327; </w:t>
      </w:r>
      <w:r w:rsidRPr="00C85407">
        <w:rPr>
          <w:rFonts w:asciiTheme="minorHAnsi" w:hAnsiTheme="minorHAnsi" w:cstheme="minorHAnsi"/>
          <w:i/>
          <w:lang w:val="en-AU"/>
        </w:rPr>
        <w:t>McMillan v Lord Advocate</w:t>
      </w:r>
      <w:r w:rsidRPr="00C85407">
        <w:rPr>
          <w:rFonts w:asciiTheme="minorHAnsi" w:hAnsiTheme="minorHAnsi" w:cstheme="minorHAnsi"/>
          <w:lang w:val="en-AU"/>
        </w:rPr>
        <w:t xml:space="preserve"> 1991 SLT 150; </w:t>
      </w:r>
      <w:r w:rsidRPr="00C85407">
        <w:rPr>
          <w:rFonts w:asciiTheme="minorHAnsi" w:hAnsiTheme="minorHAnsi" w:cstheme="minorHAnsi"/>
          <w:i/>
          <w:lang w:val="en-AU"/>
        </w:rPr>
        <w:t>McLaughlin v Strathclyde Regional Council</w:t>
      </w:r>
      <w:r w:rsidRPr="00C85407">
        <w:rPr>
          <w:rFonts w:asciiTheme="minorHAnsi" w:hAnsiTheme="minorHAnsi" w:cstheme="minorHAnsi"/>
          <w:lang w:val="en-AU"/>
        </w:rPr>
        <w:t xml:space="preserve"> 1992 SLT 959; </w:t>
      </w:r>
      <w:r w:rsidRPr="00C85407">
        <w:rPr>
          <w:rFonts w:asciiTheme="minorHAnsi" w:hAnsiTheme="minorHAnsi" w:cstheme="minorHAnsi"/>
          <w:i/>
          <w:lang w:val="en-AU"/>
        </w:rPr>
        <w:t>Hutchison v North Lanarkshire Council</w:t>
      </w:r>
      <w:r w:rsidRPr="00C85407">
        <w:rPr>
          <w:rFonts w:asciiTheme="minorHAnsi" w:hAnsiTheme="minorHAnsi" w:cstheme="minorHAnsi"/>
          <w:lang w:val="en-AU"/>
        </w:rPr>
        <w:t xml:space="preserve"> (OH, 7</w:t>
      </w:r>
      <w:r w:rsidRPr="00C85407">
        <w:rPr>
          <w:rFonts w:asciiTheme="minorHAnsi" w:hAnsiTheme="minorHAnsi" w:cstheme="minorHAnsi"/>
          <w:vertAlign w:val="superscript"/>
          <w:lang w:val="en-AU"/>
        </w:rPr>
        <w:t>th</w:t>
      </w:r>
      <w:r w:rsidRPr="00C85407">
        <w:rPr>
          <w:rFonts w:asciiTheme="minorHAnsi" w:hAnsiTheme="minorHAnsi" w:cstheme="minorHAnsi"/>
          <w:lang w:val="en-AU"/>
        </w:rPr>
        <w:t xml:space="preserve"> February 2007); </w:t>
      </w:r>
      <w:r w:rsidRPr="00C85407">
        <w:rPr>
          <w:rFonts w:asciiTheme="minorHAnsi" w:hAnsiTheme="minorHAnsi" w:cstheme="minorHAnsi"/>
          <w:i/>
          <w:lang w:val="en-AU"/>
        </w:rPr>
        <w:t>Nugent v Glasgow City Council</w:t>
      </w:r>
      <w:r w:rsidRPr="00C85407">
        <w:rPr>
          <w:rFonts w:asciiTheme="minorHAnsi" w:hAnsiTheme="minorHAnsi" w:cstheme="minorHAnsi"/>
          <w:lang w:val="en-AU"/>
        </w:rPr>
        <w:t xml:space="preserve"> (OH, 24</w:t>
      </w:r>
      <w:r w:rsidRPr="00C85407">
        <w:rPr>
          <w:rFonts w:asciiTheme="minorHAnsi" w:hAnsiTheme="minorHAnsi" w:cstheme="minorHAnsi"/>
          <w:vertAlign w:val="superscript"/>
          <w:lang w:val="en-AU"/>
        </w:rPr>
        <w:t>th</w:t>
      </w:r>
      <w:r w:rsidRPr="00C85407">
        <w:rPr>
          <w:rFonts w:asciiTheme="minorHAnsi" w:hAnsiTheme="minorHAnsi" w:cstheme="minorHAnsi"/>
          <w:lang w:val="en-AU"/>
        </w:rPr>
        <w:t xml:space="preserve"> June 2009).</w:t>
      </w:r>
    </w:p>
  </w:footnote>
  <w:footnote w:id="28">
    <w:p w14:paraId="4E3F291A"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Roads Liaison Group </w:t>
      </w:r>
      <w:r>
        <w:rPr>
          <w:rFonts w:asciiTheme="minorHAnsi" w:hAnsiTheme="minorHAnsi" w:cstheme="minorHAnsi"/>
        </w:rPr>
        <w:t>(</w:t>
      </w:r>
      <w:r w:rsidRPr="00C85407">
        <w:rPr>
          <w:rFonts w:asciiTheme="minorHAnsi" w:hAnsiTheme="minorHAnsi" w:cstheme="minorHAnsi"/>
          <w:lang w:val="en-GB"/>
        </w:rPr>
        <w:t>n 2</w:t>
      </w:r>
      <w:r>
        <w:rPr>
          <w:rFonts w:asciiTheme="minorHAnsi" w:hAnsiTheme="minorHAnsi" w:cstheme="minorHAnsi"/>
          <w:lang w:val="en-GB"/>
        </w:rPr>
        <w:t>2)</w:t>
      </w:r>
      <w:r w:rsidRPr="00C85407">
        <w:rPr>
          <w:rFonts w:asciiTheme="minorHAnsi" w:hAnsiTheme="minorHAnsi" w:cstheme="minorHAnsi"/>
          <w:lang w:val="en-GB"/>
        </w:rPr>
        <w:t xml:space="preserve"> 96.</w:t>
      </w:r>
    </w:p>
  </w:footnote>
  <w:footnote w:id="29">
    <w:p w14:paraId="6818A46F"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bCs/>
          <w:i/>
        </w:rPr>
        <w:t>Beatty v The Rent Tribunal</w:t>
      </w:r>
      <w:r w:rsidRPr="00C85407">
        <w:rPr>
          <w:rFonts w:asciiTheme="minorHAnsi" w:hAnsiTheme="minorHAnsi" w:cstheme="minorHAnsi"/>
          <w:bCs/>
        </w:rPr>
        <w:t>,</w:t>
      </w:r>
      <w:r w:rsidRPr="00C85407">
        <w:rPr>
          <w:rFonts w:asciiTheme="minorHAnsi" w:hAnsiTheme="minorHAnsi" w:cstheme="minorHAnsi"/>
        </w:rPr>
        <w:t xml:space="preserve"> IESC, 21</w:t>
      </w:r>
      <w:r w:rsidRPr="00C85407">
        <w:rPr>
          <w:rFonts w:asciiTheme="minorHAnsi" w:hAnsiTheme="minorHAnsi" w:cstheme="minorHAnsi"/>
          <w:vertAlign w:val="superscript"/>
        </w:rPr>
        <w:t>st</w:t>
      </w:r>
      <w:r w:rsidRPr="00C85407">
        <w:rPr>
          <w:rFonts w:asciiTheme="minorHAnsi" w:hAnsiTheme="minorHAnsi" w:cstheme="minorHAnsi"/>
        </w:rPr>
        <w:t xml:space="preserve"> October 2005. See also the English House of Lords decision </w:t>
      </w:r>
      <w:r w:rsidRPr="00C85407">
        <w:rPr>
          <w:rFonts w:asciiTheme="minorHAnsi" w:hAnsiTheme="minorHAnsi" w:cstheme="minorHAnsi"/>
          <w:bCs/>
          <w:i/>
        </w:rPr>
        <w:t xml:space="preserve">Gorringe v Calderdale MBC </w:t>
      </w:r>
      <w:r w:rsidRPr="00C85407">
        <w:rPr>
          <w:rFonts w:asciiTheme="minorHAnsi" w:hAnsiTheme="minorHAnsi" w:cstheme="minorHAnsi"/>
        </w:rPr>
        <w:t>[2004] 1 WLR 1057.</w:t>
      </w:r>
    </w:p>
  </w:footnote>
  <w:footnote w:id="30">
    <w:p w14:paraId="146915F0"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M Lipsky, </w:t>
      </w:r>
      <w:r w:rsidRPr="00C85407">
        <w:rPr>
          <w:rFonts w:asciiTheme="minorHAnsi" w:hAnsiTheme="minorHAnsi" w:cstheme="minorHAnsi"/>
          <w:i/>
        </w:rPr>
        <w:t>Street Level Bureaucracy: Dilemmas of the Individual in Public Services</w:t>
      </w:r>
      <w:r w:rsidRPr="00C85407">
        <w:rPr>
          <w:rFonts w:asciiTheme="minorHAnsi" w:hAnsiTheme="minorHAnsi" w:cstheme="minorHAnsi"/>
        </w:rPr>
        <w:t xml:space="preserve"> (Russell Sage Foundation, 1980); S Halliday, </w:t>
      </w:r>
      <w:r w:rsidRPr="00C85407">
        <w:rPr>
          <w:rFonts w:asciiTheme="minorHAnsi" w:hAnsiTheme="minorHAnsi" w:cstheme="minorHAnsi"/>
          <w:i/>
        </w:rPr>
        <w:t>Judicial Review and Compliance with Administrative Law</w:t>
      </w:r>
      <w:r w:rsidRPr="00C85407">
        <w:rPr>
          <w:rFonts w:asciiTheme="minorHAnsi" w:hAnsiTheme="minorHAnsi" w:cstheme="minorHAnsi"/>
        </w:rPr>
        <w:t xml:space="preserve"> (Hart Publishing, 2004)</w:t>
      </w:r>
    </w:p>
  </w:footnote>
  <w:footnote w:id="31">
    <w:p w14:paraId="1E7B42F9"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See, for example, R Miller and A Sarat, ‘Grievances, Claims and Disputes: Assessing the Adversary Culture’ (1981) 15 </w:t>
      </w:r>
      <w:r w:rsidRPr="00C85407">
        <w:rPr>
          <w:rFonts w:asciiTheme="minorHAnsi" w:hAnsiTheme="minorHAnsi" w:cstheme="minorHAnsi"/>
          <w:i/>
        </w:rPr>
        <w:t>Law &amp; Society Review</w:t>
      </w:r>
      <w:r w:rsidRPr="00C85407">
        <w:rPr>
          <w:rFonts w:asciiTheme="minorHAnsi" w:hAnsiTheme="minorHAnsi" w:cstheme="minorHAnsi"/>
        </w:rPr>
        <w:t xml:space="preserve">, pp. 252-66; </w:t>
      </w:r>
      <w:r w:rsidRPr="00C85407">
        <w:rPr>
          <w:rFonts w:asciiTheme="minorHAnsi" w:hAnsiTheme="minorHAnsi" w:cstheme="minorHAnsi"/>
          <w:lang w:eastAsia="en-IE"/>
        </w:rPr>
        <w:t xml:space="preserve">H Genn, </w:t>
      </w:r>
      <w:r w:rsidRPr="00C85407">
        <w:rPr>
          <w:rFonts w:asciiTheme="minorHAnsi" w:hAnsiTheme="minorHAnsi" w:cstheme="minorHAnsi"/>
          <w:i/>
          <w:lang w:eastAsia="en-IE"/>
        </w:rPr>
        <w:t>Paths to Justice: What People Do and Think about Going to Law</w:t>
      </w:r>
      <w:r w:rsidRPr="00C85407">
        <w:rPr>
          <w:rFonts w:asciiTheme="minorHAnsi" w:hAnsiTheme="minorHAnsi" w:cstheme="minorHAnsi"/>
          <w:lang w:eastAsia="en-IE"/>
        </w:rPr>
        <w:t xml:space="preserve"> (Hart Publishing, 1999)</w:t>
      </w:r>
      <w:r w:rsidRPr="00C85407">
        <w:rPr>
          <w:rFonts w:asciiTheme="minorHAnsi" w:hAnsiTheme="minorHAnsi" w:cstheme="minorHAnsi"/>
        </w:rPr>
        <w:t xml:space="preserve"> .</w:t>
      </w:r>
    </w:p>
  </w:footnote>
  <w:footnote w:id="32">
    <w:p w14:paraId="79C5196E"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Accounts Commission for Scotland, n 13.</w:t>
      </w:r>
    </w:p>
  </w:footnote>
  <w:footnote w:id="33">
    <w:p w14:paraId="196D7C09"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R Lewis </w:t>
      </w:r>
      <w:r w:rsidRPr="00C85407">
        <w:rPr>
          <w:rFonts w:asciiTheme="minorHAnsi" w:hAnsiTheme="minorHAnsi" w:cstheme="minorHAnsi"/>
          <w:i/>
        </w:rPr>
        <w:t>et al</w:t>
      </w:r>
      <w:r w:rsidRPr="00C85407">
        <w:rPr>
          <w:rFonts w:asciiTheme="minorHAnsi" w:hAnsiTheme="minorHAnsi" w:cstheme="minorHAnsi"/>
        </w:rPr>
        <w:t>, n 4; A Morris, n 1.</w:t>
      </w:r>
    </w:p>
  </w:footnote>
  <w:footnote w:id="34">
    <w:p w14:paraId="183C2E7A"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Local Government Association, </w:t>
      </w:r>
      <w:r w:rsidRPr="00C85407">
        <w:rPr>
          <w:rFonts w:asciiTheme="minorHAnsi" w:hAnsiTheme="minorHAnsi" w:cstheme="minorHAnsi"/>
          <w:i/>
        </w:rPr>
        <w:t>Suing the Council – Helping the Citizen or Harming the Community</w:t>
      </w:r>
      <w:r w:rsidRPr="00C85407">
        <w:rPr>
          <w:rFonts w:asciiTheme="minorHAnsi" w:hAnsiTheme="minorHAnsi" w:cstheme="minorHAnsi"/>
        </w:rPr>
        <w:t xml:space="preserve"> (Local Government Association, 2004).</w:t>
      </w:r>
    </w:p>
  </w:footnote>
  <w:footnote w:id="35">
    <w:p w14:paraId="57CFC38E" w14:textId="77777777" w:rsidR="0082140C" w:rsidRPr="00C85407" w:rsidRDefault="0082140C" w:rsidP="007A1D1E">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Prior to local government reorganization in 1996, roads were maintained by 12 regional authorities. Post-1996, they are maintained by 32 unitary authorities. To facilitate comparison between pre-1996 and post-1996 averages, the total claims received across Scotland as a whole were divided by 32.</w:t>
      </w:r>
    </w:p>
  </w:footnote>
  <w:footnote w:id="36">
    <w:p w14:paraId="588DF221" w14:textId="77777777" w:rsidR="0082140C" w:rsidRPr="00C85407" w:rsidRDefault="0082140C">
      <w:pPr>
        <w:pStyle w:val="FootnoteText"/>
        <w:rPr>
          <w:rFonts w:asciiTheme="minorHAnsi" w:hAnsiTheme="minorHAnsi" w:cstheme="minorHAnsi"/>
          <w: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for example, R Ericson and A Doyle, </w:t>
      </w:r>
      <w:r w:rsidRPr="00C85407">
        <w:rPr>
          <w:rFonts w:asciiTheme="minorHAnsi" w:hAnsiTheme="minorHAnsi" w:cstheme="minorHAnsi"/>
          <w:i/>
        </w:rPr>
        <w:t xml:space="preserve">Uncertain Business: Risk, Insurance and the Limits of Knowledge </w:t>
      </w:r>
      <w:r w:rsidRPr="00C85407">
        <w:rPr>
          <w:rFonts w:asciiTheme="minorHAnsi" w:hAnsiTheme="minorHAnsi" w:cstheme="minorHAnsi"/>
        </w:rPr>
        <w:t>(University of Toronto Press, 2004), 4.</w:t>
      </w:r>
    </w:p>
  </w:footnote>
  <w:footnote w:id="37">
    <w:p w14:paraId="588ECA22"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n 10.</w:t>
      </w:r>
    </w:p>
  </w:footnote>
  <w:footnote w:id="38">
    <w:p w14:paraId="78ED54A3"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n 2</w:t>
      </w:r>
      <w:r>
        <w:rPr>
          <w:rFonts w:asciiTheme="minorHAnsi" w:hAnsiTheme="minorHAnsi" w:cstheme="minorHAnsi"/>
          <w:lang w:val="en-GB"/>
        </w:rPr>
        <w:t>2</w:t>
      </w:r>
      <w:r w:rsidRPr="00C85407">
        <w:rPr>
          <w:rFonts w:asciiTheme="minorHAnsi" w:hAnsiTheme="minorHAnsi" w:cstheme="minorHAnsi"/>
          <w:lang w:val="en-GB"/>
        </w:rPr>
        <w:t>.</w:t>
      </w:r>
    </w:p>
  </w:footnote>
  <w:footnote w:id="39">
    <w:p w14:paraId="43D4ECB2"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009D52A4">
        <w:rPr>
          <w:rFonts w:asciiTheme="minorHAnsi" w:hAnsiTheme="minorHAnsi" w:cstheme="minorHAnsi"/>
        </w:rPr>
        <w:t xml:space="preserve">S </w:t>
      </w:r>
      <w:r w:rsidR="009D52A4">
        <w:rPr>
          <w:rFonts w:asciiTheme="minorHAnsi" w:hAnsiTheme="minorHAnsi" w:cstheme="minorHAnsi"/>
          <w:lang w:val="en-GB"/>
        </w:rPr>
        <w:t>Halliday, J Ilan and C Scott</w:t>
      </w:r>
      <w:r w:rsidRPr="00C85407">
        <w:rPr>
          <w:rFonts w:asciiTheme="minorHAnsi" w:hAnsiTheme="minorHAnsi" w:cstheme="minorHAnsi"/>
          <w:lang w:val="en-GB"/>
        </w:rPr>
        <w:t xml:space="preserve">, ‘Liability as Regulation’ </w:t>
      </w:r>
      <w:r w:rsidRPr="00C85407">
        <w:rPr>
          <w:rFonts w:asciiTheme="minorHAnsi" w:hAnsiTheme="minorHAnsi" w:cstheme="minorHAnsi"/>
          <w:i/>
          <w:lang w:val="en-GB"/>
        </w:rPr>
        <w:t>forthcoming</w:t>
      </w:r>
      <w:r w:rsidRPr="00C85407">
        <w:rPr>
          <w:rFonts w:asciiTheme="minorHAnsi" w:hAnsiTheme="minorHAnsi" w:cstheme="minorHAnsi"/>
          <w:lang w:val="en-GB"/>
        </w:rPr>
        <w:t>.</w:t>
      </w:r>
    </w:p>
  </w:footnote>
  <w:footnote w:id="40">
    <w:p w14:paraId="5A894FB0"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w:t>
      </w:r>
      <w:r w:rsidRPr="00C85407">
        <w:rPr>
          <w:rFonts w:asciiTheme="minorHAnsi" w:hAnsiTheme="minorHAnsi" w:cstheme="minorHAnsi"/>
        </w:rPr>
        <w:t xml:space="preserve">D McBarnet and C Whelan, ‘The Elusive Spirit of the Law: Formalism and the Struggle for Legal Control’, </w:t>
      </w:r>
      <w:r w:rsidRPr="00C85407">
        <w:rPr>
          <w:rFonts w:asciiTheme="minorHAnsi" w:hAnsiTheme="minorHAnsi" w:cstheme="minorHAnsi"/>
          <w:i/>
        </w:rPr>
        <w:t>Modern Law Review</w:t>
      </w:r>
      <w:r w:rsidRPr="00C85407">
        <w:rPr>
          <w:rFonts w:asciiTheme="minorHAnsi" w:hAnsiTheme="minorHAnsi" w:cstheme="minorHAnsi"/>
        </w:rPr>
        <w:t xml:space="preserve"> (1991) 54, 848-873.</w:t>
      </w:r>
    </w:p>
  </w:footnote>
  <w:footnote w:id="41">
    <w:p w14:paraId="60C309C6"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Unlike Epp (n 10), we were not able to use quantitative methods to determine whether, as he suggests, the extent of public authorities’ engagement with professional networks is significant for deep, as opposed to ‘creative’, compliance.</w:t>
      </w:r>
    </w:p>
  </w:footnote>
  <w:footnote w:id="42">
    <w:p w14:paraId="355ACDEB" w14:textId="77777777" w:rsidR="0082140C" w:rsidRPr="00C85407" w:rsidRDefault="0082140C" w:rsidP="00FF70A4">
      <w:pPr>
        <w:pStyle w:val="NormalWeb"/>
        <w:rPr>
          <w:rFonts w:asciiTheme="minorHAnsi" w:hAnsiTheme="minorHAnsi" w:cstheme="minorHAnsi"/>
          <w:sz w:val="20"/>
          <w:szCs w:val="20"/>
        </w:rPr>
      </w:pPr>
      <w:r w:rsidRPr="00C85407">
        <w:rPr>
          <w:rStyle w:val="FootnoteReference"/>
          <w:rFonts w:asciiTheme="minorHAnsi" w:hAnsiTheme="minorHAnsi" w:cstheme="minorHAnsi"/>
          <w:sz w:val="20"/>
          <w:szCs w:val="20"/>
        </w:rPr>
        <w:footnoteRef/>
      </w:r>
      <w:r w:rsidRPr="00C85407">
        <w:rPr>
          <w:rFonts w:asciiTheme="minorHAnsi" w:hAnsiTheme="minorHAnsi" w:cstheme="minorHAnsi"/>
          <w:sz w:val="20"/>
          <w:szCs w:val="20"/>
        </w:rPr>
        <w:t xml:space="preserve"> See, for example, C Scott, ‘Accountability in the Regulatory State’ </w:t>
      </w:r>
      <w:r w:rsidRPr="00C85407">
        <w:rPr>
          <w:rFonts w:asciiTheme="minorHAnsi" w:hAnsiTheme="minorHAnsi" w:cstheme="minorHAnsi"/>
          <w:i/>
          <w:sz w:val="20"/>
          <w:szCs w:val="20"/>
        </w:rPr>
        <w:t>Journal of Law &amp; Society</w:t>
      </w:r>
      <w:r w:rsidRPr="00C85407">
        <w:rPr>
          <w:rFonts w:asciiTheme="minorHAnsi" w:hAnsiTheme="minorHAnsi" w:cstheme="minorHAnsi"/>
          <w:sz w:val="20"/>
          <w:szCs w:val="20"/>
        </w:rPr>
        <w:t xml:space="preserve">, (2000) 27, 38-60; D Galligan, ‘Authoritarianism in Government and Administration: The Promise of Administrative Justice’ </w:t>
      </w:r>
      <w:r w:rsidRPr="00C85407">
        <w:rPr>
          <w:rStyle w:val="googqs-tidbit1"/>
          <w:rFonts w:asciiTheme="minorHAnsi" w:hAnsiTheme="minorHAnsi" w:cstheme="minorHAnsi"/>
          <w:sz w:val="20"/>
          <w:szCs w:val="20"/>
          <w:specVanish w:val="0"/>
        </w:rPr>
        <w:t>in Michael Freeman (ed),</w:t>
      </w:r>
      <w:r w:rsidRPr="00C85407">
        <w:rPr>
          <w:rFonts w:asciiTheme="minorHAnsi" w:hAnsiTheme="minorHAnsi" w:cstheme="minorHAnsi"/>
          <w:sz w:val="20"/>
          <w:szCs w:val="20"/>
        </w:rPr>
        <w:t xml:space="preserve"> </w:t>
      </w:r>
      <w:r w:rsidRPr="00C85407">
        <w:rPr>
          <w:rStyle w:val="Emphasis"/>
          <w:rFonts w:asciiTheme="minorHAnsi" w:hAnsiTheme="minorHAnsi" w:cstheme="minorHAnsi"/>
          <w:sz w:val="20"/>
          <w:szCs w:val="20"/>
        </w:rPr>
        <w:t>Current Legal Problems 2001 (Volume 54)</w:t>
      </w:r>
      <w:r w:rsidRPr="00C85407">
        <w:rPr>
          <w:rFonts w:asciiTheme="minorHAnsi" w:hAnsiTheme="minorHAnsi" w:cstheme="minorHAnsi"/>
          <w:sz w:val="20"/>
          <w:szCs w:val="20"/>
        </w:rPr>
        <w:t xml:space="preserve"> (OUP 2001); S Halliday and C Scott, ‘Administrative Justice’ in P Cane and H Kritzer, (eds) </w:t>
      </w:r>
      <w:r w:rsidRPr="00C85407">
        <w:rPr>
          <w:rFonts w:asciiTheme="minorHAnsi" w:hAnsiTheme="minorHAnsi" w:cstheme="minorHAnsi"/>
          <w:i/>
          <w:sz w:val="20"/>
          <w:szCs w:val="20"/>
        </w:rPr>
        <w:t>The Oxford Handbook of Empirical Legal Research</w:t>
      </w:r>
      <w:r w:rsidRPr="00C85407">
        <w:rPr>
          <w:rFonts w:asciiTheme="minorHAnsi" w:hAnsiTheme="minorHAnsi" w:cstheme="minorHAnsi"/>
          <w:sz w:val="20"/>
          <w:szCs w:val="20"/>
        </w:rPr>
        <w:t xml:space="preserve"> (OUP 2010).</w:t>
      </w:r>
    </w:p>
    <w:p w14:paraId="779A73CE" w14:textId="77777777" w:rsidR="0082140C" w:rsidRPr="00C85407" w:rsidRDefault="0082140C">
      <w:pPr>
        <w:pStyle w:val="FootnoteText"/>
        <w:rPr>
          <w:rFonts w:asciiTheme="minorHAnsi" w:hAnsiTheme="minorHAnsi" w:cstheme="minorHAnsi"/>
          <w:lang w:val="en-GB"/>
        </w:rPr>
      </w:pPr>
    </w:p>
  </w:footnote>
  <w:footnote w:id="43">
    <w:p w14:paraId="7B5991F4"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J Hood and S Kelly, </w:t>
      </w:r>
      <w:r w:rsidRPr="00C85407">
        <w:rPr>
          <w:rFonts w:asciiTheme="minorHAnsi" w:hAnsiTheme="minorHAnsi" w:cstheme="minorHAnsi"/>
        </w:rPr>
        <w:t xml:space="preserve">‘The Emergence of Public Sector Risk Management: The Case of Local Authorities in Scotland’ </w:t>
      </w:r>
      <w:r w:rsidRPr="00C85407">
        <w:rPr>
          <w:rFonts w:asciiTheme="minorHAnsi" w:hAnsiTheme="minorHAnsi" w:cstheme="minorHAnsi"/>
          <w:i/>
        </w:rPr>
        <w:t>Policy Studies</w:t>
      </w:r>
      <w:r w:rsidRPr="00C85407">
        <w:rPr>
          <w:rFonts w:asciiTheme="minorHAnsi" w:hAnsiTheme="minorHAnsi" w:cstheme="minorHAnsi"/>
        </w:rPr>
        <w:t xml:space="preserve"> (1999) 20, 273-283.</w:t>
      </w:r>
    </w:p>
  </w:footnote>
  <w:footnote w:id="44">
    <w:p w14:paraId="3641420A"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ibid.</w:t>
      </w:r>
    </w:p>
  </w:footnote>
  <w:footnote w:id="45">
    <w:p w14:paraId="008F51FA"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n 2</w:t>
      </w:r>
      <w:r>
        <w:rPr>
          <w:rFonts w:asciiTheme="minorHAnsi" w:hAnsiTheme="minorHAnsi" w:cstheme="minorHAnsi"/>
          <w:lang w:val="en-GB"/>
        </w:rPr>
        <w:t>2</w:t>
      </w:r>
      <w:r w:rsidRPr="00C85407">
        <w:rPr>
          <w:rFonts w:asciiTheme="minorHAnsi" w:hAnsiTheme="minorHAnsi" w:cstheme="minorHAnsi"/>
          <w:lang w:val="en-GB"/>
        </w:rPr>
        <w:t>.</w:t>
      </w:r>
    </w:p>
  </w:footnote>
  <w:footnote w:id="46">
    <w:p w14:paraId="15489D38"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for example, P Di Maggio and W Powell, </w:t>
      </w:r>
      <w:r w:rsidRPr="00C85407">
        <w:rPr>
          <w:rFonts w:asciiTheme="minorHAnsi" w:hAnsiTheme="minorHAnsi" w:cstheme="minorHAnsi"/>
        </w:rPr>
        <w:t xml:space="preserve">‘The Iron Cage Revisited: Institutional Isomorphism and Collective Rationality in Organizational Fields’ </w:t>
      </w:r>
      <w:r w:rsidRPr="00C85407">
        <w:rPr>
          <w:rFonts w:asciiTheme="minorHAnsi" w:hAnsiTheme="minorHAnsi" w:cstheme="minorHAnsi"/>
          <w:i/>
          <w:iCs/>
        </w:rPr>
        <w:t>American Sociological Review</w:t>
      </w:r>
      <w:r w:rsidRPr="00C85407">
        <w:rPr>
          <w:rFonts w:asciiTheme="minorHAnsi" w:hAnsiTheme="minorHAnsi" w:cstheme="minorHAnsi"/>
        </w:rPr>
        <w:t xml:space="preserve"> (1983) 48, 147-60.</w:t>
      </w:r>
    </w:p>
  </w:footnote>
  <w:footnote w:id="47">
    <w:p w14:paraId="1DC42611"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for example, C Scott, </w:t>
      </w:r>
      <w:r w:rsidRPr="00C85407">
        <w:rPr>
          <w:rFonts w:asciiTheme="minorHAnsi" w:hAnsiTheme="minorHAnsi" w:cstheme="minorHAnsi"/>
        </w:rPr>
        <w:t xml:space="preserve">'Private Regulation of the Public Sector: A Neglected Facet of Contemporary Governance', </w:t>
      </w:r>
      <w:r w:rsidRPr="00C85407">
        <w:rPr>
          <w:rFonts w:asciiTheme="minorHAnsi" w:hAnsiTheme="minorHAnsi" w:cstheme="minorHAnsi"/>
          <w:i/>
        </w:rPr>
        <w:t>Journal of Law and Society</w:t>
      </w:r>
      <w:r w:rsidRPr="00C85407">
        <w:rPr>
          <w:rFonts w:asciiTheme="minorHAnsi" w:hAnsiTheme="minorHAnsi" w:cstheme="minorHAnsi"/>
        </w:rPr>
        <w:t xml:space="preserve"> (2002) 29, 56-76; R Ericson, A Doyle and D Barry, </w:t>
      </w:r>
      <w:r w:rsidRPr="00C85407">
        <w:rPr>
          <w:rFonts w:asciiTheme="minorHAnsi" w:hAnsiTheme="minorHAnsi" w:cstheme="minorHAnsi"/>
          <w:i/>
        </w:rPr>
        <w:t>Insurance as Governance</w:t>
      </w:r>
      <w:r w:rsidRPr="00C85407">
        <w:rPr>
          <w:rFonts w:asciiTheme="minorHAnsi" w:hAnsiTheme="minorHAnsi" w:cstheme="minorHAnsi"/>
        </w:rPr>
        <w:t xml:space="preserve"> (University of Toronto Press, 2003).</w:t>
      </w:r>
    </w:p>
  </w:footnote>
  <w:footnote w:id="48">
    <w:p w14:paraId="08F52C6A" w14:textId="77777777" w:rsidR="0082140C" w:rsidRPr="00C85407" w:rsidRDefault="0082140C" w:rsidP="00993521">
      <w:pPr>
        <w:pStyle w:val="FootnoteText"/>
        <w:rPr>
          <w:rFonts w:asciiTheme="minorHAnsi" w:hAnsiTheme="minorHAnsi" w:cstheme="minorHAnsi"/>
          <w:lang w:val="en-AU"/>
        </w:rPr>
      </w:pPr>
      <w:r w:rsidRPr="00C85407">
        <w:rPr>
          <w:rStyle w:val="FootnoteReference"/>
          <w:rFonts w:asciiTheme="minorHAnsi" w:hAnsiTheme="minorHAnsi" w:cstheme="minorHAnsi"/>
        </w:rPr>
        <w:footnoteRef/>
      </w:r>
      <w:r w:rsidRPr="00C85407">
        <w:rPr>
          <w:rFonts w:asciiTheme="minorHAnsi" w:hAnsiTheme="minorHAnsi" w:cstheme="minorHAnsi"/>
        </w:rPr>
        <w:t xml:space="preserve"> Local authorities’ property profiles are both large and varied, covering everything from buildings and IT facilities to ice cream vending machines, the council regalia and golf carts.</w:t>
      </w:r>
    </w:p>
  </w:footnote>
  <w:footnote w:id="49">
    <w:p w14:paraId="40B58C40"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also R Bagshaw, </w:t>
      </w:r>
      <w:r w:rsidRPr="00C85407">
        <w:rPr>
          <w:rFonts w:asciiTheme="minorHAnsi" w:hAnsiTheme="minorHAnsi" w:cstheme="minorHAnsi"/>
        </w:rPr>
        <w:t xml:space="preserve">‘Monetary Remedies in Public Law: Misdiagnosis and Misprescription’ (2006) </w:t>
      </w:r>
      <w:r w:rsidRPr="00C85407">
        <w:rPr>
          <w:rFonts w:asciiTheme="minorHAnsi" w:hAnsiTheme="minorHAnsi" w:cstheme="minorHAnsi"/>
          <w:i/>
        </w:rPr>
        <w:t>Legal Studies</w:t>
      </w:r>
      <w:r w:rsidRPr="00C85407">
        <w:rPr>
          <w:rFonts w:asciiTheme="minorHAnsi" w:hAnsiTheme="minorHAnsi" w:cstheme="minorHAnsi"/>
        </w:rPr>
        <w:t>, 26(1), 4 – 25.</w:t>
      </w:r>
    </w:p>
  </w:footnote>
  <w:footnote w:id="50">
    <w:p w14:paraId="0FD25C1E"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L Edelman, ‘</w:t>
      </w:r>
      <w:r w:rsidRPr="00C85407">
        <w:rPr>
          <w:rFonts w:asciiTheme="minorHAnsi" w:hAnsiTheme="minorHAnsi" w:cstheme="minorHAnsi"/>
          <w:color w:val="000000"/>
        </w:rPr>
        <w:t xml:space="preserve">Overlapping Fields and Constructed Legalities: The Endogeneity of Law’ in J O’Brien, (ed) </w:t>
      </w:r>
      <w:r w:rsidRPr="00C85407">
        <w:rPr>
          <w:rFonts w:asciiTheme="minorHAnsi" w:hAnsiTheme="minorHAnsi" w:cstheme="minorHAnsi"/>
          <w:i/>
          <w:iCs/>
          <w:color w:val="000000"/>
        </w:rPr>
        <w:t>Private Equity, Corporate Governance and the Dynamics of Capital Market Regulation</w:t>
      </w:r>
      <w:r w:rsidRPr="00C85407">
        <w:rPr>
          <w:rFonts w:asciiTheme="minorHAnsi" w:hAnsiTheme="minorHAnsi" w:cstheme="minorHAnsi"/>
          <w:color w:val="000000"/>
        </w:rPr>
        <w:t xml:space="preserve"> (Imperial College Press, 2004)</w:t>
      </w:r>
    </w:p>
  </w:footnote>
  <w:footnote w:id="51">
    <w:p w14:paraId="14249310" w14:textId="77777777" w:rsidR="0082140C" w:rsidRPr="00C85407" w:rsidRDefault="0082140C" w:rsidP="004350D8">
      <w:pPr>
        <w:pStyle w:val="FootnoteText"/>
        <w:spacing w:line="276" w:lineRule="auto"/>
        <w:rPr>
          <w:rFonts w:asciiTheme="minorHAnsi" w:hAnsiTheme="minorHAnsi" w:cstheme="minorHAnsi"/>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color w:val="000000"/>
        </w:rPr>
        <w:t xml:space="preserve">Such an understanding of the relationship between law and society has much in common with aspects of regulation scholarship. For example, on the negotiated meaning of compliance between regulator and regulatee, see B Hutter, </w:t>
      </w:r>
      <w:r w:rsidRPr="00C85407">
        <w:rPr>
          <w:rFonts w:asciiTheme="minorHAnsi" w:hAnsiTheme="minorHAnsi" w:cstheme="minorHAnsi"/>
          <w:i/>
          <w:iCs/>
        </w:rPr>
        <w:t>Compliance: Regulation and Environment</w:t>
      </w:r>
      <w:r w:rsidRPr="00C85407">
        <w:rPr>
          <w:rFonts w:asciiTheme="minorHAnsi" w:hAnsiTheme="minorHAnsi" w:cstheme="minorHAnsi"/>
        </w:rPr>
        <w:t xml:space="preserve"> (OUP, </w:t>
      </w:r>
      <w:r w:rsidRPr="00C85407">
        <w:rPr>
          <w:rFonts w:asciiTheme="minorHAnsi" w:hAnsiTheme="minorHAnsi" w:cstheme="minorHAnsi"/>
          <w:color w:val="000000"/>
        </w:rPr>
        <w:t xml:space="preserve">1997). On the ‘productive disintegration’ of regulatory law and private law, see H Collins, </w:t>
      </w:r>
      <w:r w:rsidRPr="00C85407">
        <w:rPr>
          <w:rFonts w:asciiTheme="minorHAnsi" w:hAnsiTheme="minorHAnsi" w:cstheme="minorHAnsi"/>
          <w:i/>
          <w:iCs/>
        </w:rPr>
        <w:t>Regulating Contracts</w:t>
      </w:r>
      <w:r w:rsidRPr="00C85407">
        <w:rPr>
          <w:rFonts w:asciiTheme="minorHAnsi" w:hAnsiTheme="minorHAnsi" w:cstheme="minorHAnsi"/>
          <w:color w:val="000000"/>
        </w:rPr>
        <w:t xml:space="preserve"> (OUP, 1999). On practices of ‘productive cherry-picking’ whereby courts selectively acknowledge and apply regulatory norms in private law decision-making see J Black, </w:t>
      </w:r>
      <w:r w:rsidRPr="00C85407">
        <w:rPr>
          <w:rFonts w:asciiTheme="minorHAnsi" w:hAnsiTheme="minorHAnsi" w:cstheme="minorHAnsi"/>
        </w:rPr>
        <w:t xml:space="preserve">‘Law and Regulation: The Case of Finance’ in C Parker, C Scott, N Lacey and J Braithwaite (eds) </w:t>
      </w:r>
      <w:r w:rsidRPr="00C85407">
        <w:rPr>
          <w:rFonts w:asciiTheme="minorHAnsi" w:hAnsiTheme="minorHAnsi" w:cstheme="minorHAnsi"/>
          <w:i/>
        </w:rPr>
        <w:t>Regulating Law</w:t>
      </w:r>
      <w:r w:rsidRPr="00C85407">
        <w:rPr>
          <w:rFonts w:asciiTheme="minorHAnsi" w:hAnsiTheme="minorHAnsi" w:cstheme="minorHAnsi"/>
        </w:rPr>
        <w:t xml:space="preserve"> (OUP, </w:t>
      </w:r>
      <w:r w:rsidRPr="00C85407">
        <w:rPr>
          <w:rFonts w:asciiTheme="minorHAnsi" w:hAnsiTheme="minorHAnsi" w:cstheme="minorHAnsi"/>
          <w:color w:val="000000"/>
        </w:rPr>
        <w:t>2004).</w:t>
      </w:r>
    </w:p>
  </w:footnote>
  <w:footnote w:id="52">
    <w:p w14:paraId="5A2A8E13"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Epp, n 10; Power </w:t>
      </w:r>
      <w:r w:rsidRPr="00C85407">
        <w:rPr>
          <w:rFonts w:asciiTheme="minorHAnsi" w:hAnsiTheme="minorHAnsi" w:cstheme="minorHAnsi"/>
          <w:i/>
          <w:lang w:val="en-GB"/>
        </w:rPr>
        <w:t>et al</w:t>
      </w:r>
      <w:r w:rsidRPr="00C85407">
        <w:rPr>
          <w:rFonts w:asciiTheme="minorHAnsi" w:hAnsiTheme="minorHAnsi" w:cstheme="minorHAnsi"/>
          <w:lang w:val="en-GB"/>
        </w:rPr>
        <w:t>, n 8.</w:t>
      </w:r>
    </w:p>
  </w:footnote>
  <w:footnote w:id="53">
    <w:p w14:paraId="2D9950C3"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See R Ericson and A Doyle, n 4</w:t>
      </w:r>
      <w:r>
        <w:rPr>
          <w:rFonts w:asciiTheme="minorHAnsi" w:hAnsiTheme="minorHAnsi" w:cstheme="minorHAnsi"/>
          <w:lang w:val="en-GB"/>
        </w:rPr>
        <w:t>6</w:t>
      </w:r>
      <w:r w:rsidRPr="00C85407">
        <w:rPr>
          <w:rFonts w:asciiTheme="minorHAnsi" w:hAnsiTheme="minorHAnsi" w:cstheme="minorHAnsi"/>
          <w:lang w:val="en-GB"/>
        </w:rPr>
        <w:t>.</w:t>
      </w:r>
    </w:p>
  </w:footnote>
  <w:footnote w:id="54">
    <w:p w14:paraId="6DBC04DB"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ibid</w:t>
      </w:r>
    </w:p>
  </w:footnote>
  <w:footnote w:id="55">
    <w:p w14:paraId="6113325A"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Ibid.</w:t>
      </w:r>
    </w:p>
  </w:footnote>
  <w:footnote w:id="56">
    <w:p w14:paraId="387F9D02"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For further details, see </w:t>
      </w:r>
      <w:r w:rsidR="009D52A4">
        <w:rPr>
          <w:rFonts w:asciiTheme="minorHAnsi" w:hAnsiTheme="minorHAnsi" w:cstheme="minorHAnsi"/>
          <w:lang w:val="en-GB"/>
        </w:rPr>
        <w:t xml:space="preserve">S Halliday </w:t>
      </w:r>
      <w:r w:rsidR="009D52A4">
        <w:rPr>
          <w:rFonts w:asciiTheme="minorHAnsi" w:hAnsiTheme="minorHAnsi" w:cstheme="minorHAnsi"/>
          <w:i/>
          <w:lang w:val="en-GB"/>
        </w:rPr>
        <w:t>et al</w:t>
      </w:r>
      <w:r w:rsidRPr="00C85407">
        <w:rPr>
          <w:rFonts w:asciiTheme="minorHAnsi" w:hAnsiTheme="minorHAnsi" w:cstheme="minorHAnsi"/>
          <w:lang w:val="en-GB"/>
        </w:rPr>
        <w:t>, n 3</w:t>
      </w:r>
      <w:r>
        <w:rPr>
          <w:rFonts w:asciiTheme="minorHAnsi" w:hAnsiTheme="minorHAnsi" w:cstheme="minorHAnsi"/>
          <w:lang w:val="en-GB"/>
        </w:rPr>
        <w:t>8</w:t>
      </w:r>
      <w:r w:rsidRPr="00C85407">
        <w:rPr>
          <w:rFonts w:asciiTheme="minorHAnsi" w:hAnsiTheme="minorHAnsi" w:cstheme="minorHAnsi"/>
          <w:lang w:val="en-GB"/>
        </w:rPr>
        <w:t>.</w:t>
      </w:r>
    </w:p>
  </w:footnote>
  <w:footnote w:id="57">
    <w:p w14:paraId="12B7284D"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See, for example, C Harlow (n 6) 127.</w:t>
      </w:r>
    </w:p>
  </w:footnote>
  <w:footnote w:id="58">
    <w:p w14:paraId="1791CBE5" w14:textId="77777777" w:rsidR="0082140C" w:rsidRPr="00C85407" w:rsidRDefault="0082140C">
      <w:pPr>
        <w:pStyle w:val="FootnoteText"/>
        <w:rPr>
          <w:rFonts w:asciiTheme="minorHAnsi" w:hAnsiTheme="minorHAnsi" w:cstheme="minorHAnsi"/>
          <w:lang w:val="en-GB"/>
        </w:rPr>
      </w:pPr>
      <w:r w:rsidRPr="00C85407">
        <w:rPr>
          <w:rStyle w:val="FootnoteReference"/>
          <w:rFonts w:asciiTheme="minorHAnsi" w:hAnsiTheme="minorHAnsi" w:cstheme="minorHAnsi"/>
        </w:rPr>
        <w:footnoteRef/>
      </w:r>
      <w:r w:rsidRPr="00C85407">
        <w:rPr>
          <w:rFonts w:asciiTheme="minorHAnsi" w:hAnsiTheme="minorHAnsi" w:cstheme="minorHAnsi"/>
        </w:rPr>
        <w:t xml:space="preserve"> </w:t>
      </w:r>
      <w:r w:rsidRPr="00C85407">
        <w:rPr>
          <w:rFonts w:asciiTheme="minorHAnsi" w:hAnsiTheme="minorHAnsi" w:cstheme="minorHAnsi"/>
          <w:lang w:val="en-GB"/>
        </w:rPr>
        <w:t xml:space="preserve">See </w:t>
      </w:r>
      <w:r w:rsidRPr="00C85407">
        <w:rPr>
          <w:rFonts w:asciiTheme="minorHAnsi" w:hAnsiTheme="minorHAnsi" w:cstheme="minorHAnsi"/>
        </w:rPr>
        <w:t xml:space="preserve">L Platt, M Sunkin and K Calvo ‘Judicial Review Litigation as an Incentive to Change in Local Authority Public Services in England &amp; Wales’ (2010) </w:t>
      </w:r>
      <w:r w:rsidRPr="00C85407">
        <w:rPr>
          <w:rFonts w:asciiTheme="minorHAnsi" w:hAnsiTheme="minorHAnsi" w:cstheme="minorHAnsi"/>
          <w:i/>
        </w:rPr>
        <w:t>Journal of Public Administration Theory and Research</w:t>
      </w:r>
      <w:r w:rsidRPr="00C85407">
        <w:rPr>
          <w:rFonts w:asciiTheme="minorHAnsi" w:hAnsiTheme="minorHAnsi" w:cstheme="minorHAnsi"/>
        </w:rPr>
        <w:t>, 20 (suppl 2), 243-60.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D5061"/>
    <w:multiLevelType w:val="hybridMultilevel"/>
    <w:tmpl w:val="183033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4678398A"/>
    <w:multiLevelType w:val="hybridMultilevel"/>
    <w:tmpl w:val="E2C8C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01D774D"/>
    <w:multiLevelType w:val="hybridMultilevel"/>
    <w:tmpl w:val="4E0A3DF4"/>
    <w:lvl w:ilvl="0" w:tplc="54BABC4C">
      <w:start w:val="1"/>
      <w:numFmt w:val="upp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1B36085"/>
    <w:multiLevelType w:val="hybridMultilevel"/>
    <w:tmpl w:val="7F1A93B2"/>
    <w:lvl w:ilvl="0" w:tplc="08090013">
      <w:start w:val="1"/>
      <w:numFmt w:val="upp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ED03DEC"/>
    <w:multiLevelType w:val="hybridMultilevel"/>
    <w:tmpl w:val="DE727D3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F897E89"/>
    <w:multiLevelType w:val="hybridMultilevel"/>
    <w:tmpl w:val="EE76D36C"/>
    <w:lvl w:ilvl="0" w:tplc="08090013">
      <w:start w:val="1"/>
      <w:numFmt w:val="upp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BA"/>
    <w:rsid w:val="0000408D"/>
    <w:rsid w:val="00010C19"/>
    <w:rsid w:val="00013D0E"/>
    <w:rsid w:val="00025D08"/>
    <w:rsid w:val="00025E93"/>
    <w:rsid w:val="00031745"/>
    <w:rsid w:val="000368EB"/>
    <w:rsid w:val="0005170A"/>
    <w:rsid w:val="0005505D"/>
    <w:rsid w:val="00061764"/>
    <w:rsid w:val="00070054"/>
    <w:rsid w:val="00070889"/>
    <w:rsid w:val="00081930"/>
    <w:rsid w:val="0008220C"/>
    <w:rsid w:val="00086136"/>
    <w:rsid w:val="00086AEC"/>
    <w:rsid w:val="000926AB"/>
    <w:rsid w:val="00093AAE"/>
    <w:rsid w:val="000943E9"/>
    <w:rsid w:val="00096AE0"/>
    <w:rsid w:val="000A505A"/>
    <w:rsid w:val="000B50EC"/>
    <w:rsid w:val="000C5A6C"/>
    <w:rsid w:val="000C6461"/>
    <w:rsid w:val="00101AE1"/>
    <w:rsid w:val="001021AD"/>
    <w:rsid w:val="00111C3D"/>
    <w:rsid w:val="001147C0"/>
    <w:rsid w:val="001151A0"/>
    <w:rsid w:val="001166E2"/>
    <w:rsid w:val="00131810"/>
    <w:rsid w:val="00133876"/>
    <w:rsid w:val="0013791B"/>
    <w:rsid w:val="00142C6A"/>
    <w:rsid w:val="00143BAA"/>
    <w:rsid w:val="00144659"/>
    <w:rsid w:val="001461C8"/>
    <w:rsid w:val="00151EB6"/>
    <w:rsid w:val="001567D3"/>
    <w:rsid w:val="00161BD7"/>
    <w:rsid w:val="0016271E"/>
    <w:rsid w:val="00164FCD"/>
    <w:rsid w:val="00174BCF"/>
    <w:rsid w:val="00175776"/>
    <w:rsid w:val="00185946"/>
    <w:rsid w:val="0018737A"/>
    <w:rsid w:val="001A2E37"/>
    <w:rsid w:val="001A4A53"/>
    <w:rsid w:val="001A4F92"/>
    <w:rsid w:val="001A75F5"/>
    <w:rsid w:val="001B023A"/>
    <w:rsid w:val="001B30ED"/>
    <w:rsid w:val="001B3FB0"/>
    <w:rsid w:val="001B4A7B"/>
    <w:rsid w:val="001C42D8"/>
    <w:rsid w:val="001D2495"/>
    <w:rsid w:val="001D26A9"/>
    <w:rsid w:val="001E0030"/>
    <w:rsid w:val="001E452E"/>
    <w:rsid w:val="0020456B"/>
    <w:rsid w:val="0020521A"/>
    <w:rsid w:val="0024243F"/>
    <w:rsid w:val="00242B4E"/>
    <w:rsid w:val="00246BBE"/>
    <w:rsid w:val="00250369"/>
    <w:rsid w:val="00252C16"/>
    <w:rsid w:val="00255E7B"/>
    <w:rsid w:val="002603DA"/>
    <w:rsid w:val="00267A4E"/>
    <w:rsid w:val="00273A5A"/>
    <w:rsid w:val="00273E2D"/>
    <w:rsid w:val="002A3211"/>
    <w:rsid w:val="002B53B0"/>
    <w:rsid w:val="002C16F4"/>
    <w:rsid w:val="002D2351"/>
    <w:rsid w:val="002D5C63"/>
    <w:rsid w:val="002D6CA2"/>
    <w:rsid w:val="002E0385"/>
    <w:rsid w:val="002E449F"/>
    <w:rsid w:val="002E6332"/>
    <w:rsid w:val="002E645A"/>
    <w:rsid w:val="002E7657"/>
    <w:rsid w:val="002F485D"/>
    <w:rsid w:val="00303206"/>
    <w:rsid w:val="00303771"/>
    <w:rsid w:val="00320020"/>
    <w:rsid w:val="003200D1"/>
    <w:rsid w:val="003449AA"/>
    <w:rsid w:val="00345346"/>
    <w:rsid w:val="0035712D"/>
    <w:rsid w:val="00367BB4"/>
    <w:rsid w:val="00376196"/>
    <w:rsid w:val="0037660D"/>
    <w:rsid w:val="00382B44"/>
    <w:rsid w:val="003845F7"/>
    <w:rsid w:val="00395DC4"/>
    <w:rsid w:val="003A21B8"/>
    <w:rsid w:val="003B0269"/>
    <w:rsid w:val="003C6D65"/>
    <w:rsid w:val="003D1D1F"/>
    <w:rsid w:val="003D3C27"/>
    <w:rsid w:val="003D6501"/>
    <w:rsid w:val="003D6B9F"/>
    <w:rsid w:val="003F5EC6"/>
    <w:rsid w:val="004011E4"/>
    <w:rsid w:val="00410026"/>
    <w:rsid w:val="00431EBF"/>
    <w:rsid w:val="00434094"/>
    <w:rsid w:val="004350D8"/>
    <w:rsid w:val="00435500"/>
    <w:rsid w:val="00435586"/>
    <w:rsid w:val="00435CE0"/>
    <w:rsid w:val="0045560D"/>
    <w:rsid w:val="0046566F"/>
    <w:rsid w:val="004679DC"/>
    <w:rsid w:val="00485CE1"/>
    <w:rsid w:val="0049318E"/>
    <w:rsid w:val="00495A5B"/>
    <w:rsid w:val="004A1F2C"/>
    <w:rsid w:val="004A3727"/>
    <w:rsid w:val="004D064C"/>
    <w:rsid w:val="005007FF"/>
    <w:rsid w:val="00500AB7"/>
    <w:rsid w:val="005017F2"/>
    <w:rsid w:val="00502340"/>
    <w:rsid w:val="005171FA"/>
    <w:rsid w:val="00520779"/>
    <w:rsid w:val="00522A08"/>
    <w:rsid w:val="00527616"/>
    <w:rsid w:val="005410BA"/>
    <w:rsid w:val="0054285C"/>
    <w:rsid w:val="00552DF5"/>
    <w:rsid w:val="00561B6C"/>
    <w:rsid w:val="00573E51"/>
    <w:rsid w:val="00584212"/>
    <w:rsid w:val="00595A2D"/>
    <w:rsid w:val="005A0CD8"/>
    <w:rsid w:val="005B3516"/>
    <w:rsid w:val="005B628E"/>
    <w:rsid w:val="005C1E64"/>
    <w:rsid w:val="005C4409"/>
    <w:rsid w:val="005C64D0"/>
    <w:rsid w:val="005D571E"/>
    <w:rsid w:val="005E40F6"/>
    <w:rsid w:val="005E6011"/>
    <w:rsid w:val="0060593A"/>
    <w:rsid w:val="00610A5D"/>
    <w:rsid w:val="00616826"/>
    <w:rsid w:val="00616F2F"/>
    <w:rsid w:val="006175FF"/>
    <w:rsid w:val="00632254"/>
    <w:rsid w:val="00633F73"/>
    <w:rsid w:val="0064221D"/>
    <w:rsid w:val="006445A7"/>
    <w:rsid w:val="006506B1"/>
    <w:rsid w:val="006518CC"/>
    <w:rsid w:val="006552EA"/>
    <w:rsid w:val="00661D94"/>
    <w:rsid w:val="00673D81"/>
    <w:rsid w:val="00684C28"/>
    <w:rsid w:val="00684C7F"/>
    <w:rsid w:val="0068520B"/>
    <w:rsid w:val="006A2F52"/>
    <w:rsid w:val="006C4864"/>
    <w:rsid w:val="006E1F26"/>
    <w:rsid w:val="006E2AE6"/>
    <w:rsid w:val="00714B77"/>
    <w:rsid w:val="007204D8"/>
    <w:rsid w:val="007223FD"/>
    <w:rsid w:val="00740693"/>
    <w:rsid w:val="007409E6"/>
    <w:rsid w:val="0074101F"/>
    <w:rsid w:val="0076030B"/>
    <w:rsid w:val="007703AB"/>
    <w:rsid w:val="0077542C"/>
    <w:rsid w:val="00781951"/>
    <w:rsid w:val="007855CD"/>
    <w:rsid w:val="00785DAC"/>
    <w:rsid w:val="00786D9F"/>
    <w:rsid w:val="00791EE7"/>
    <w:rsid w:val="0079413E"/>
    <w:rsid w:val="00794A02"/>
    <w:rsid w:val="007A1D1E"/>
    <w:rsid w:val="007B4C24"/>
    <w:rsid w:val="007B67D3"/>
    <w:rsid w:val="007C6CA7"/>
    <w:rsid w:val="007D7397"/>
    <w:rsid w:val="007E4D92"/>
    <w:rsid w:val="007E525F"/>
    <w:rsid w:val="007E7A8D"/>
    <w:rsid w:val="007F036D"/>
    <w:rsid w:val="008055AC"/>
    <w:rsid w:val="0082140C"/>
    <w:rsid w:val="008355AE"/>
    <w:rsid w:val="00835E52"/>
    <w:rsid w:val="008431E4"/>
    <w:rsid w:val="00844F39"/>
    <w:rsid w:val="00847A7D"/>
    <w:rsid w:val="00853F3A"/>
    <w:rsid w:val="00855FE8"/>
    <w:rsid w:val="00857A48"/>
    <w:rsid w:val="00880981"/>
    <w:rsid w:val="00886189"/>
    <w:rsid w:val="00887F78"/>
    <w:rsid w:val="008943E6"/>
    <w:rsid w:val="00896F3F"/>
    <w:rsid w:val="008A07B5"/>
    <w:rsid w:val="008B3FC9"/>
    <w:rsid w:val="008B466C"/>
    <w:rsid w:val="008B4E23"/>
    <w:rsid w:val="008C5358"/>
    <w:rsid w:val="008D3331"/>
    <w:rsid w:val="008D7AD0"/>
    <w:rsid w:val="008F3AD6"/>
    <w:rsid w:val="009005C5"/>
    <w:rsid w:val="0090145A"/>
    <w:rsid w:val="009173EE"/>
    <w:rsid w:val="00945DBC"/>
    <w:rsid w:val="00951515"/>
    <w:rsid w:val="00953230"/>
    <w:rsid w:val="009633D6"/>
    <w:rsid w:val="00983F93"/>
    <w:rsid w:val="009869EC"/>
    <w:rsid w:val="00993521"/>
    <w:rsid w:val="00995496"/>
    <w:rsid w:val="009C47E1"/>
    <w:rsid w:val="009D265B"/>
    <w:rsid w:val="009D52A4"/>
    <w:rsid w:val="009E2640"/>
    <w:rsid w:val="009E3525"/>
    <w:rsid w:val="009F6897"/>
    <w:rsid w:val="009F72C3"/>
    <w:rsid w:val="00A13823"/>
    <w:rsid w:val="00A459A2"/>
    <w:rsid w:val="00A46ACB"/>
    <w:rsid w:val="00A524E1"/>
    <w:rsid w:val="00A551CB"/>
    <w:rsid w:val="00A6735E"/>
    <w:rsid w:val="00A74156"/>
    <w:rsid w:val="00A745A2"/>
    <w:rsid w:val="00A801D3"/>
    <w:rsid w:val="00A95C08"/>
    <w:rsid w:val="00AA5FF4"/>
    <w:rsid w:val="00AB1606"/>
    <w:rsid w:val="00AB7E6D"/>
    <w:rsid w:val="00AC032E"/>
    <w:rsid w:val="00AD65F2"/>
    <w:rsid w:val="00AE6A0D"/>
    <w:rsid w:val="00AE6B53"/>
    <w:rsid w:val="00AF461A"/>
    <w:rsid w:val="00B07B74"/>
    <w:rsid w:val="00B16E1A"/>
    <w:rsid w:val="00B17831"/>
    <w:rsid w:val="00B31530"/>
    <w:rsid w:val="00B35C00"/>
    <w:rsid w:val="00B37AF7"/>
    <w:rsid w:val="00B37DB8"/>
    <w:rsid w:val="00B421B3"/>
    <w:rsid w:val="00B46F20"/>
    <w:rsid w:val="00B47E03"/>
    <w:rsid w:val="00B57589"/>
    <w:rsid w:val="00B62483"/>
    <w:rsid w:val="00B803E3"/>
    <w:rsid w:val="00BA64C7"/>
    <w:rsid w:val="00BD27A3"/>
    <w:rsid w:val="00BD47DE"/>
    <w:rsid w:val="00BF53F5"/>
    <w:rsid w:val="00C02675"/>
    <w:rsid w:val="00C13071"/>
    <w:rsid w:val="00C17F62"/>
    <w:rsid w:val="00C32A56"/>
    <w:rsid w:val="00C44632"/>
    <w:rsid w:val="00C47560"/>
    <w:rsid w:val="00C618E6"/>
    <w:rsid w:val="00C636EC"/>
    <w:rsid w:val="00C739AC"/>
    <w:rsid w:val="00C830A6"/>
    <w:rsid w:val="00C846F4"/>
    <w:rsid w:val="00C85407"/>
    <w:rsid w:val="00C86469"/>
    <w:rsid w:val="00C920CD"/>
    <w:rsid w:val="00C93249"/>
    <w:rsid w:val="00C966E2"/>
    <w:rsid w:val="00CB0EC7"/>
    <w:rsid w:val="00CB52BC"/>
    <w:rsid w:val="00CD219B"/>
    <w:rsid w:val="00CE03D7"/>
    <w:rsid w:val="00CE7C1C"/>
    <w:rsid w:val="00CF2D03"/>
    <w:rsid w:val="00CF5E28"/>
    <w:rsid w:val="00D055DC"/>
    <w:rsid w:val="00D21418"/>
    <w:rsid w:val="00D71054"/>
    <w:rsid w:val="00D71A16"/>
    <w:rsid w:val="00D83C5E"/>
    <w:rsid w:val="00D95E2C"/>
    <w:rsid w:val="00DB693A"/>
    <w:rsid w:val="00DD0320"/>
    <w:rsid w:val="00DD292B"/>
    <w:rsid w:val="00DE1087"/>
    <w:rsid w:val="00DE23F3"/>
    <w:rsid w:val="00DE4F2E"/>
    <w:rsid w:val="00DF07FB"/>
    <w:rsid w:val="00DF12DC"/>
    <w:rsid w:val="00DF5B65"/>
    <w:rsid w:val="00DF77C3"/>
    <w:rsid w:val="00E01F35"/>
    <w:rsid w:val="00E0318F"/>
    <w:rsid w:val="00E0577C"/>
    <w:rsid w:val="00E064E3"/>
    <w:rsid w:val="00E07151"/>
    <w:rsid w:val="00E110AF"/>
    <w:rsid w:val="00E12137"/>
    <w:rsid w:val="00E14F27"/>
    <w:rsid w:val="00E152D6"/>
    <w:rsid w:val="00E20A17"/>
    <w:rsid w:val="00E2373D"/>
    <w:rsid w:val="00E305A8"/>
    <w:rsid w:val="00E33B0A"/>
    <w:rsid w:val="00E50BD6"/>
    <w:rsid w:val="00E53108"/>
    <w:rsid w:val="00E53CD9"/>
    <w:rsid w:val="00E619F4"/>
    <w:rsid w:val="00E6616B"/>
    <w:rsid w:val="00E75388"/>
    <w:rsid w:val="00E77E5A"/>
    <w:rsid w:val="00E80F89"/>
    <w:rsid w:val="00E86360"/>
    <w:rsid w:val="00E86967"/>
    <w:rsid w:val="00EA272B"/>
    <w:rsid w:val="00EA7540"/>
    <w:rsid w:val="00EB3AE3"/>
    <w:rsid w:val="00EB61CA"/>
    <w:rsid w:val="00EC44FE"/>
    <w:rsid w:val="00EE328F"/>
    <w:rsid w:val="00EF417F"/>
    <w:rsid w:val="00F0432B"/>
    <w:rsid w:val="00F05FE5"/>
    <w:rsid w:val="00F106C6"/>
    <w:rsid w:val="00F17C85"/>
    <w:rsid w:val="00F23542"/>
    <w:rsid w:val="00F236D6"/>
    <w:rsid w:val="00F52301"/>
    <w:rsid w:val="00F5359A"/>
    <w:rsid w:val="00F565D7"/>
    <w:rsid w:val="00F62068"/>
    <w:rsid w:val="00F9254F"/>
    <w:rsid w:val="00F93696"/>
    <w:rsid w:val="00F96969"/>
    <w:rsid w:val="00FA3EE8"/>
    <w:rsid w:val="00FB2F17"/>
    <w:rsid w:val="00FD0042"/>
    <w:rsid w:val="00FE0C5A"/>
    <w:rsid w:val="00FE386D"/>
    <w:rsid w:val="00FE3B26"/>
    <w:rsid w:val="00FE5735"/>
    <w:rsid w:val="00FF1271"/>
    <w:rsid w:val="00FF36B5"/>
    <w:rsid w:val="00FF70A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B3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4F2E"/>
    <w:rPr>
      <w:color w:val="0000FF"/>
      <w:u w:val="single"/>
    </w:rPr>
  </w:style>
  <w:style w:type="paragraph" w:styleId="FootnoteText">
    <w:name w:val="footnote text"/>
    <w:basedOn w:val="Normal"/>
    <w:link w:val="FootnoteTextChar"/>
    <w:semiHidden/>
    <w:rsid w:val="003D6501"/>
    <w:pPr>
      <w:spacing w:after="0" w:line="240" w:lineRule="auto"/>
    </w:pPr>
    <w:rPr>
      <w:rFonts w:ascii="Times New Roman" w:eastAsia="Times New Roman" w:hAnsi="Times New Roman" w:cs="Times New Roman"/>
      <w:sz w:val="20"/>
      <w:szCs w:val="20"/>
      <w:lang w:val="en-IE"/>
    </w:rPr>
  </w:style>
  <w:style w:type="character" w:customStyle="1" w:styleId="FootnoteTextChar">
    <w:name w:val="Footnote Text Char"/>
    <w:basedOn w:val="DefaultParagraphFont"/>
    <w:link w:val="FootnoteText"/>
    <w:semiHidden/>
    <w:rsid w:val="003D6501"/>
    <w:rPr>
      <w:rFonts w:ascii="Times New Roman" w:eastAsia="Times New Roman" w:hAnsi="Times New Roman" w:cs="Times New Roman"/>
      <w:sz w:val="20"/>
      <w:szCs w:val="20"/>
      <w:lang w:val="en-IE"/>
    </w:rPr>
  </w:style>
  <w:style w:type="character" w:styleId="FootnoteReference">
    <w:name w:val="footnote reference"/>
    <w:basedOn w:val="DefaultParagraphFont"/>
    <w:semiHidden/>
    <w:rsid w:val="003D6501"/>
    <w:rPr>
      <w:vertAlign w:val="superscript"/>
    </w:rPr>
  </w:style>
  <w:style w:type="paragraph" w:customStyle="1" w:styleId="Default">
    <w:name w:val="Default"/>
    <w:rsid w:val="003D6501"/>
    <w:pPr>
      <w:autoSpaceDE w:val="0"/>
      <w:autoSpaceDN w:val="0"/>
      <w:adjustRightInd w:val="0"/>
      <w:spacing w:after="0" w:line="240" w:lineRule="auto"/>
    </w:pPr>
    <w:rPr>
      <w:rFonts w:ascii="Calibri" w:eastAsia="Times New Roman" w:hAnsi="Calibri" w:cs="Times New Roman"/>
      <w:color w:val="000000"/>
      <w:sz w:val="24"/>
      <w:szCs w:val="24"/>
      <w:lang w:val="en-US"/>
    </w:rPr>
  </w:style>
  <w:style w:type="character" w:styleId="Strong">
    <w:name w:val="Strong"/>
    <w:basedOn w:val="DefaultParagraphFont"/>
    <w:qFormat/>
    <w:rsid w:val="003D6501"/>
    <w:rPr>
      <w:b/>
      <w:bCs/>
    </w:rPr>
  </w:style>
  <w:style w:type="character" w:styleId="EndnoteReference">
    <w:name w:val="endnote reference"/>
    <w:basedOn w:val="DefaultParagraphFont"/>
    <w:uiPriority w:val="99"/>
    <w:semiHidden/>
    <w:unhideWhenUsed/>
    <w:rsid w:val="008943E6"/>
    <w:rPr>
      <w:vertAlign w:val="superscript"/>
    </w:rPr>
  </w:style>
  <w:style w:type="paragraph" w:styleId="BalloonText">
    <w:name w:val="Balloon Text"/>
    <w:basedOn w:val="Normal"/>
    <w:link w:val="BalloonTextChar"/>
    <w:uiPriority w:val="99"/>
    <w:semiHidden/>
    <w:unhideWhenUsed/>
    <w:rsid w:val="00C47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560"/>
    <w:rPr>
      <w:rFonts w:ascii="Tahoma" w:hAnsi="Tahoma" w:cs="Tahoma"/>
      <w:sz w:val="16"/>
      <w:szCs w:val="16"/>
    </w:rPr>
  </w:style>
  <w:style w:type="paragraph" w:styleId="BodyText">
    <w:name w:val="Body Text"/>
    <w:basedOn w:val="Normal"/>
    <w:link w:val="BodyTextChar"/>
    <w:semiHidden/>
    <w:rsid w:val="0024243F"/>
    <w:pPr>
      <w:spacing w:after="0" w:line="240" w:lineRule="auto"/>
      <w:jc w:val="both"/>
    </w:pPr>
    <w:rPr>
      <w:rFonts w:ascii="Garamond" w:eastAsia="Batang" w:hAnsi="Garamond" w:cs="Arial"/>
      <w:sz w:val="24"/>
      <w:szCs w:val="24"/>
      <w:lang w:eastAsia="zh-CN" w:bidi="ur-PK"/>
    </w:rPr>
  </w:style>
  <w:style w:type="character" w:customStyle="1" w:styleId="BodyTextChar">
    <w:name w:val="Body Text Char"/>
    <w:basedOn w:val="DefaultParagraphFont"/>
    <w:link w:val="BodyText"/>
    <w:semiHidden/>
    <w:rsid w:val="0024243F"/>
    <w:rPr>
      <w:rFonts w:ascii="Garamond" w:eastAsia="Batang" w:hAnsi="Garamond" w:cs="Arial"/>
      <w:sz w:val="24"/>
      <w:szCs w:val="24"/>
      <w:lang w:eastAsia="zh-CN" w:bidi="ur-PK"/>
    </w:rPr>
  </w:style>
  <w:style w:type="paragraph" w:styleId="EndnoteText">
    <w:name w:val="endnote text"/>
    <w:basedOn w:val="Normal"/>
    <w:link w:val="EndnoteTextChar"/>
    <w:uiPriority w:val="99"/>
    <w:unhideWhenUsed/>
    <w:rsid w:val="008D7AD0"/>
    <w:pPr>
      <w:spacing w:after="0" w:line="240" w:lineRule="auto"/>
    </w:pPr>
    <w:rPr>
      <w:rFonts w:ascii="Times New Roman" w:eastAsia="Times New Roman" w:hAnsi="Times New Roman" w:cs="Times New Roman"/>
      <w:sz w:val="20"/>
      <w:szCs w:val="20"/>
      <w:lang w:val="en-IE"/>
    </w:rPr>
  </w:style>
  <w:style w:type="character" w:customStyle="1" w:styleId="EndnoteTextChar">
    <w:name w:val="Endnote Text Char"/>
    <w:basedOn w:val="DefaultParagraphFont"/>
    <w:link w:val="EndnoteText"/>
    <w:uiPriority w:val="99"/>
    <w:rsid w:val="008D7AD0"/>
    <w:rPr>
      <w:rFonts w:ascii="Times New Roman" w:eastAsia="Times New Roman" w:hAnsi="Times New Roman" w:cs="Times New Roman"/>
      <w:sz w:val="20"/>
      <w:szCs w:val="20"/>
      <w:lang w:val="en-IE"/>
    </w:rPr>
  </w:style>
  <w:style w:type="paragraph" w:styleId="Header">
    <w:name w:val="header"/>
    <w:basedOn w:val="Normal"/>
    <w:link w:val="HeaderChar"/>
    <w:uiPriority w:val="99"/>
    <w:unhideWhenUsed/>
    <w:rsid w:val="009D2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65B"/>
  </w:style>
  <w:style w:type="paragraph" w:styleId="Footer">
    <w:name w:val="footer"/>
    <w:basedOn w:val="Normal"/>
    <w:link w:val="FooterChar"/>
    <w:uiPriority w:val="99"/>
    <w:unhideWhenUsed/>
    <w:rsid w:val="009D2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65B"/>
  </w:style>
  <w:style w:type="character" w:styleId="FollowedHyperlink">
    <w:name w:val="FollowedHyperlink"/>
    <w:basedOn w:val="DefaultParagraphFont"/>
    <w:uiPriority w:val="99"/>
    <w:semiHidden/>
    <w:unhideWhenUsed/>
    <w:rsid w:val="001021AD"/>
    <w:rPr>
      <w:color w:val="800080" w:themeColor="followedHyperlink"/>
      <w:u w:val="single"/>
    </w:rPr>
  </w:style>
  <w:style w:type="character" w:styleId="Emphasis">
    <w:name w:val="Emphasis"/>
    <w:basedOn w:val="DefaultParagraphFont"/>
    <w:uiPriority w:val="20"/>
    <w:qFormat/>
    <w:rsid w:val="00FF70A4"/>
    <w:rPr>
      <w:i/>
      <w:iCs/>
    </w:rPr>
  </w:style>
  <w:style w:type="paragraph" w:styleId="NormalWeb">
    <w:name w:val="Normal (Web)"/>
    <w:basedOn w:val="Normal"/>
    <w:uiPriority w:val="99"/>
    <w:semiHidden/>
    <w:unhideWhenUsed/>
    <w:rsid w:val="00FF7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FF70A4"/>
    <w:rPr>
      <w:vanish w:val="0"/>
      <w:webHidden w:val="0"/>
      <w:specVanish w:val="0"/>
    </w:rPr>
  </w:style>
  <w:style w:type="paragraph" w:styleId="ListParagraph">
    <w:name w:val="List Paragraph"/>
    <w:basedOn w:val="Normal"/>
    <w:uiPriority w:val="34"/>
    <w:qFormat/>
    <w:rsid w:val="009D52A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E4F2E"/>
    <w:rPr>
      <w:color w:val="0000FF"/>
      <w:u w:val="single"/>
    </w:rPr>
  </w:style>
  <w:style w:type="paragraph" w:styleId="FootnoteText">
    <w:name w:val="footnote text"/>
    <w:basedOn w:val="Normal"/>
    <w:link w:val="FootnoteTextChar"/>
    <w:semiHidden/>
    <w:rsid w:val="003D6501"/>
    <w:pPr>
      <w:spacing w:after="0" w:line="240" w:lineRule="auto"/>
    </w:pPr>
    <w:rPr>
      <w:rFonts w:ascii="Times New Roman" w:eastAsia="Times New Roman" w:hAnsi="Times New Roman" w:cs="Times New Roman"/>
      <w:sz w:val="20"/>
      <w:szCs w:val="20"/>
      <w:lang w:val="en-IE"/>
    </w:rPr>
  </w:style>
  <w:style w:type="character" w:customStyle="1" w:styleId="FootnoteTextChar">
    <w:name w:val="Footnote Text Char"/>
    <w:basedOn w:val="DefaultParagraphFont"/>
    <w:link w:val="FootnoteText"/>
    <w:semiHidden/>
    <w:rsid w:val="003D6501"/>
    <w:rPr>
      <w:rFonts w:ascii="Times New Roman" w:eastAsia="Times New Roman" w:hAnsi="Times New Roman" w:cs="Times New Roman"/>
      <w:sz w:val="20"/>
      <w:szCs w:val="20"/>
      <w:lang w:val="en-IE"/>
    </w:rPr>
  </w:style>
  <w:style w:type="character" w:styleId="FootnoteReference">
    <w:name w:val="footnote reference"/>
    <w:basedOn w:val="DefaultParagraphFont"/>
    <w:semiHidden/>
    <w:rsid w:val="003D6501"/>
    <w:rPr>
      <w:vertAlign w:val="superscript"/>
    </w:rPr>
  </w:style>
  <w:style w:type="paragraph" w:customStyle="1" w:styleId="Default">
    <w:name w:val="Default"/>
    <w:rsid w:val="003D6501"/>
    <w:pPr>
      <w:autoSpaceDE w:val="0"/>
      <w:autoSpaceDN w:val="0"/>
      <w:adjustRightInd w:val="0"/>
      <w:spacing w:after="0" w:line="240" w:lineRule="auto"/>
    </w:pPr>
    <w:rPr>
      <w:rFonts w:ascii="Calibri" w:eastAsia="Times New Roman" w:hAnsi="Calibri" w:cs="Times New Roman"/>
      <w:color w:val="000000"/>
      <w:sz w:val="24"/>
      <w:szCs w:val="24"/>
      <w:lang w:val="en-US"/>
    </w:rPr>
  </w:style>
  <w:style w:type="character" w:styleId="Strong">
    <w:name w:val="Strong"/>
    <w:basedOn w:val="DefaultParagraphFont"/>
    <w:qFormat/>
    <w:rsid w:val="003D6501"/>
    <w:rPr>
      <w:b/>
      <w:bCs/>
    </w:rPr>
  </w:style>
  <w:style w:type="character" w:styleId="EndnoteReference">
    <w:name w:val="endnote reference"/>
    <w:basedOn w:val="DefaultParagraphFont"/>
    <w:uiPriority w:val="99"/>
    <w:semiHidden/>
    <w:unhideWhenUsed/>
    <w:rsid w:val="008943E6"/>
    <w:rPr>
      <w:vertAlign w:val="superscript"/>
    </w:rPr>
  </w:style>
  <w:style w:type="paragraph" w:styleId="BalloonText">
    <w:name w:val="Balloon Text"/>
    <w:basedOn w:val="Normal"/>
    <w:link w:val="BalloonTextChar"/>
    <w:uiPriority w:val="99"/>
    <w:semiHidden/>
    <w:unhideWhenUsed/>
    <w:rsid w:val="00C47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560"/>
    <w:rPr>
      <w:rFonts w:ascii="Tahoma" w:hAnsi="Tahoma" w:cs="Tahoma"/>
      <w:sz w:val="16"/>
      <w:szCs w:val="16"/>
    </w:rPr>
  </w:style>
  <w:style w:type="paragraph" w:styleId="BodyText">
    <w:name w:val="Body Text"/>
    <w:basedOn w:val="Normal"/>
    <w:link w:val="BodyTextChar"/>
    <w:semiHidden/>
    <w:rsid w:val="0024243F"/>
    <w:pPr>
      <w:spacing w:after="0" w:line="240" w:lineRule="auto"/>
      <w:jc w:val="both"/>
    </w:pPr>
    <w:rPr>
      <w:rFonts w:ascii="Garamond" w:eastAsia="Batang" w:hAnsi="Garamond" w:cs="Arial"/>
      <w:sz w:val="24"/>
      <w:szCs w:val="24"/>
      <w:lang w:eastAsia="zh-CN" w:bidi="ur-PK"/>
    </w:rPr>
  </w:style>
  <w:style w:type="character" w:customStyle="1" w:styleId="BodyTextChar">
    <w:name w:val="Body Text Char"/>
    <w:basedOn w:val="DefaultParagraphFont"/>
    <w:link w:val="BodyText"/>
    <w:semiHidden/>
    <w:rsid w:val="0024243F"/>
    <w:rPr>
      <w:rFonts w:ascii="Garamond" w:eastAsia="Batang" w:hAnsi="Garamond" w:cs="Arial"/>
      <w:sz w:val="24"/>
      <w:szCs w:val="24"/>
      <w:lang w:eastAsia="zh-CN" w:bidi="ur-PK"/>
    </w:rPr>
  </w:style>
  <w:style w:type="paragraph" w:styleId="EndnoteText">
    <w:name w:val="endnote text"/>
    <w:basedOn w:val="Normal"/>
    <w:link w:val="EndnoteTextChar"/>
    <w:uiPriority w:val="99"/>
    <w:unhideWhenUsed/>
    <w:rsid w:val="008D7AD0"/>
    <w:pPr>
      <w:spacing w:after="0" w:line="240" w:lineRule="auto"/>
    </w:pPr>
    <w:rPr>
      <w:rFonts w:ascii="Times New Roman" w:eastAsia="Times New Roman" w:hAnsi="Times New Roman" w:cs="Times New Roman"/>
      <w:sz w:val="20"/>
      <w:szCs w:val="20"/>
      <w:lang w:val="en-IE"/>
    </w:rPr>
  </w:style>
  <w:style w:type="character" w:customStyle="1" w:styleId="EndnoteTextChar">
    <w:name w:val="Endnote Text Char"/>
    <w:basedOn w:val="DefaultParagraphFont"/>
    <w:link w:val="EndnoteText"/>
    <w:uiPriority w:val="99"/>
    <w:rsid w:val="008D7AD0"/>
    <w:rPr>
      <w:rFonts w:ascii="Times New Roman" w:eastAsia="Times New Roman" w:hAnsi="Times New Roman" w:cs="Times New Roman"/>
      <w:sz w:val="20"/>
      <w:szCs w:val="20"/>
      <w:lang w:val="en-IE"/>
    </w:rPr>
  </w:style>
  <w:style w:type="paragraph" w:styleId="Header">
    <w:name w:val="header"/>
    <w:basedOn w:val="Normal"/>
    <w:link w:val="HeaderChar"/>
    <w:uiPriority w:val="99"/>
    <w:unhideWhenUsed/>
    <w:rsid w:val="009D2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65B"/>
  </w:style>
  <w:style w:type="paragraph" w:styleId="Footer">
    <w:name w:val="footer"/>
    <w:basedOn w:val="Normal"/>
    <w:link w:val="FooterChar"/>
    <w:uiPriority w:val="99"/>
    <w:unhideWhenUsed/>
    <w:rsid w:val="009D2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65B"/>
  </w:style>
  <w:style w:type="character" w:styleId="FollowedHyperlink">
    <w:name w:val="FollowedHyperlink"/>
    <w:basedOn w:val="DefaultParagraphFont"/>
    <w:uiPriority w:val="99"/>
    <w:semiHidden/>
    <w:unhideWhenUsed/>
    <w:rsid w:val="001021AD"/>
    <w:rPr>
      <w:color w:val="800080" w:themeColor="followedHyperlink"/>
      <w:u w:val="single"/>
    </w:rPr>
  </w:style>
  <w:style w:type="character" w:styleId="Emphasis">
    <w:name w:val="Emphasis"/>
    <w:basedOn w:val="DefaultParagraphFont"/>
    <w:uiPriority w:val="20"/>
    <w:qFormat/>
    <w:rsid w:val="00FF70A4"/>
    <w:rPr>
      <w:i/>
      <w:iCs/>
    </w:rPr>
  </w:style>
  <w:style w:type="paragraph" w:styleId="NormalWeb">
    <w:name w:val="Normal (Web)"/>
    <w:basedOn w:val="Normal"/>
    <w:uiPriority w:val="99"/>
    <w:semiHidden/>
    <w:unhideWhenUsed/>
    <w:rsid w:val="00FF70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basedOn w:val="DefaultParagraphFont"/>
    <w:rsid w:val="00FF70A4"/>
    <w:rPr>
      <w:vanish w:val="0"/>
      <w:webHidden w:val="0"/>
      <w:specVanish w:val="0"/>
    </w:rPr>
  </w:style>
  <w:style w:type="paragraph" w:styleId="ListParagraph">
    <w:name w:val="List Paragraph"/>
    <w:basedOn w:val="Normal"/>
    <w:uiPriority w:val="34"/>
    <w:qFormat/>
    <w:rsid w:val="009D5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7021">
      <w:bodyDiv w:val="1"/>
      <w:marLeft w:val="0"/>
      <w:marRight w:val="0"/>
      <w:marTop w:val="0"/>
      <w:marBottom w:val="0"/>
      <w:divBdr>
        <w:top w:val="none" w:sz="0" w:space="0" w:color="auto"/>
        <w:left w:val="none" w:sz="0" w:space="0" w:color="auto"/>
        <w:bottom w:val="none" w:sz="0" w:space="0" w:color="auto"/>
        <w:right w:val="none" w:sz="0" w:space="0" w:color="auto"/>
      </w:divBdr>
      <w:divsChild>
        <w:div w:id="1441608278">
          <w:marLeft w:val="0"/>
          <w:marRight w:val="0"/>
          <w:marTop w:val="0"/>
          <w:marBottom w:val="0"/>
          <w:divBdr>
            <w:top w:val="none" w:sz="0" w:space="0" w:color="auto"/>
            <w:left w:val="none" w:sz="0" w:space="0" w:color="auto"/>
            <w:bottom w:val="none" w:sz="0" w:space="0" w:color="auto"/>
            <w:right w:val="none" w:sz="0" w:space="0" w:color="auto"/>
          </w:divBdr>
          <w:divsChild>
            <w:div w:id="1252399551">
              <w:marLeft w:val="0"/>
              <w:marRight w:val="0"/>
              <w:marTop w:val="0"/>
              <w:marBottom w:val="0"/>
              <w:divBdr>
                <w:top w:val="none" w:sz="0" w:space="0" w:color="auto"/>
                <w:left w:val="none" w:sz="0" w:space="0" w:color="auto"/>
                <w:bottom w:val="none" w:sz="0" w:space="0" w:color="auto"/>
                <w:right w:val="none" w:sz="0" w:space="0" w:color="auto"/>
              </w:divBdr>
              <w:divsChild>
                <w:div w:id="760100299">
                  <w:marLeft w:val="0"/>
                  <w:marRight w:val="0"/>
                  <w:marTop w:val="0"/>
                  <w:marBottom w:val="0"/>
                  <w:divBdr>
                    <w:top w:val="none" w:sz="0" w:space="0" w:color="auto"/>
                    <w:left w:val="none" w:sz="0" w:space="0" w:color="auto"/>
                    <w:bottom w:val="none" w:sz="0" w:space="0" w:color="auto"/>
                    <w:right w:val="none" w:sz="0" w:space="0" w:color="auto"/>
                  </w:divBdr>
                  <w:divsChild>
                    <w:div w:id="1363089074">
                      <w:marLeft w:val="0"/>
                      <w:marRight w:val="0"/>
                      <w:marTop w:val="0"/>
                      <w:marBottom w:val="0"/>
                      <w:divBdr>
                        <w:top w:val="none" w:sz="0" w:space="0" w:color="auto"/>
                        <w:left w:val="none" w:sz="0" w:space="0" w:color="auto"/>
                        <w:bottom w:val="none" w:sz="0" w:space="0" w:color="auto"/>
                        <w:right w:val="none" w:sz="0" w:space="0" w:color="auto"/>
                      </w:divBdr>
                      <w:divsChild>
                        <w:div w:id="15445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1.bin"/><Relationship Id="rId12" Type="http://schemas.openxmlformats.org/officeDocument/2006/relationships/image" Target="media/image3.emf"/><Relationship Id="rId13" Type="http://schemas.openxmlformats.org/officeDocument/2006/relationships/image" Target="media/image4.emf"/><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5F56D-8D6A-5B4E-905B-F875335B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8090</Words>
  <Characters>46117</Characters>
  <Application>Microsoft Macintosh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2013-11-13T10:39:00Z</dcterms:created>
  <dcterms:modified xsi:type="dcterms:W3CDTF">2013-11-13T10:41:00Z</dcterms:modified>
</cp:coreProperties>
</file>