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DF71D" w14:textId="30524302" w:rsidR="00000F92" w:rsidRPr="007F23AD" w:rsidRDefault="007241AD" w:rsidP="00C82F0E">
      <w:pPr>
        <w:spacing w:line="480" w:lineRule="auto"/>
        <w:jc w:val="center"/>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Supply Chain Risks for SMEs in Construction Projects: A Structured Literature</w:t>
      </w:r>
      <w:r w:rsidR="00A457B4" w:rsidRPr="007F23AD">
        <w:rPr>
          <w:rFonts w:ascii="Calibri" w:hAnsi="Calibri" w:cs="Calibri"/>
          <w:b/>
          <w:bCs/>
          <w:color w:val="000000" w:themeColor="text1"/>
          <w:sz w:val="22"/>
          <w:szCs w:val="22"/>
          <w:lang w:val="en-GB"/>
        </w:rPr>
        <w:t xml:space="preserve"> </w:t>
      </w:r>
      <w:r w:rsidRPr="007F23AD">
        <w:rPr>
          <w:rFonts w:ascii="Calibri" w:hAnsi="Calibri" w:cs="Calibri"/>
          <w:b/>
          <w:bCs/>
          <w:color w:val="000000" w:themeColor="text1"/>
          <w:sz w:val="22"/>
          <w:szCs w:val="22"/>
          <w:lang w:val="en-GB"/>
        </w:rPr>
        <w:t>Review and Research Agenda</w:t>
      </w:r>
    </w:p>
    <w:p w14:paraId="076225FA" w14:textId="77777777" w:rsidR="00C82F0E" w:rsidRPr="007F23AD" w:rsidRDefault="00C82F0E" w:rsidP="00C82F0E">
      <w:pPr>
        <w:spacing w:line="480" w:lineRule="auto"/>
        <w:jc w:val="center"/>
        <w:rPr>
          <w:rFonts w:ascii="Calibri" w:hAnsi="Calibri" w:cs="Calibri"/>
          <w:b/>
          <w:bCs/>
          <w:color w:val="000000" w:themeColor="text1"/>
          <w:sz w:val="22"/>
          <w:szCs w:val="22"/>
          <w:lang w:val="en-GB"/>
        </w:rPr>
      </w:pPr>
    </w:p>
    <w:p w14:paraId="28631A19" w14:textId="2A659C07" w:rsidR="00DF74A4" w:rsidRPr="007F23AD" w:rsidRDefault="004311A1" w:rsidP="00C3226C">
      <w:pPr>
        <w:spacing w:line="480" w:lineRule="auto"/>
        <w:rPr>
          <w:rFonts w:ascii="Calibri" w:hAnsi="Calibri" w:cs="Calibri"/>
          <w:b/>
          <w:bCs/>
          <w:color w:val="000000" w:themeColor="text1"/>
          <w:sz w:val="22"/>
          <w:szCs w:val="22"/>
          <w:lang w:val="en-GB" w:eastAsia="en-US"/>
        </w:rPr>
      </w:pPr>
      <w:r w:rsidRPr="007F23AD">
        <w:rPr>
          <w:rFonts w:ascii="Calibri" w:hAnsi="Calibri" w:cs="Calibri"/>
          <w:b/>
          <w:bCs/>
          <w:color w:val="000000" w:themeColor="text1"/>
          <w:sz w:val="22"/>
          <w:szCs w:val="22"/>
          <w:lang w:val="en-GB"/>
        </w:rPr>
        <w:t>A</w:t>
      </w:r>
      <w:r w:rsidR="00F26976" w:rsidRPr="007F23AD">
        <w:rPr>
          <w:rFonts w:ascii="Calibri" w:hAnsi="Calibri" w:cs="Calibri"/>
          <w:b/>
          <w:bCs/>
          <w:color w:val="000000" w:themeColor="text1"/>
          <w:sz w:val="22"/>
          <w:szCs w:val="22"/>
          <w:lang w:val="en-GB"/>
        </w:rPr>
        <w:t>bstract</w:t>
      </w:r>
      <w:r w:rsidR="00250B3D" w:rsidRPr="007F23AD">
        <w:rPr>
          <w:rFonts w:ascii="Calibri" w:hAnsi="Calibri" w:cs="Calibri"/>
          <w:b/>
          <w:bCs/>
          <w:color w:val="000000" w:themeColor="text1"/>
          <w:sz w:val="22"/>
          <w:szCs w:val="22"/>
          <w:lang w:val="en-GB"/>
        </w:rPr>
        <w:t>:</w:t>
      </w:r>
    </w:p>
    <w:p w14:paraId="377556A4" w14:textId="154E887E" w:rsidR="0002774B" w:rsidRPr="007F23AD" w:rsidRDefault="00496B52" w:rsidP="00C3226C">
      <w:pPr>
        <w:spacing w:line="480" w:lineRule="auto"/>
        <w:jc w:val="both"/>
        <w:rPr>
          <w:rFonts w:ascii="Calibri" w:hAnsi="Calibri" w:cs="Calibri"/>
          <w:color w:val="000000" w:themeColor="text1"/>
          <w:sz w:val="22"/>
          <w:szCs w:val="22"/>
          <w:lang w:val="en-GB"/>
        </w:rPr>
      </w:pPr>
      <w:r w:rsidRPr="007F23AD">
        <w:rPr>
          <w:rFonts w:ascii="Calibri" w:hAnsi="Calibri" w:cs="Calibri"/>
          <w:b/>
          <w:bCs/>
          <w:color w:val="000000" w:themeColor="text1"/>
          <w:sz w:val="22"/>
          <w:szCs w:val="22"/>
        </w:rPr>
        <w:t>P</w:t>
      </w:r>
      <w:r w:rsidRPr="007F23AD">
        <w:rPr>
          <w:rFonts w:ascii="Calibri" w:hAnsi="Calibri" w:cs="Calibri" w:hint="eastAsia"/>
          <w:b/>
          <w:bCs/>
          <w:color w:val="000000" w:themeColor="text1"/>
          <w:sz w:val="22"/>
          <w:szCs w:val="22"/>
        </w:rPr>
        <w:t>u</w:t>
      </w:r>
      <w:r w:rsidRPr="007F23AD">
        <w:rPr>
          <w:rFonts w:ascii="Calibri" w:hAnsi="Calibri" w:cs="Calibri"/>
          <w:b/>
          <w:bCs/>
          <w:color w:val="000000" w:themeColor="text1"/>
          <w:sz w:val="22"/>
          <w:szCs w:val="22"/>
        </w:rPr>
        <w:t>rpose:</w:t>
      </w:r>
      <w:r w:rsidRPr="007F23AD">
        <w:rPr>
          <w:rFonts w:ascii="Calibri" w:hAnsi="Calibri" w:cs="Calibri"/>
          <w:color w:val="000000" w:themeColor="text1"/>
          <w:sz w:val="22"/>
          <w:szCs w:val="22"/>
        </w:rPr>
        <w:t xml:space="preserve"> </w:t>
      </w:r>
      <w:r w:rsidR="00A43656" w:rsidRPr="007F23AD">
        <w:rPr>
          <w:rFonts w:ascii="Calibri" w:hAnsi="Calibri" w:cs="Calibri"/>
          <w:color w:val="000000" w:themeColor="text1"/>
          <w:sz w:val="22"/>
          <w:szCs w:val="22"/>
          <w:lang w:val="en-GB"/>
        </w:rPr>
        <w:t>Whilst</w:t>
      </w:r>
      <w:r w:rsidR="00DF74A4" w:rsidRPr="007F23AD">
        <w:rPr>
          <w:rFonts w:ascii="Calibri" w:hAnsi="Calibri" w:cs="Calibri"/>
          <w:color w:val="000000" w:themeColor="text1"/>
          <w:sz w:val="22"/>
          <w:szCs w:val="22"/>
          <w:lang w:val="en-GB"/>
        </w:rPr>
        <w:t xml:space="preserve"> there has been </w:t>
      </w:r>
      <w:r w:rsidR="006A0FF6" w:rsidRPr="007F23AD">
        <w:rPr>
          <w:rFonts w:ascii="Calibri" w:hAnsi="Calibri" w:cs="Calibri"/>
          <w:color w:val="000000" w:themeColor="text1"/>
          <w:sz w:val="22"/>
          <w:szCs w:val="22"/>
          <w:lang w:val="en-GB"/>
        </w:rPr>
        <w:t xml:space="preserve">much </w:t>
      </w:r>
      <w:r w:rsidR="00DF74A4" w:rsidRPr="007F23AD">
        <w:rPr>
          <w:rFonts w:ascii="Calibri" w:hAnsi="Calibri" w:cs="Calibri"/>
          <w:color w:val="000000" w:themeColor="text1"/>
          <w:sz w:val="22"/>
          <w:szCs w:val="22"/>
          <w:lang w:val="en-GB"/>
        </w:rPr>
        <w:t xml:space="preserve">research </w:t>
      </w:r>
      <w:r w:rsidR="00FF7B96" w:rsidRPr="007F23AD">
        <w:rPr>
          <w:rFonts w:ascii="Calibri" w:hAnsi="Calibri" w:cs="Calibri"/>
          <w:color w:val="000000" w:themeColor="text1"/>
          <w:sz w:val="22"/>
          <w:szCs w:val="22"/>
          <w:lang w:val="en-GB"/>
        </w:rPr>
        <w:t xml:space="preserve">examining risk management in construction supply chains, there is a relative dearth of knowledge concerning </w:t>
      </w:r>
      <w:r w:rsidR="009D7D3B" w:rsidRPr="007F23AD">
        <w:rPr>
          <w:rFonts w:ascii="Calibri" w:hAnsi="Calibri" w:cs="Calibri"/>
          <w:color w:val="000000" w:themeColor="text1"/>
          <w:sz w:val="22"/>
          <w:szCs w:val="22"/>
          <w:lang w:val="en-GB"/>
        </w:rPr>
        <w:t xml:space="preserve">Small and </w:t>
      </w:r>
      <w:r w:rsidR="005545B0" w:rsidRPr="007F23AD">
        <w:rPr>
          <w:rFonts w:ascii="Calibri" w:hAnsi="Calibri" w:cs="Calibri"/>
          <w:color w:val="000000" w:themeColor="text1"/>
          <w:sz w:val="22"/>
          <w:szCs w:val="22"/>
          <w:lang w:val="en-GB"/>
        </w:rPr>
        <w:t>Medium-</w:t>
      </w:r>
      <w:r w:rsidR="009D7D3B" w:rsidRPr="007F23AD">
        <w:rPr>
          <w:rFonts w:ascii="Calibri" w:hAnsi="Calibri" w:cs="Calibri"/>
          <w:color w:val="000000" w:themeColor="text1"/>
          <w:sz w:val="22"/>
          <w:szCs w:val="22"/>
          <w:lang w:val="en-GB"/>
        </w:rPr>
        <w:t xml:space="preserve">sized Enterprises (SMEs) in </w:t>
      </w:r>
      <w:r w:rsidR="005E5CA7" w:rsidRPr="007F23AD">
        <w:rPr>
          <w:rFonts w:ascii="Calibri" w:hAnsi="Calibri" w:cs="Calibri"/>
          <w:color w:val="000000" w:themeColor="text1"/>
          <w:sz w:val="22"/>
          <w:szCs w:val="22"/>
          <w:lang w:val="en-GB"/>
        </w:rPr>
        <w:t>this context</w:t>
      </w:r>
      <w:r w:rsidR="009D7D3B" w:rsidRPr="007F23AD">
        <w:rPr>
          <w:rFonts w:ascii="Calibri" w:hAnsi="Calibri" w:cs="Calibri"/>
          <w:color w:val="000000" w:themeColor="text1"/>
          <w:sz w:val="22"/>
          <w:szCs w:val="22"/>
          <w:lang w:val="en-GB"/>
        </w:rPr>
        <w:t xml:space="preserve">. </w:t>
      </w:r>
      <w:r w:rsidR="005C4822" w:rsidRPr="007F23AD">
        <w:rPr>
          <w:rFonts w:ascii="Calibri" w:hAnsi="Calibri" w:cs="Calibri"/>
          <w:color w:val="000000" w:themeColor="text1"/>
          <w:sz w:val="22"/>
          <w:szCs w:val="22"/>
          <w:lang w:val="en-GB"/>
        </w:rPr>
        <w:t xml:space="preserve">SMEs are considered vulnerable economic agents due to their </w:t>
      </w:r>
      <w:r w:rsidR="00FC35E6" w:rsidRPr="007F23AD">
        <w:rPr>
          <w:rFonts w:ascii="Calibri" w:hAnsi="Calibri" w:cs="Calibri"/>
          <w:color w:val="000000" w:themeColor="text1"/>
          <w:sz w:val="22"/>
          <w:szCs w:val="22"/>
          <w:lang w:val="en-GB"/>
        </w:rPr>
        <w:t>financial</w:t>
      </w:r>
      <w:r w:rsidR="005C4822" w:rsidRPr="007F23AD">
        <w:rPr>
          <w:rFonts w:ascii="Calibri" w:hAnsi="Calibri" w:cs="Calibri"/>
          <w:color w:val="000000" w:themeColor="text1"/>
          <w:sz w:val="22"/>
          <w:szCs w:val="22"/>
          <w:lang w:val="en-GB"/>
        </w:rPr>
        <w:t xml:space="preserve"> constraints and reduced viability compared to large firms.</w:t>
      </w:r>
      <w:r w:rsidR="005C4822" w:rsidRPr="007F23AD">
        <w:rPr>
          <w:rFonts w:ascii="Calibri" w:hAnsi="Calibri" w:cs="Calibri" w:hint="eastAsia"/>
          <w:color w:val="000000" w:themeColor="text1"/>
          <w:sz w:val="22"/>
          <w:szCs w:val="22"/>
          <w:lang w:val="en-GB"/>
        </w:rPr>
        <w:t xml:space="preserve"> </w:t>
      </w:r>
      <w:r w:rsidR="00182AB9" w:rsidRPr="007F23AD">
        <w:rPr>
          <w:rFonts w:ascii="Calibri" w:hAnsi="Calibri" w:cs="Calibri"/>
          <w:color w:val="000000" w:themeColor="text1"/>
          <w:sz w:val="22"/>
          <w:szCs w:val="22"/>
          <w:lang w:val="en-GB"/>
        </w:rPr>
        <w:t xml:space="preserve">This study aims to fill this gap by providing a comprehensive review, identifying key challenges in </w:t>
      </w:r>
      <w:r w:rsidR="000B50BA" w:rsidRPr="007F23AD">
        <w:rPr>
          <w:rFonts w:ascii="Calibri" w:hAnsi="Calibri" w:cs="Calibri"/>
          <w:color w:val="000000" w:themeColor="text1"/>
          <w:sz w:val="22"/>
          <w:szCs w:val="22"/>
          <w:lang w:val="en-GB"/>
        </w:rPr>
        <w:t xml:space="preserve">the </w:t>
      </w:r>
      <w:r w:rsidR="00182AB9" w:rsidRPr="007F23AD">
        <w:rPr>
          <w:rFonts w:ascii="Calibri" w:hAnsi="Calibri" w:cs="Calibri"/>
          <w:color w:val="000000" w:themeColor="text1"/>
          <w:sz w:val="22"/>
          <w:szCs w:val="22"/>
          <w:lang w:val="en-GB"/>
        </w:rPr>
        <w:t>research, and generating a future research agenda.</w:t>
      </w:r>
      <w:r w:rsidR="00473127" w:rsidRPr="007F23AD">
        <w:rPr>
          <w:rFonts w:ascii="Calibri" w:hAnsi="Calibri" w:cs="Calibri"/>
          <w:color w:val="000000" w:themeColor="text1"/>
          <w:sz w:val="22"/>
          <w:szCs w:val="22"/>
          <w:lang w:val="en-GB"/>
        </w:rPr>
        <w:t xml:space="preserve"> </w:t>
      </w:r>
    </w:p>
    <w:p w14:paraId="777CFF4E" w14:textId="016BA611" w:rsidR="00D2228A" w:rsidRPr="007F23AD" w:rsidRDefault="00B961C4" w:rsidP="00C3226C">
      <w:pPr>
        <w:spacing w:line="480" w:lineRule="auto"/>
        <w:jc w:val="both"/>
        <w:rPr>
          <w:rFonts w:ascii="Calibri" w:hAnsi="Calibri" w:cs="Calibri"/>
          <w:color w:val="000000" w:themeColor="text1"/>
          <w:sz w:val="22"/>
          <w:szCs w:val="22"/>
          <w:lang w:val="en-GB"/>
        </w:rPr>
      </w:pPr>
      <w:r w:rsidRPr="007F23AD">
        <w:rPr>
          <w:rFonts w:ascii="Calibri" w:hAnsi="Calibri" w:cs="Calibri"/>
          <w:b/>
          <w:bCs/>
          <w:color w:val="000000" w:themeColor="text1"/>
          <w:sz w:val="22"/>
          <w:szCs w:val="22"/>
          <w:lang w:val="en-GB"/>
        </w:rPr>
        <w:t xml:space="preserve">Design/methodology/approach: </w:t>
      </w:r>
      <w:r w:rsidR="002C794B" w:rsidRPr="007F23AD">
        <w:rPr>
          <w:rFonts w:ascii="Calibri" w:hAnsi="Calibri" w:cs="Calibri"/>
          <w:color w:val="000000" w:themeColor="text1"/>
          <w:sz w:val="22"/>
          <w:szCs w:val="22"/>
          <w:lang w:val="en-GB"/>
        </w:rPr>
        <w:t>A structured literature review was conducted</w:t>
      </w:r>
      <w:r w:rsidR="00D21517" w:rsidRPr="007F23AD">
        <w:rPr>
          <w:rFonts w:ascii="Calibri" w:hAnsi="Calibri" w:cs="Calibri"/>
          <w:color w:val="000000" w:themeColor="text1"/>
          <w:sz w:val="22"/>
          <w:szCs w:val="22"/>
          <w:lang w:val="en-GB"/>
        </w:rPr>
        <w:t xml:space="preserve"> </w:t>
      </w:r>
      <w:r w:rsidR="00D21517" w:rsidRPr="007F23AD">
        <w:rPr>
          <w:rFonts w:ascii="Calibri" w:hAnsi="Calibri" w:cs="Calibri" w:hint="eastAsia"/>
          <w:color w:val="000000" w:themeColor="text1"/>
          <w:sz w:val="22"/>
          <w:szCs w:val="22"/>
          <w:lang w:val="en-GB"/>
        </w:rPr>
        <w:t>in</w:t>
      </w:r>
      <w:r w:rsidR="00D21517" w:rsidRPr="007F23AD">
        <w:rPr>
          <w:rFonts w:ascii="Calibri" w:hAnsi="Calibri" w:cs="Calibri"/>
          <w:color w:val="000000" w:themeColor="text1"/>
          <w:sz w:val="22"/>
          <w:szCs w:val="22"/>
          <w:lang w:val="en-GB"/>
        </w:rPr>
        <w:t xml:space="preserve"> </w:t>
      </w:r>
      <w:r w:rsidR="00D21517" w:rsidRPr="007F23AD">
        <w:rPr>
          <w:rFonts w:ascii="Calibri" w:hAnsi="Calibri" w:cs="Calibri"/>
          <w:color w:val="000000" w:themeColor="text1"/>
          <w:sz w:val="22"/>
          <w:szCs w:val="22"/>
        </w:rPr>
        <w:t>this study</w:t>
      </w:r>
      <w:r w:rsidR="002C794B" w:rsidRPr="007F23AD">
        <w:rPr>
          <w:rFonts w:ascii="Calibri" w:hAnsi="Calibri" w:cs="Calibri"/>
          <w:color w:val="000000" w:themeColor="text1"/>
          <w:sz w:val="22"/>
          <w:szCs w:val="22"/>
          <w:lang w:val="en-GB"/>
        </w:rPr>
        <w:t xml:space="preserve">, resulting in the identification of </w:t>
      </w:r>
      <w:r w:rsidR="0073790D" w:rsidRPr="007F23AD">
        <w:rPr>
          <w:rFonts w:ascii="Calibri" w:hAnsi="Calibri" w:cs="Calibri"/>
          <w:color w:val="000000" w:themeColor="text1"/>
          <w:sz w:val="22"/>
          <w:szCs w:val="22"/>
          <w:lang w:val="en-GB"/>
        </w:rPr>
        <w:t>1</w:t>
      </w:r>
      <w:r w:rsidR="00CC60DE" w:rsidRPr="007F23AD">
        <w:rPr>
          <w:rFonts w:ascii="Calibri" w:hAnsi="Calibri" w:cs="Calibri"/>
          <w:color w:val="000000" w:themeColor="text1"/>
          <w:sz w:val="22"/>
          <w:szCs w:val="22"/>
          <w:lang w:val="en-GB"/>
        </w:rPr>
        <w:t>06</w:t>
      </w:r>
      <w:r w:rsidR="002C794B" w:rsidRPr="007F23AD">
        <w:rPr>
          <w:rFonts w:ascii="Calibri" w:hAnsi="Calibri" w:cs="Calibri"/>
          <w:color w:val="000000" w:themeColor="text1"/>
          <w:sz w:val="22"/>
          <w:szCs w:val="22"/>
          <w:lang w:val="en-GB"/>
        </w:rPr>
        <w:t xml:space="preserve"> </w:t>
      </w:r>
      <w:r w:rsidR="00D21517" w:rsidRPr="007F23AD">
        <w:rPr>
          <w:rFonts w:ascii="Calibri" w:hAnsi="Calibri" w:cs="Calibri"/>
          <w:color w:val="000000" w:themeColor="text1"/>
          <w:sz w:val="22"/>
          <w:szCs w:val="22"/>
          <w:lang w:val="en-GB"/>
        </w:rPr>
        <w:t>articles</w:t>
      </w:r>
      <w:r w:rsidR="002C794B" w:rsidRPr="007F23AD">
        <w:rPr>
          <w:rFonts w:ascii="Calibri" w:hAnsi="Calibri" w:cs="Calibri"/>
          <w:color w:val="000000" w:themeColor="text1"/>
          <w:sz w:val="22"/>
          <w:szCs w:val="22"/>
          <w:lang w:val="en-GB"/>
        </w:rPr>
        <w:t xml:space="preserve"> </w:t>
      </w:r>
      <w:r w:rsidR="00DD51F2" w:rsidRPr="007F23AD">
        <w:rPr>
          <w:rFonts w:ascii="Calibri" w:hAnsi="Calibri" w:cs="Calibri"/>
          <w:color w:val="000000" w:themeColor="text1"/>
          <w:sz w:val="22"/>
          <w:szCs w:val="22"/>
          <w:lang w:val="en-GB"/>
        </w:rPr>
        <w:t xml:space="preserve">that relate </w:t>
      </w:r>
      <w:r w:rsidR="00E06CA8" w:rsidRPr="007F23AD">
        <w:rPr>
          <w:rFonts w:ascii="Calibri" w:hAnsi="Calibri" w:cs="Calibri"/>
          <w:color w:val="000000" w:themeColor="text1"/>
          <w:sz w:val="22"/>
          <w:szCs w:val="22"/>
          <w:lang w:val="en-GB"/>
        </w:rPr>
        <w:t>to</w:t>
      </w:r>
      <w:r w:rsidR="002C794B" w:rsidRPr="007F23AD">
        <w:rPr>
          <w:rFonts w:ascii="Calibri" w:hAnsi="Calibri" w:cs="Calibri"/>
          <w:color w:val="000000" w:themeColor="text1"/>
          <w:sz w:val="22"/>
          <w:szCs w:val="22"/>
          <w:lang w:val="en-GB"/>
        </w:rPr>
        <w:t xml:space="preserve"> </w:t>
      </w:r>
      <w:r w:rsidR="004A3B13" w:rsidRPr="007F23AD">
        <w:rPr>
          <w:rFonts w:ascii="Calibri" w:hAnsi="Calibri" w:cs="Calibri"/>
          <w:color w:val="000000" w:themeColor="text1"/>
          <w:sz w:val="22"/>
          <w:szCs w:val="22"/>
          <w:lang w:val="en-GB"/>
        </w:rPr>
        <w:t xml:space="preserve">construction </w:t>
      </w:r>
      <w:r w:rsidR="002C794B" w:rsidRPr="007F23AD">
        <w:rPr>
          <w:rFonts w:ascii="Calibri" w:hAnsi="Calibri" w:cs="Calibri"/>
          <w:color w:val="000000" w:themeColor="text1"/>
          <w:sz w:val="22"/>
          <w:szCs w:val="22"/>
          <w:lang w:val="en-GB"/>
        </w:rPr>
        <w:t>SME risks. Thematic analysis was then employed to determine the supply chain risk themes.</w:t>
      </w:r>
      <w:r w:rsidR="00D7220C" w:rsidRPr="007F23AD">
        <w:rPr>
          <w:rFonts w:ascii="Calibri" w:hAnsi="Calibri" w:cs="Calibri"/>
          <w:color w:val="000000" w:themeColor="text1"/>
          <w:sz w:val="22"/>
          <w:szCs w:val="22"/>
          <w:lang w:val="en-GB"/>
        </w:rPr>
        <w:t xml:space="preserve"> </w:t>
      </w:r>
      <w:r w:rsidR="00AE3BF1" w:rsidRPr="007F23AD">
        <w:rPr>
          <w:rFonts w:ascii="Calibri" w:hAnsi="Calibri" w:cs="Calibri"/>
          <w:color w:val="000000" w:themeColor="text1"/>
          <w:sz w:val="22"/>
          <w:szCs w:val="22"/>
          <w:lang w:val="en-GB"/>
        </w:rPr>
        <w:t>A</w:t>
      </w:r>
      <w:r w:rsidR="003B2CFD" w:rsidRPr="007F23AD">
        <w:rPr>
          <w:rFonts w:ascii="Calibri" w:hAnsi="Calibri" w:cs="Calibri"/>
          <w:color w:val="000000" w:themeColor="text1"/>
          <w:sz w:val="22"/>
          <w:szCs w:val="22"/>
          <w:lang w:val="en-GB"/>
        </w:rPr>
        <w:t>dditionally</w:t>
      </w:r>
      <w:r w:rsidR="00AE3BF1" w:rsidRPr="007F23AD">
        <w:rPr>
          <w:rFonts w:ascii="Calibri" w:hAnsi="Calibri" w:cs="Calibri"/>
          <w:color w:val="000000" w:themeColor="text1"/>
          <w:sz w:val="22"/>
          <w:szCs w:val="22"/>
          <w:lang w:val="en-GB"/>
        </w:rPr>
        <w:t xml:space="preserve">, </w:t>
      </w:r>
      <w:proofErr w:type="spellStart"/>
      <w:r w:rsidR="00705B69" w:rsidRPr="007F23AD">
        <w:rPr>
          <w:rFonts w:ascii="Calibri" w:eastAsia="DengXian" w:hAnsi="Calibri" w:cs="Calibri"/>
          <w:color w:val="000000" w:themeColor="text1"/>
          <w:sz w:val="22"/>
          <w:szCs w:val="22"/>
          <w:lang w:val="en-GB"/>
        </w:rPr>
        <w:t>VOSviewer</w:t>
      </w:r>
      <w:proofErr w:type="spellEnd"/>
      <w:r w:rsidR="00D7220C" w:rsidRPr="007F23AD">
        <w:rPr>
          <w:rFonts w:ascii="Calibri" w:hAnsi="Calibri" w:cs="Calibri"/>
          <w:color w:val="000000" w:themeColor="text1"/>
          <w:sz w:val="22"/>
          <w:szCs w:val="22"/>
          <w:lang w:val="en-GB"/>
        </w:rPr>
        <w:t xml:space="preserve"> </w:t>
      </w:r>
      <w:r w:rsidR="00AE3BF1" w:rsidRPr="007F23AD">
        <w:rPr>
          <w:rFonts w:ascii="Calibri" w:hAnsi="Calibri" w:cs="Calibri"/>
          <w:color w:val="000000" w:themeColor="text1"/>
          <w:sz w:val="22"/>
          <w:szCs w:val="22"/>
          <w:lang w:val="en-GB"/>
        </w:rPr>
        <w:t>was</w:t>
      </w:r>
      <w:r w:rsidR="00D7220C" w:rsidRPr="007F23AD">
        <w:rPr>
          <w:rFonts w:ascii="Calibri" w:hAnsi="Calibri" w:cs="Calibri"/>
          <w:color w:val="000000" w:themeColor="text1"/>
          <w:sz w:val="22"/>
          <w:szCs w:val="22"/>
          <w:lang w:val="en-GB"/>
        </w:rPr>
        <w:t xml:space="preserve"> employed to depict </w:t>
      </w:r>
      <w:r w:rsidR="00705B69" w:rsidRPr="007F23AD">
        <w:rPr>
          <w:rFonts w:ascii="Calibri" w:hAnsi="Calibri" w:cs="Calibri"/>
          <w:color w:val="000000" w:themeColor="text1"/>
          <w:sz w:val="22"/>
          <w:szCs w:val="22"/>
          <w:lang w:val="en-GB"/>
        </w:rPr>
        <w:t xml:space="preserve">content frequency and </w:t>
      </w:r>
      <w:r w:rsidR="00782762" w:rsidRPr="007F23AD">
        <w:rPr>
          <w:rFonts w:ascii="Calibri" w:hAnsi="Calibri" w:cs="Calibri"/>
          <w:color w:val="000000" w:themeColor="text1"/>
          <w:sz w:val="22"/>
          <w:szCs w:val="22"/>
          <w:lang w:val="en-GB"/>
        </w:rPr>
        <w:t>most recently trends based on the timeline.</w:t>
      </w:r>
    </w:p>
    <w:p w14:paraId="50C446A8" w14:textId="6F970E6E" w:rsidR="005B5E81" w:rsidRPr="007F23AD" w:rsidRDefault="00D2228A" w:rsidP="00C3226C">
      <w:pPr>
        <w:spacing w:line="480" w:lineRule="auto"/>
        <w:jc w:val="both"/>
        <w:rPr>
          <w:rFonts w:ascii="Calibri" w:hAnsi="Calibri" w:cs="Calibri"/>
          <w:color w:val="000000" w:themeColor="text1"/>
          <w:sz w:val="22"/>
          <w:szCs w:val="22"/>
          <w:lang w:val="en-GB"/>
        </w:rPr>
      </w:pPr>
      <w:r w:rsidRPr="007F23AD">
        <w:rPr>
          <w:rFonts w:ascii="Calibri" w:hAnsi="Calibri" w:cs="Calibri"/>
          <w:b/>
          <w:bCs/>
          <w:color w:val="000000" w:themeColor="text1"/>
          <w:sz w:val="22"/>
          <w:szCs w:val="22"/>
          <w:lang w:val="en-GB"/>
        </w:rPr>
        <w:t>Findings:</w:t>
      </w:r>
      <w:r w:rsidR="00045F1C" w:rsidRPr="007F23AD">
        <w:rPr>
          <w:rFonts w:ascii="Calibri" w:hAnsi="Calibri" w:cs="Calibri"/>
          <w:color w:val="000000" w:themeColor="text1"/>
          <w:sz w:val="22"/>
          <w:szCs w:val="22"/>
          <w:lang w:val="en-GB"/>
        </w:rPr>
        <w:t xml:space="preserve"> </w:t>
      </w:r>
      <w:r w:rsidR="00782762" w:rsidRPr="007F23AD">
        <w:rPr>
          <w:rFonts w:ascii="Calibri" w:hAnsi="Calibri" w:cs="Calibri"/>
          <w:color w:val="000000" w:themeColor="text1"/>
          <w:sz w:val="22"/>
          <w:szCs w:val="22"/>
          <w:lang w:val="en-GB"/>
        </w:rPr>
        <w:t>T</w:t>
      </w:r>
      <w:r w:rsidR="00045F1C" w:rsidRPr="007F23AD">
        <w:rPr>
          <w:rFonts w:ascii="Calibri" w:hAnsi="Calibri" w:cs="Calibri"/>
          <w:color w:val="000000" w:themeColor="text1"/>
          <w:sz w:val="22"/>
          <w:szCs w:val="22"/>
          <w:lang w:val="en-GB"/>
        </w:rPr>
        <w:t xml:space="preserve">his paper uncovers </w:t>
      </w:r>
      <w:r w:rsidR="00B60A55" w:rsidRPr="007F23AD">
        <w:rPr>
          <w:rFonts w:ascii="Calibri" w:hAnsi="Calibri" w:cs="Calibri"/>
          <w:color w:val="000000" w:themeColor="text1"/>
          <w:sz w:val="22"/>
          <w:szCs w:val="22"/>
          <w:lang w:val="en-GB"/>
        </w:rPr>
        <w:t>eight</w:t>
      </w:r>
      <w:r w:rsidR="00045F1C" w:rsidRPr="007F23AD">
        <w:rPr>
          <w:rFonts w:ascii="Calibri" w:hAnsi="Calibri" w:cs="Calibri"/>
          <w:color w:val="000000" w:themeColor="text1"/>
          <w:sz w:val="22"/>
          <w:szCs w:val="22"/>
          <w:lang w:val="en-GB"/>
        </w:rPr>
        <w:t xml:space="preserve"> distinct supply chain risk</w:t>
      </w:r>
      <w:r w:rsidR="00D02601" w:rsidRPr="007F23AD">
        <w:rPr>
          <w:rFonts w:ascii="Calibri" w:hAnsi="Calibri" w:cs="Calibri"/>
          <w:color w:val="000000" w:themeColor="text1"/>
          <w:sz w:val="22"/>
          <w:szCs w:val="22"/>
          <w:lang w:val="en-GB"/>
        </w:rPr>
        <w:t xml:space="preserve"> </w:t>
      </w:r>
      <w:r w:rsidR="00045F1C" w:rsidRPr="007F23AD">
        <w:rPr>
          <w:rFonts w:ascii="Calibri" w:hAnsi="Calibri" w:cs="Calibri"/>
          <w:color w:val="000000" w:themeColor="text1"/>
          <w:sz w:val="22"/>
          <w:szCs w:val="22"/>
          <w:lang w:val="en-GB"/>
        </w:rPr>
        <w:t xml:space="preserve">pertinent to construction SMEs, arranging these into </w:t>
      </w:r>
      <w:r w:rsidR="001822A2" w:rsidRPr="007F23AD">
        <w:rPr>
          <w:rFonts w:ascii="Calibri" w:hAnsi="Calibri" w:cs="Calibri"/>
          <w:color w:val="000000" w:themeColor="text1"/>
          <w:sz w:val="22"/>
          <w:szCs w:val="22"/>
          <w:lang w:val="en-GB"/>
        </w:rPr>
        <w:t>three</w:t>
      </w:r>
      <w:r w:rsidR="00045F1C" w:rsidRPr="007F23AD">
        <w:rPr>
          <w:rFonts w:ascii="Calibri" w:hAnsi="Calibri" w:cs="Calibri"/>
          <w:color w:val="000000" w:themeColor="text1"/>
          <w:sz w:val="22"/>
          <w:szCs w:val="22"/>
          <w:lang w:val="en-GB"/>
        </w:rPr>
        <w:t xml:space="preserve"> </w:t>
      </w:r>
      <w:r w:rsidR="007B6F97" w:rsidRPr="007F23AD">
        <w:rPr>
          <w:rFonts w:ascii="Calibri" w:hAnsi="Calibri" w:cs="Calibri"/>
          <w:color w:val="000000" w:themeColor="text1"/>
          <w:sz w:val="22"/>
          <w:szCs w:val="22"/>
          <w:lang w:val="en-GB"/>
        </w:rPr>
        <w:t>themes</w:t>
      </w:r>
      <w:r w:rsidR="00045F1C" w:rsidRPr="007F23AD">
        <w:rPr>
          <w:rFonts w:ascii="Calibri" w:hAnsi="Calibri" w:cs="Calibri"/>
          <w:color w:val="000000" w:themeColor="text1"/>
          <w:sz w:val="22"/>
          <w:szCs w:val="22"/>
          <w:lang w:val="en-GB"/>
        </w:rPr>
        <w:t xml:space="preserve"> from the standpoint of supply chain risk management. Moreover, </w:t>
      </w:r>
      <w:r w:rsidR="00763FB0" w:rsidRPr="007F23AD">
        <w:rPr>
          <w:rFonts w:ascii="Calibri" w:hAnsi="Calibri" w:cs="Calibri"/>
          <w:color w:val="000000" w:themeColor="text1"/>
          <w:sz w:val="22"/>
          <w:szCs w:val="22"/>
          <w:lang w:val="en-GB"/>
        </w:rPr>
        <w:t>it</w:t>
      </w:r>
      <w:r w:rsidR="00045F1C" w:rsidRPr="007F23AD">
        <w:rPr>
          <w:rFonts w:ascii="Calibri" w:hAnsi="Calibri" w:cs="Calibri"/>
          <w:color w:val="000000" w:themeColor="text1"/>
          <w:sz w:val="22"/>
          <w:szCs w:val="22"/>
          <w:lang w:val="en-GB"/>
        </w:rPr>
        <w:t xml:space="preserve"> identifies </w:t>
      </w:r>
      <w:r w:rsidR="007A3FC6" w:rsidRPr="007F23AD">
        <w:rPr>
          <w:rFonts w:ascii="Calibri" w:hAnsi="Calibri" w:cs="Calibri"/>
          <w:color w:val="000000" w:themeColor="text1"/>
          <w:sz w:val="22"/>
          <w:szCs w:val="22"/>
          <w:lang w:val="en-GB"/>
        </w:rPr>
        <w:t>six</w:t>
      </w:r>
      <w:r w:rsidR="00045F1C" w:rsidRPr="007F23AD">
        <w:rPr>
          <w:rFonts w:ascii="Calibri" w:hAnsi="Calibri" w:cs="Calibri"/>
          <w:color w:val="000000" w:themeColor="text1"/>
          <w:sz w:val="22"/>
          <w:szCs w:val="22"/>
          <w:lang w:val="en-GB"/>
        </w:rPr>
        <w:t xml:space="preserve"> gaps in the existing body of research on construction SMEs and puts forth prospective research directions and </w:t>
      </w:r>
      <w:r w:rsidR="00CE5042" w:rsidRPr="007F23AD">
        <w:rPr>
          <w:rFonts w:ascii="Calibri" w:hAnsi="Calibri" w:cs="Calibri"/>
          <w:color w:val="000000" w:themeColor="text1"/>
          <w:sz w:val="22"/>
          <w:szCs w:val="22"/>
          <w:lang w:val="en-GB"/>
        </w:rPr>
        <w:t>questions</w:t>
      </w:r>
      <w:r w:rsidR="00045F1C" w:rsidRPr="007F23AD">
        <w:rPr>
          <w:rFonts w:ascii="Calibri" w:hAnsi="Calibri" w:cs="Calibri"/>
          <w:color w:val="000000" w:themeColor="text1"/>
          <w:sz w:val="22"/>
          <w:szCs w:val="22"/>
          <w:lang w:val="en-GB"/>
        </w:rPr>
        <w:t xml:space="preserve"> to address each of these identified gaps. </w:t>
      </w:r>
    </w:p>
    <w:p w14:paraId="57EA6F56" w14:textId="0F0D09A9" w:rsidR="001D3811" w:rsidRPr="007F23AD" w:rsidRDefault="00783E4F" w:rsidP="00C3226C">
      <w:pPr>
        <w:spacing w:line="480" w:lineRule="auto"/>
        <w:jc w:val="both"/>
        <w:rPr>
          <w:rFonts w:ascii="Calibri" w:hAnsi="Calibri" w:cs="Calibri"/>
          <w:color w:val="000000" w:themeColor="text1"/>
          <w:sz w:val="22"/>
          <w:szCs w:val="22"/>
          <w:lang w:val="en-GB"/>
        </w:rPr>
      </w:pPr>
      <w:r w:rsidRPr="007F23AD">
        <w:rPr>
          <w:rFonts w:ascii="Calibri" w:hAnsi="Calibri" w:cs="Calibri"/>
          <w:b/>
          <w:bCs/>
          <w:color w:val="000000" w:themeColor="text1"/>
          <w:sz w:val="22"/>
          <w:szCs w:val="22"/>
          <w:lang w:val="en-GB"/>
        </w:rPr>
        <w:t>Originality/value:</w:t>
      </w:r>
      <w:r w:rsidR="002C794B" w:rsidRPr="007F23AD">
        <w:rPr>
          <w:rFonts w:ascii="Calibri" w:hAnsi="Calibri" w:cs="Calibri"/>
          <w:color w:val="000000" w:themeColor="text1"/>
          <w:sz w:val="22"/>
          <w:szCs w:val="22"/>
          <w:lang w:val="en-GB"/>
        </w:rPr>
        <w:t xml:space="preserve"> </w:t>
      </w:r>
      <w:r w:rsidR="001D3811" w:rsidRPr="007F23AD">
        <w:rPr>
          <w:rFonts w:ascii="Calibri" w:hAnsi="Calibri" w:cs="Calibri"/>
          <w:color w:val="000000" w:themeColor="text1"/>
          <w:sz w:val="22"/>
          <w:szCs w:val="22"/>
          <w:lang w:val="en-GB"/>
        </w:rPr>
        <w:t>The practical significance of this study is to provide SMEs in the construction industry with a comprehensive framework for identifying and categorising risks related to management and strategy, operations and processes, and sustainability. With this framework, SMEs can systematically assess potential risks at all stages of a project</w:t>
      </w:r>
      <w:r w:rsidR="00C20E60" w:rsidRPr="007F23AD">
        <w:rPr>
          <w:rFonts w:ascii="Calibri" w:hAnsi="Calibri" w:cs="Calibri"/>
          <w:color w:val="000000" w:themeColor="text1"/>
          <w:sz w:val="22"/>
          <w:szCs w:val="22"/>
        </w:rPr>
        <w:t>.</w:t>
      </w:r>
      <w:r w:rsidR="001D3811" w:rsidRPr="007F23AD">
        <w:rPr>
          <w:rFonts w:ascii="Calibri" w:hAnsi="Calibri" w:cs="Calibri"/>
          <w:color w:val="000000" w:themeColor="text1"/>
          <w:sz w:val="22"/>
          <w:szCs w:val="22"/>
          <w:lang w:val="en-GB"/>
        </w:rPr>
        <w:t xml:space="preserve"> </w:t>
      </w:r>
    </w:p>
    <w:p w14:paraId="5A4756A3" w14:textId="7DD39E4D" w:rsidR="002A5C92" w:rsidRPr="007F23AD" w:rsidRDefault="004311A1" w:rsidP="00C3226C">
      <w:p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 xml:space="preserve">Keywords: </w:t>
      </w:r>
      <w:r w:rsidRPr="007F23AD">
        <w:rPr>
          <w:rFonts w:ascii="Calibri" w:hAnsi="Calibri" w:cs="Calibri"/>
          <w:color w:val="000000" w:themeColor="text1"/>
          <w:sz w:val="22"/>
          <w:szCs w:val="22"/>
          <w:lang w:val="en-GB"/>
        </w:rPr>
        <w:t>Supply chain risk; Construction; SMEs; Supply chain risk management</w:t>
      </w:r>
      <w:r w:rsidR="00645270" w:rsidRPr="007F23AD">
        <w:rPr>
          <w:rFonts w:ascii="Calibri" w:hAnsi="Calibri" w:cs="Calibri"/>
          <w:color w:val="000000" w:themeColor="text1"/>
          <w:sz w:val="22"/>
          <w:szCs w:val="22"/>
          <w:lang w:val="en-GB"/>
        </w:rPr>
        <w:t>; Thematic analysis</w:t>
      </w:r>
    </w:p>
    <w:p w14:paraId="2CF50563" w14:textId="77777777" w:rsidR="002C794B" w:rsidRPr="007F23AD" w:rsidRDefault="002C794B" w:rsidP="00C3226C">
      <w:pPr>
        <w:spacing w:line="480" w:lineRule="auto"/>
        <w:jc w:val="both"/>
        <w:rPr>
          <w:rFonts w:ascii="Calibri" w:hAnsi="Calibri" w:cs="Calibri"/>
          <w:color w:val="000000" w:themeColor="text1"/>
          <w:sz w:val="22"/>
          <w:szCs w:val="22"/>
          <w:lang w:val="en-GB"/>
        </w:rPr>
      </w:pPr>
    </w:p>
    <w:p w14:paraId="5D6A90FE" w14:textId="6A813DD3" w:rsidR="00AD6520" w:rsidRPr="007F23AD" w:rsidRDefault="004311A1" w:rsidP="00C3226C">
      <w:pPr>
        <w:pStyle w:val="a3"/>
        <w:numPr>
          <w:ilvl w:val="0"/>
          <w:numId w:val="2"/>
        </w:num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lastRenderedPageBreak/>
        <w:t xml:space="preserve">Introduction </w:t>
      </w:r>
    </w:p>
    <w:p w14:paraId="5291F0BC" w14:textId="122B4AC7" w:rsidR="00F06F93" w:rsidRPr="007F23AD" w:rsidRDefault="00B44023" w:rsidP="00C3226C">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While the construction sector makes a significant contribution to economic wellbeing, it faces many challenges such as labour shortages, fluctuating material costs, and environmental issues</w:t>
      </w:r>
      <w:r w:rsidR="00D42FF8" w:rsidRPr="007F23AD">
        <w:rPr>
          <w:rFonts w:ascii="Calibri" w:hAnsi="Calibri" w:cs="Calibri"/>
          <w:color w:val="000000" w:themeColor="text1"/>
          <w:sz w:val="22"/>
          <w:szCs w:val="22"/>
          <w:lang w:val="en-GB"/>
        </w:rPr>
        <w:t xml:space="preserve"> </w:t>
      </w:r>
      <w:r w:rsidR="00D42FF8" w:rsidRPr="007F23AD">
        <w:rPr>
          <w:rFonts w:ascii="Calibri" w:hAnsi="Calibri" w:cs="Calibri"/>
          <w:color w:val="000000" w:themeColor="text1"/>
          <w:sz w:val="22"/>
          <w:szCs w:val="22"/>
          <w:lang w:val="en-GB"/>
        </w:rPr>
        <w:fldChar w:fldCharType="begin"/>
      </w:r>
      <w:r w:rsidR="00D42FF8" w:rsidRPr="007F23AD">
        <w:rPr>
          <w:rFonts w:ascii="Calibri" w:hAnsi="Calibri" w:cs="Calibri"/>
          <w:color w:val="000000" w:themeColor="text1"/>
          <w:sz w:val="22"/>
          <w:szCs w:val="22"/>
          <w:lang w:val="en-GB"/>
        </w:rPr>
        <w:instrText xml:space="preserve"> ADDIN EN.CITE &lt;EndNote&gt;&lt;Cite&gt;&lt;Author&gt;Harris&lt;/Author&gt;&lt;Year&gt;2021&lt;/Year&gt;&lt;RecNum&gt;1729&lt;/RecNum&gt;&lt;DisplayText&gt;(Harris et al. 2021)&lt;/DisplayText&gt;&lt;record&gt;&lt;rec-number&gt;1729&lt;/rec-number&gt;&lt;foreign-keys&gt;&lt;key app="EN" db-id="vxw0ffesn9zzt0ewpdx5r5a3fpw92aep9re9" timestamp="1722340947" guid="dfd6ec81-6196-45a5-a81c-bec51651a98e"&gt;1729&lt;/key&gt;&lt;/foreign-keys&gt;&lt;ref-type name="Book"&gt;6&lt;/ref-type&gt;&lt;contributors&gt;&lt;authors&gt;&lt;author&gt;Harris, Frank&lt;/author&gt;&lt;author&gt;McCaffer, Ronald&lt;/author&gt;&lt;author&gt;Baldwin, Andrew&lt;/author&gt;&lt;author&gt;Edum-Fotwe, Francis&lt;/author&gt;&lt;/authors&gt;&lt;/contributors&gt;&lt;titles&gt;&lt;title&gt;Modern construction management&lt;/title&gt;&lt;/titles&gt;&lt;dates&gt;&lt;year&gt;2021&lt;/year&gt;&lt;/dates&gt;&lt;publisher&gt;John Wiley &amp;amp; Sons&lt;/publisher&gt;&lt;isbn&gt;1119488346&lt;/isbn&gt;&lt;urls&gt;&lt;/urls&gt;&lt;/record&gt;&lt;/Cite&gt;&lt;/EndNote&gt;</w:instrText>
      </w:r>
      <w:r w:rsidR="00D42FF8" w:rsidRPr="007F23AD">
        <w:rPr>
          <w:rFonts w:ascii="Calibri" w:hAnsi="Calibri" w:cs="Calibri"/>
          <w:color w:val="000000" w:themeColor="text1"/>
          <w:sz w:val="22"/>
          <w:szCs w:val="22"/>
          <w:lang w:val="en-GB"/>
        </w:rPr>
        <w:fldChar w:fldCharType="separate"/>
      </w:r>
      <w:r w:rsidR="00D42FF8" w:rsidRPr="007F23AD">
        <w:rPr>
          <w:rFonts w:ascii="Calibri" w:hAnsi="Calibri" w:cs="Calibri"/>
          <w:noProof/>
          <w:color w:val="000000" w:themeColor="text1"/>
          <w:sz w:val="22"/>
          <w:szCs w:val="22"/>
          <w:lang w:val="en-GB"/>
        </w:rPr>
        <w:t>(Harris et al. 2021)</w:t>
      </w:r>
      <w:r w:rsidR="00D42FF8" w:rsidRPr="007F23AD">
        <w:rPr>
          <w:rFonts w:ascii="Calibri" w:hAnsi="Calibri" w:cs="Calibri"/>
          <w:color w:val="000000" w:themeColor="text1"/>
          <w:sz w:val="22"/>
          <w:szCs w:val="22"/>
          <w:lang w:val="en-GB"/>
        </w:rPr>
        <w:fldChar w:fldCharType="end"/>
      </w:r>
      <w:r w:rsidR="00207FD3" w:rsidRPr="007F23AD">
        <w:rPr>
          <w:rFonts w:ascii="Calibri" w:hAnsi="Calibri" w:cs="Calibri"/>
          <w:color w:val="000000" w:themeColor="text1"/>
          <w:sz w:val="22"/>
          <w:szCs w:val="22"/>
          <w:lang w:val="en-GB"/>
        </w:rPr>
        <w:t>.</w:t>
      </w:r>
      <w:r w:rsidR="00D65822" w:rsidRPr="007F23AD">
        <w:rPr>
          <w:rFonts w:ascii="Calibri" w:hAnsi="Calibri" w:cs="Calibri" w:hint="eastAsia"/>
          <w:color w:val="000000" w:themeColor="text1"/>
          <w:sz w:val="22"/>
          <w:szCs w:val="22"/>
          <w:lang w:val="en-GB"/>
        </w:rPr>
        <w:t xml:space="preserve"> </w:t>
      </w:r>
      <w:r w:rsidR="004608A6" w:rsidRPr="007F23AD">
        <w:rPr>
          <w:rFonts w:ascii="Calibri" w:hAnsi="Calibri" w:cs="Calibri"/>
          <w:color w:val="000000" w:themeColor="text1"/>
          <w:sz w:val="22"/>
          <w:szCs w:val="22"/>
          <w:lang w:val="en-GB"/>
        </w:rPr>
        <w:t xml:space="preserve">For example, delays in the delivery of critical materials can lead to project delays, increased costs, and time constraints. These issues, in turn, affect the deployment of subsequent projects and may even lead to project failure and company bankruptcy. </w:t>
      </w:r>
      <w:r w:rsidR="000D4365" w:rsidRPr="007F23AD">
        <w:rPr>
          <w:rFonts w:ascii="Calibri" w:hAnsi="Calibri" w:cs="Calibri"/>
          <w:color w:val="000000" w:themeColor="text1"/>
          <w:sz w:val="22"/>
          <w:szCs w:val="22"/>
          <w:lang w:val="en-GB"/>
        </w:rPr>
        <w:t xml:space="preserve">According to </w:t>
      </w:r>
      <w:r w:rsidR="00C66605" w:rsidRPr="007F23AD">
        <w:rPr>
          <w:rFonts w:ascii="Calibri" w:hAnsi="Calibri" w:cs="Calibri"/>
          <w:color w:val="000000" w:themeColor="text1"/>
          <w:sz w:val="22"/>
          <w:szCs w:val="22"/>
          <w:lang w:val="en-GB"/>
        </w:rPr>
        <w:fldChar w:fldCharType="begin"/>
      </w:r>
      <w:r w:rsidR="00571047" w:rsidRPr="007F23AD">
        <w:rPr>
          <w:rFonts w:ascii="Calibri" w:hAnsi="Calibri" w:cs="Calibri"/>
          <w:color w:val="000000" w:themeColor="text1"/>
          <w:sz w:val="22"/>
          <w:szCs w:val="22"/>
          <w:lang w:val="en-GB"/>
        </w:rPr>
        <w:instrText xml:space="preserve"> ADDIN EN.CITE &lt;EndNote&gt;&lt;Cite AuthorYear="1"&gt;&lt;Author&gt;Service&lt;/Author&gt;&lt;Year&gt;2023&lt;/Year&gt;&lt;RecNum&gt;1619&lt;/RecNum&gt;&lt;Prefix&gt;The Insolvency &lt;/Prefix&gt;&lt;DisplayText&gt;The Insolvency Service (2023)&lt;/DisplayText&gt;&lt;record&gt;&lt;rec-number&gt;1619&lt;/rec-number&gt;&lt;foreign-keys&gt;&lt;key app="EN" db-id="vxw0ffesn9zzt0ewpdx5r5a3fpw92aep9re9" timestamp="1720455091" guid="d97ca4bc-04ae-442a-89d0-06010134561f"&gt;1619&lt;/key&gt;&lt;/foreign-keys&gt;&lt;ref-type name="Report"&gt;27&lt;/ref-type&gt;&lt;contributors&gt;&lt;authors&gt;&lt;author&gt;The Insolvency Service&lt;/author&gt;&lt;/authors&gt;&lt;/contributors&gt;&lt;titles&gt;&lt;title&gt;Commentary - Company Insolvency Statistics April to June 2023&lt;/title&gt;&lt;/titles&gt;&lt;dates&gt;&lt;year&gt;2023&lt;/year&gt;&lt;pub-dates&gt;&lt;date&gt;28-07-2023&lt;/date&gt;&lt;/pub-dates&gt;&lt;/dates&gt;&lt;urls&gt;&lt;related-urls&gt;&lt;url&gt;https://www.gov.uk/government/statistics/company-insolvency-statistics-april-to-june-2023/commentary-company-insolvency-statistics-april-to-june-2023&lt;/url&gt;&lt;/related-urls&gt;&lt;/urls&gt;&lt;access-date&gt;07-08-2024&lt;/access-date&gt;&lt;/record&gt;&lt;/Cite&gt;&lt;/EndNote&gt;</w:instrText>
      </w:r>
      <w:r w:rsidR="00C66605" w:rsidRPr="007F23AD">
        <w:rPr>
          <w:rFonts w:ascii="Calibri" w:hAnsi="Calibri" w:cs="Calibri"/>
          <w:color w:val="000000" w:themeColor="text1"/>
          <w:sz w:val="22"/>
          <w:szCs w:val="22"/>
          <w:lang w:val="en-GB"/>
        </w:rPr>
        <w:fldChar w:fldCharType="separate"/>
      </w:r>
      <w:r w:rsidR="00BF40D5" w:rsidRPr="007F23AD">
        <w:rPr>
          <w:rFonts w:ascii="Calibri" w:hAnsi="Calibri" w:cs="Calibri"/>
          <w:noProof/>
          <w:color w:val="000000" w:themeColor="text1"/>
          <w:sz w:val="22"/>
          <w:szCs w:val="22"/>
          <w:lang w:val="en-GB"/>
        </w:rPr>
        <w:t>The Insolvency Service (2023)</w:t>
      </w:r>
      <w:r w:rsidR="00C66605" w:rsidRPr="007F23AD">
        <w:rPr>
          <w:rFonts w:ascii="Calibri" w:hAnsi="Calibri" w:cs="Calibri"/>
          <w:color w:val="000000" w:themeColor="text1"/>
          <w:sz w:val="22"/>
          <w:szCs w:val="22"/>
          <w:lang w:val="en-GB"/>
        </w:rPr>
        <w:fldChar w:fldCharType="end"/>
      </w:r>
      <w:r w:rsidR="00BF78B4" w:rsidRPr="007F23AD">
        <w:rPr>
          <w:rFonts w:ascii="Calibri" w:hAnsi="Calibri" w:cs="Calibri"/>
          <w:color w:val="000000" w:themeColor="text1"/>
          <w:sz w:val="22"/>
          <w:szCs w:val="22"/>
          <w:lang w:val="en-GB"/>
        </w:rPr>
        <w:t>, the UK construction sector experienced 4,262 bankruptcies in the 12 months up to Q2 2023, accounting for 18 percent of industrial cases.</w:t>
      </w:r>
      <w:r w:rsidR="00E635B5" w:rsidRPr="007F23AD">
        <w:rPr>
          <w:rFonts w:ascii="Calibri" w:hAnsi="Calibri" w:cs="Calibri"/>
          <w:color w:val="000000" w:themeColor="text1"/>
          <w:sz w:val="22"/>
          <w:szCs w:val="22"/>
          <w:lang w:val="en-GB"/>
        </w:rPr>
        <w:t xml:space="preserve"> Therefore, effective management of these challenges is crucial.</w:t>
      </w:r>
    </w:p>
    <w:p w14:paraId="34DEB4A7" w14:textId="77777777" w:rsidR="00F06F93" w:rsidRPr="007F23AD" w:rsidRDefault="00F06F93" w:rsidP="00C3226C">
      <w:pPr>
        <w:spacing w:line="480" w:lineRule="auto"/>
        <w:jc w:val="both"/>
        <w:rPr>
          <w:rFonts w:ascii="Calibri" w:hAnsi="Calibri" w:cs="Calibri"/>
          <w:color w:val="000000" w:themeColor="text1"/>
          <w:sz w:val="22"/>
          <w:szCs w:val="22"/>
          <w:lang w:val="en-GB"/>
        </w:rPr>
      </w:pPr>
    </w:p>
    <w:p w14:paraId="5B26788C" w14:textId="43CD450C" w:rsidR="00C915AA" w:rsidRPr="007F23AD" w:rsidRDefault="003F2505"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Construction refers to </w:t>
      </w:r>
      <w:r w:rsidR="001025E6" w:rsidRPr="007F23AD">
        <w:rPr>
          <w:rFonts w:ascii="Calibri" w:hAnsi="Calibri" w:cs="Calibri"/>
          <w:color w:val="000000" w:themeColor="text1"/>
          <w:sz w:val="22"/>
          <w:szCs w:val="22"/>
          <w:lang w:val="en-GB"/>
        </w:rPr>
        <w:t>industrial activity associated wit</w:t>
      </w:r>
      <w:r w:rsidR="00E2692F" w:rsidRPr="007F23AD">
        <w:rPr>
          <w:rFonts w:ascii="Calibri" w:hAnsi="Calibri" w:cs="Calibri"/>
          <w:color w:val="000000" w:themeColor="text1"/>
          <w:sz w:val="22"/>
          <w:szCs w:val="22"/>
          <w:lang w:val="en-GB"/>
        </w:rPr>
        <w:t>h</w:t>
      </w:r>
      <w:r w:rsidR="00AD4597" w:rsidRPr="007F23AD">
        <w:rPr>
          <w:rFonts w:ascii="Calibri" w:hAnsi="Calibri" w:cs="Calibri"/>
          <w:color w:val="000000" w:themeColor="text1"/>
          <w:sz w:val="22"/>
          <w:szCs w:val="22"/>
          <w:lang w:val="en-GB"/>
        </w:rPr>
        <w:t xml:space="preserve"> </w:t>
      </w:r>
      <w:r w:rsidR="005066DF" w:rsidRPr="007F23AD">
        <w:rPr>
          <w:rFonts w:ascii="Calibri" w:hAnsi="Calibri" w:cs="Calibri"/>
          <w:color w:val="000000" w:themeColor="text1"/>
          <w:sz w:val="22"/>
          <w:szCs w:val="22"/>
          <w:lang w:val="en-GB"/>
        </w:rPr>
        <w:t xml:space="preserve">the built environment: </w:t>
      </w:r>
      <w:r w:rsidR="00AD4597" w:rsidRPr="007F23AD">
        <w:rPr>
          <w:rFonts w:ascii="Calibri" w:hAnsi="Calibri" w:cs="Calibri"/>
          <w:color w:val="000000" w:themeColor="text1"/>
          <w:sz w:val="22"/>
          <w:szCs w:val="22"/>
          <w:lang w:val="en-GB"/>
        </w:rPr>
        <w:t>buildings, structures,</w:t>
      </w:r>
      <w:r w:rsidRPr="007F23AD">
        <w:rPr>
          <w:rFonts w:ascii="Calibri" w:hAnsi="Calibri" w:cs="Calibri"/>
          <w:color w:val="000000" w:themeColor="text1"/>
          <w:sz w:val="22"/>
          <w:szCs w:val="22"/>
          <w:lang w:val="en-GB"/>
        </w:rPr>
        <w:t xml:space="preserve"> infrastructure</w:t>
      </w:r>
      <w:r w:rsidR="00F428E4" w:rsidRPr="007F23AD">
        <w:rPr>
          <w:rFonts w:ascii="Calibri" w:hAnsi="Calibri" w:cs="Calibri"/>
          <w:color w:val="000000" w:themeColor="text1"/>
          <w:sz w:val="22"/>
          <w:szCs w:val="22"/>
          <w:lang w:val="en-GB"/>
        </w:rPr>
        <w:t xml:space="preserve">; </w:t>
      </w:r>
      <w:r w:rsidR="00A568C2" w:rsidRPr="007F23AD">
        <w:rPr>
          <w:rFonts w:ascii="Calibri" w:hAnsi="Calibri" w:cs="Calibri"/>
          <w:color w:val="000000" w:themeColor="text1"/>
          <w:sz w:val="22"/>
          <w:szCs w:val="22"/>
          <w:lang w:val="en-GB"/>
        </w:rPr>
        <w:t>and their</w:t>
      </w:r>
      <w:r w:rsidR="005066DF" w:rsidRPr="007F23AD">
        <w:rPr>
          <w:rFonts w:ascii="Calibri" w:hAnsi="Calibri" w:cs="Calibri"/>
          <w:color w:val="000000" w:themeColor="text1"/>
          <w:sz w:val="22"/>
          <w:szCs w:val="22"/>
          <w:lang w:val="en-GB"/>
        </w:rPr>
        <w:t xml:space="preserve"> production,</w:t>
      </w:r>
      <w:r w:rsidRPr="007F23AD">
        <w:rPr>
          <w:rFonts w:ascii="Calibri" w:hAnsi="Calibri" w:cs="Calibri"/>
          <w:color w:val="000000" w:themeColor="text1"/>
          <w:sz w:val="22"/>
          <w:szCs w:val="22"/>
          <w:lang w:val="en-GB"/>
        </w:rPr>
        <w:t xml:space="preserve"> repair, renovation, and maintenance</w:t>
      </w:r>
      <w:r w:rsidR="007A6BD4" w:rsidRPr="007F23AD">
        <w:rPr>
          <w:rFonts w:ascii="Calibri" w:hAnsi="Calibri" w:cs="Calibri"/>
          <w:color w:val="000000" w:themeColor="text1"/>
          <w:sz w:val="22"/>
          <w:szCs w:val="22"/>
          <w:lang w:val="en-GB"/>
        </w:rPr>
        <w:t xml:space="preserve"> </w:t>
      </w:r>
      <w:r w:rsidR="007A6BD4"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&lt;EndNote&gt;&lt;Cite&gt;&lt;Author&gt;Hussain&lt;/Author&gt;&lt;Year&gt;2022&lt;/Year&gt;&lt;RecNum&gt;695&lt;/RecNum&gt;&lt;IDText&gt;Chapter 5 - Source reduction and waste minimization in construction industry&lt;/IDText&gt;&lt;DisplayText&gt;(Hussain et al. 2022)&lt;/DisplayText&gt;&lt;record&gt;&lt;rec-number&gt;695&lt;/rec-number&gt;&lt;foreign-keys&gt;&lt;key app="EN" db-id="vxw0ffesn9zzt0ewpdx5r5a3fpw92aep9re9" timestamp="1683538060" guid="dbe54fb7-5705-453a-8a60-1f6f7051a43b"&gt;695&lt;/key&gt;&lt;/foreign-keys&gt;&lt;ref-type name="Book Section"&gt;5&lt;/ref-type&gt;&lt;contributors&gt;&lt;authors&gt;&lt;author&gt;Hussain, Chaudhery Mustansar&lt;/author&gt;&lt;author&gt;Paulraj, Mosae Selvakumar&lt;/author&gt;&lt;author&gt;Nuzhat, Samiha&lt;/author&gt;&lt;/authors&gt;&lt;secondary-authors&gt;&lt;author&gt;Hussain, Chaudhery Mustansar&lt;/author&gt;&lt;author&gt;Paulraj, Mosae Selvakumar&lt;/author&gt;&lt;author&gt;Nuzhat, Samiha&lt;/author&gt;&lt;/secondary-authors&gt;&lt;/contributors&gt;&lt;titles&gt;&lt;title&gt;Chapter 5 - Source reduction and waste minimization in construction industry&lt;/title&gt;&lt;secondary-title&gt;Source Reduction and Waste Minimization&lt;/secondary-title&gt;&lt;/titles&gt;&lt;pages&gt;111-126&lt;/pages&gt;&lt;keywords&gt;&lt;keyword&gt;construction industry&lt;/keyword&gt;&lt;keyword&gt;construction waste&lt;/keyword&gt;&lt;keyword&gt;demolition&lt;/keyword&gt;&lt;keyword&gt;waste minimization&lt;/keyword&gt;&lt;/keywords&gt;&lt;dates&gt;&lt;year&gt;2022&lt;/year&gt;&lt;pub-dates&gt;&lt;date&gt;2022/01/01/&lt;/date&gt;&lt;/pub-dates&gt;&lt;/dates&gt;&lt;publisher&gt;Elsevier&lt;/publisher&gt;&lt;isbn&gt;978-0-12-824320-6&lt;/isbn&gt;&lt;urls&gt;&lt;related-urls&gt;&lt;url&gt;https://www.sciencedirect.com/science/article/pii/B9780128243206000058&lt;/url&gt;&lt;/related-urls&gt;&lt;/urls&gt;&lt;electronic-resource-num&gt;https://doi.org/10.1016/B978-0-12-824320-6.00005-8&lt;/electronic-resource-num&gt;&lt;/record&gt;&lt;/Cite&gt;&lt;/EndNote&gt;</w:instrText>
      </w:r>
      <w:r w:rsidR="007A6BD4" w:rsidRPr="007F23AD">
        <w:rPr>
          <w:rFonts w:ascii="Calibri" w:hAnsi="Calibri" w:cs="Calibri"/>
          <w:color w:val="000000" w:themeColor="text1"/>
          <w:sz w:val="22"/>
          <w:szCs w:val="22"/>
          <w:lang w:val="en-GB"/>
        </w:rPr>
        <w:fldChar w:fldCharType="separate"/>
      </w:r>
      <w:r w:rsidR="0062035D" w:rsidRPr="007F23AD">
        <w:rPr>
          <w:rFonts w:ascii="Calibri" w:hAnsi="Calibri" w:cs="Calibri"/>
          <w:noProof/>
          <w:color w:val="000000" w:themeColor="text1"/>
          <w:sz w:val="22"/>
          <w:szCs w:val="22"/>
          <w:lang w:val="en-GB"/>
        </w:rPr>
        <w:t>(Hussain et al. 2022)</w:t>
      </w:r>
      <w:r w:rsidR="007A6BD4" w:rsidRPr="007F23AD">
        <w:rPr>
          <w:rFonts w:ascii="Calibri" w:hAnsi="Calibri" w:cs="Calibri"/>
          <w:color w:val="000000" w:themeColor="text1"/>
          <w:sz w:val="22"/>
          <w:szCs w:val="22"/>
          <w:lang w:val="en-GB"/>
        </w:rPr>
        <w:fldChar w:fldCharType="end"/>
      </w:r>
      <w:r w:rsidR="007A6BD4" w:rsidRPr="007F23AD">
        <w:rPr>
          <w:rFonts w:ascii="Calibri" w:hAnsi="Calibri" w:cs="Calibri"/>
          <w:color w:val="000000" w:themeColor="text1"/>
          <w:sz w:val="22"/>
          <w:szCs w:val="22"/>
          <w:lang w:val="en-GB"/>
        </w:rPr>
        <w:t xml:space="preserve">. </w:t>
      </w:r>
      <w:r w:rsidR="0014541B" w:rsidRPr="007F23AD">
        <w:rPr>
          <w:rFonts w:ascii="Calibri" w:hAnsi="Calibri" w:cs="Calibri"/>
          <w:color w:val="000000" w:themeColor="text1"/>
          <w:sz w:val="22"/>
          <w:szCs w:val="22"/>
          <w:lang w:val="en-GB"/>
        </w:rPr>
        <w:t>A construction project encompasses multiple phases: conceptualization, design, construction, maintenance, replacement, and decommissioning, with risks present throughout each phase</w:t>
      </w:r>
      <w:r w:rsidR="00E02DB6" w:rsidRPr="007F23AD">
        <w:rPr>
          <w:rFonts w:ascii="Calibri" w:hAnsi="Calibri" w:cs="Calibri"/>
          <w:color w:val="000000" w:themeColor="text1"/>
          <w:sz w:val="22"/>
          <w:szCs w:val="22"/>
          <w:lang w:val="en-GB"/>
        </w:rPr>
        <w:t xml:space="preserve"> </w:t>
      </w:r>
      <w:r w:rsidR="00E02DB6" w:rsidRPr="007F23AD">
        <w:rPr>
          <w:rFonts w:ascii="Calibri" w:hAnsi="Calibri" w:cs="Calibri"/>
          <w:color w:val="000000" w:themeColor="text1"/>
          <w:sz w:val="22"/>
          <w:szCs w:val="22"/>
          <w:lang w:val="en-GB"/>
        </w:rPr>
        <w:fldChar w:fldCharType="begin">
          <w:fldData xml:space="preserve">PEVuZE5vdGU+PENpdGU+PEF1dGhvcj5UYXJvdW48L0F1dGhvcj48WWVhcj4yMDE0PC9ZZWFyPjxS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</w:fldData>
        </w:fldChar>
      </w:r>
      <w:r w:rsidR="00624F7A" w:rsidRPr="007F23AD">
        <w:rPr>
          <w:rFonts w:ascii="Calibri" w:hAnsi="Calibri" w:cs="Calibri"/>
          <w:color w:val="000000" w:themeColor="text1"/>
          <w:sz w:val="22"/>
          <w:szCs w:val="22"/>
          <w:lang w:val="en-GB"/>
        </w:rPr>
        <w:instrText xml:space="preserve"> ADDIN EN.CITE </w:instrText>
      </w:r>
      <w:r w:rsidR="00624F7A" w:rsidRPr="007F23AD">
        <w:rPr>
          <w:rFonts w:ascii="Calibri" w:hAnsi="Calibri" w:cs="Calibri"/>
          <w:color w:val="000000" w:themeColor="text1"/>
          <w:sz w:val="22"/>
          <w:szCs w:val="22"/>
          <w:lang w:val="en-GB"/>
        </w:rPr>
        <w:fldChar w:fldCharType="begin">
          <w:fldData xml:space="preserve">PEVuZE5vdGU+PENpdGU+PEF1dGhvcj5UYXJvdW48L0F1dGhvcj48WWVhcj4yMDE0PC9ZZWFyPjxS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</w:fldData>
        </w:fldChar>
      </w:r>
      <w:r w:rsidR="00624F7A" w:rsidRPr="007F23AD">
        <w:rPr>
          <w:rFonts w:ascii="Calibri" w:hAnsi="Calibri" w:cs="Calibri"/>
          <w:color w:val="000000" w:themeColor="text1"/>
          <w:sz w:val="22"/>
          <w:szCs w:val="22"/>
          <w:lang w:val="en-GB"/>
        </w:rPr>
        <w:instrText xml:space="preserve"> ADDIN EN.CITE.DATA </w:instrText>
      </w:r>
      <w:r w:rsidR="00624F7A" w:rsidRPr="007F23AD">
        <w:rPr>
          <w:rFonts w:ascii="Calibri" w:hAnsi="Calibri" w:cs="Calibri"/>
          <w:color w:val="000000" w:themeColor="text1"/>
          <w:sz w:val="22"/>
          <w:szCs w:val="22"/>
          <w:lang w:val="en-GB"/>
        </w:rPr>
      </w:r>
      <w:r w:rsidR="00624F7A" w:rsidRPr="007F23AD">
        <w:rPr>
          <w:rFonts w:ascii="Calibri" w:hAnsi="Calibri" w:cs="Calibri"/>
          <w:color w:val="000000" w:themeColor="text1"/>
          <w:sz w:val="22"/>
          <w:szCs w:val="22"/>
          <w:lang w:val="en-GB"/>
        </w:rPr>
        <w:fldChar w:fldCharType="end"/>
      </w:r>
      <w:r w:rsidR="00E02DB6" w:rsidRPr="007F23AD">
        <w:rPr>
          <w:rFonts w:ascii="Calibri" w:hAnsi="Calibri" w:cs="Calibri"/>
          <w:color w:val="000000" w:themeColor="text1"/>
          <w:sz w:val="22"/>
          <w:szCs w:val="22"/>
          <w:lang w:val="en-GB"/>
        </w:rPr>
      </w:r>
      <w:r w:rsidR="00E02DB6" w:rsidRPr="007F23AD">
        <w:rPr>
          <w:rFonts w:ascii="Calibri" w:hAnsi="Calibri" w:cs="Calibri"/>
          <w:color w:val="000000" w:themeColor="text1"/>
          <w:sz w:val="22"/>
          <w:szCs w:val="22"/>
          <w:lang w:val="en-GB"/>
        </w:rPr>
        <w:fldChar w:fldCharType="separate"/>
      </w:r>
      <w:r w:rsidR="00624F7A" w:rsidRPr="007F23AD">
        <w:rPr>
          <w:rFonts w:ascii="Calibri" w:hAnsi="Calibri" w:cs="Calibri"/>
          <w:noProof/>
          <w:color w:val="000000" w:themeColor="text1"/>
          <w:sz w:val="22"/>
          <w:szCs w:val="22"/>
          <w:lang w:val="en-GB"/>
        </w:rPr>
        <w:t>(Taroun 2014; Dubois et al. 2019)</w:t>
      </w:r>
      <w:r w:rsidR="00E02DB6" w:rsidRPr="007F23AD">
        <w:rPr>
          <w:rFonts w:ascii="Calibri" w:hAnsi="Calibri" w:cs="Calibri"/>
          <w:color w:val="000000" w:themeColor="text1"/>
          <w:sz w:val="22"/>
          <w:szCs w:val="22"/>
          <w:lang w:val="en-GB"/>
        </w:rPr>
        <w:fldChar w:fldCharType="end"/>
      </w:r>
      <w:r w:rsidR="00FF7E89" w:rsidRPr="007F23AD">
        <w:rPr>
          <w:rFonts w:ascii="Calibri" w:hAnsi="Calibri" w:cs="Calibri"/>
          <w:color w:val="000000" w:themeColor="text1"/>
          <w:sz w:val="22"/>
          <w:szCs w:val="22"/>
          <w:lang w:val="en-GB"/>
        </w:rPr>
        <w:t xml:space="preserve">. </w:t>
      </w:r>
      <w:r w:rsidR="00E931AA" w:rsidRPr="007F23AD">
        <w:rPr>
          <w:rFonts w:ascii="Calibri" w:hAnsi="Calibri" w:cs="Calibri"/>
          <w:color w:val="000000" w:themeColor="text1"/>
          <w:sz w:val="22"/>
          <w:szCs w:val="22"/>
          <w:lang w:val="en-GB"/>
        </w:rPr>
        <w:t>Given its intricate supply chain system and extensive integration, the construction industry is vulnerable to numerous potential risks</w:t>
      </w:r>
      <w:r w:rsidR="007C3917" w:rsidRPr="007F23AD">
        <w:rPr>
          <w:rFonts w:ascii="Calibri" w:hAnsi="Calibri" w:cs="Calibri"/>
          <w:color w:val="000000" w:themeColor="text1"/>
          <w:sz w:val="22"/>
          <w:szCs w:val="22"/>
          <w:lang w:val="en-GB"/>
        </w:rPr>
        <w:t xml:space="preserve"> </w:t>
      </w:r>
      <w:r w:rsidR="00875DB7"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&lt;EndNote&gt;&lt;Cite&gt;&lt;Author&gt;Manuj&lt;/Author&gt;&lt;Year&gt;2008&lt;/Year&gt;&lt;RecNum&gt;783&lt;/RecNum&gt;&lt;DisplayText&gt;(Manuj and Mentzer 2008)&lt;/DisplayText&gt;&lt;record&gt;&lt;rec-number&gt;783&lt;/rec-number&gt;&lt;foreign-keys&gt;&lt;key app="EN" db-id="vxw0ffesn9zzt0ewpdx5r5a3fpw92aep9re9" timestamp="1683798508" guid="ec3c99e5-5ad0-45ab-b1c2-06b808f3a980"&gt;783&lt;/key&gt;&lt;/foreign-keys&gt;&lt;ref-type name="Journal Article"&gt;17&lt;/ref-type&gt;&lt;contributors&gt;&lt;authors&gt;&lt;author&gt;Manuj, Ila&lt;/author&gt;&lt;author&gt;Mentzer, John T.&lt;/author&gt;&lt;/authors&gt;&lt;/contributors&gt;&lt;titles&gt;&lt;title&gt;Global supply chain risk management strategies&lt;/title&gt;&lt;secondary-title&gt;International Journal of Physical Distribution &amp;amp; Logistics Management&lt;/secondary-title&gt;&lt;/titles&gt;&lt;periodical&gt;&lt;full-title&gt;International Journal of Physical Distribution &amp;amp; Logistics Management&lt;/full-title&gt;&lt;/periodical&gt;&lt;dates&gt;&lt;year&gt;2008&lt;/year&gt;&lt;/dates&gt;&lt;urls&gt;&lt;/urls&gt;&lt;/record&gt;&lt;/Cite&gt;&lt;/EndNote&gt;</w:instrText>
      </w:r>
      <w:r w:rsidR="00875DB7" w:rsidRPr="007F23AD">
        <w:rPr>
          <w:rFonts w:ascii="Calibri" w:hAnsi="Calibri" w:cs="Calibri"/>
          <w:color w:val="000000" w:themeColor="text1"/>
          <w:sz w:val="22"/>
          <w:szCs w:val="22"/>
          <w:lang w:val="en-GB"/>
        </w:rPr>
        <w:fldChar w:fldCharType="separate"/>
      </w:r>
      <w:r w:rsidR="00875DB7" w:rsidRPr="007F23AD">
        <w:rPr>
          <w:rFonts w:ascii="Calibri" w:hAnsi="Calibri" w:cs="Calibri"/>
          <w:noProof/>
          <w:color w:val="000000" w:themeColor="text1"/>
          <w:sz w:val="22"/>
          <w:szCs w:val="22"/>
          <w:lang w:val="en-GB"/>
        </w:rPr>
        <w:t>(Manuj and Mentzer 2008)</w:t>
      </w:r>
      <w:r w:rsidR="00875DB7" w:rsidRPr="007F23AD">
        <w:rPr>
          <w:rFonts w:ascii="Calibri" w:hAnsi="Calibri" w:cs="Calibri"/>
          <w:color w:val="000000" w:themeColor="text1"/>
          <w:sz w:val="22"/>
          <w:szCs w:val="22"/>
          <w:lang w:val="en-GB"/>
        </w:rPr>
        <w:fldChar w:fldCharType="end"/>
      </w:r>
      <w:r w:rsidR="00FC75BD" w:rsidRPr="007F23AD">
        <w:rPr>
          <w:rFonts w:ascii="Calibri" w:hAnsi="Calibri" w:cs="Calibri"/>
          <w:color w:val="000000" w:themeColor="text1"/>
          <w:sz w:val="22"/>
          <w:szCs w:val="22"/>
          <w:lang w:val="en-GB"/>
        </w:rPr>
        <w:t>.</w:t>
      </w:r>
      <w:r w:rsidR="00E931AA" w:rsidRPr="007F23AD">
        <w:rPr>
          <w:rFonts w:ascii="Calibri" w:hAnsi="Calibri" w:cs="Calibri"/>
          <w:color w:val="000000" w:themeColor="text1"/>
          <w:sz w:val="22"/>
          <w:szCs w:val="22"/>
          <w:lang w:val="en-GB"/>
        </w:rPr>
        <w:t xml:space="preserve"> Supply chain risk management involves applying risk management techniques, either individually or in collaboration with supply chain partners, to address uncertainties and risks stemming from supply chain activities and resources</w:t>
      </w:r>
      <w:r w:rsidR="00FC62B9" w:rsidRPr="007F23AD">
        <w:rPr>
          <w:rFonts w:ascii="Calibri" w:hAnsi="Calibri" w:cs="Calibri"/>
          <w:color w:val="000000" w:themeColor="text1"/>
          <w:sz w:val="22"/>
          <w:szCs w:val="22"/>
          <w:lang w:val="en-GB"/>
        </w:rPr>
        <w:t xml:space="preserve"> </w:t>
      </w:r>
      <w:r w:rsidR="00FC62B9" w:rsidRPr="007F23AD">
        <w:rPr>
          <w:rFonts w:ascii="Calibri" w:hAnsi="Calibri" w:cs="Calibri"/>
          <w:color w:val="000000" w:themeColor="text1"/>
          <w:sz w:val="22"/>
          <w:szCs w:val="22"/>
          <w:lang w:val="en-GB"/>
        </w:rPr>
        <w:fldChar w:fldCharType="begin"/>
      </w:r>
      <w:r w:rsidR="00054036" w:rsidRPr="007F23AD">
        <w:rPr>
          <w:rFonts w:ascii="Calibri" w:hAnsi="Calibri" w:cs="Calibri"/>
          <w:color w:val="000000" w:themeColor="text1"/>
          <w:sz w:val="22"/>
          <w:szCs w:val="22"/>
          <w:lang w:val="en-GB"/>
        </w:rPr>
        <w:instrText xml:space="preserve"> ADDIN EN.CITE &lt;EndNote&gt;&lt;Cite&gt;&lt;Author&gt;Gurtu&lt;/Author&gt;&lt;Year&gt;2021&lt;/Year&gt;&lt;RecNum&gt;1679&lt;/RecNum&gt;&lt;IDText&gt;Supply Chain Risk Management: Literature Review&lt;/IDText&gt;&lt;DisplayText&gt;(Gurtu and Johny 2021)&lt;/DisplayText&gt;&lt;record&gt;&lt;rec-number&gt;1679&lt;/rec-number&gt;&lt;foreign-keys&gt;&lt;key app="EN" db-id="v2appvaecs9w0uezt2jvdvzwwet5a5wx0afd" timestamp="1701896014"&gt;1679&lt;/key&gt;&lt;/foreign-keys&gt;&lt;ref-type name="Journal Article"&gt;17&lt;/ref-type&gt;&lt;contributors&gt;&lt;authors&gt;&lt;author&gt;Gurtu, Amulya&lt;/author&gt;&lt;author&gt;Johny, Jestin&lt;/author&gt;&lt;/authors&gt;&lt;/contributors&gt;&lt;titles&gt;&lt;title&gt;Supply Chain Risk Management: Literature Review&lt;/title&gt;&lt;secondary-title&gt;Risks&lt;/secondary-title&gt;&lt;/titles&gt;&lt;periodical&gt;&lt;full-title&gt;Risks&lt;/full-title&gt;&lt;/periodical&gt;&lt;pages&gt;16&lt;/pages&gt;&lt;volume&gt;9&lt;/volume&gt;&lt;number&gt;1&lt;/number&gt;&lt;dates&gt;&lt;year&gt;2021&lt;/year&gt;&lt;/dates&gt;&lt;isbn&gt;2227-9091&lt;/isbn&gt;&lt;accession-num&gt;doi:10.3390/risks9010016&lt;/accession-num&gt;&lt;urls&gt;&lt;related-urls&gt;&lt;url&gt;https://www.mdpi.com/2227-9091/9/1/16&lt;/url&gt;&lt;/related-urls&gt;&lt;/urls&gt;&lt;/record&gt;&lt;/Cite&gt;&lt;/EndNote&gt;</w:instrText>
      </w:r>
      <w:r w:rsidR="00FC62B9" w:rsidRPr="007F23AD">
        <w:rPr>
          <w:rFonts w:ascii="Calibri" w:hAnsi="Calibri" w:cs="Calibri"/>
          <w:color w:val="000000" w:themeColor="text1"/>
          <w:sz w:val="22"/>
          <w:szCs w:val="22"/>
          <w:lang w:val="en-GB"/>
        </w:rPr>
        <w:fldChar w:fldCharType="separate"/>
      </w:r>
      <w:r w:rsidR="00FC62B9" w:rsidRPr="007F23AD">
        <w:rPr>
          <w:rFonts w:ascii="Calibri" w:hAnsi="Calibri" w:cs="Calibri"/>
          <w:noProof/>
          <w:color w:val="000000" w:themeColor="text1"/>
          <w:sz w:val="22"/>
          <w:szCs w:val="22"/>
          <w:lang w:val="en-GB"/>
        </w:rPr>
        <w:t>(Gurtu and Johny 2021)</w:t>
      </w:r>
      <w:r w:rsidR="00FC62B9" w:rsidRPr="007F23AD">
        <w:rPr>
          <w:rFonts w:ascii="Calibri" w:hAnsi="Calibri" w:cs="Calibri"/>
          <w:color w:val="000000" w:themeColor="text1"/>
          <w:sz w:val="22"/>
          <w:szCs w:val="22"/>
          <w:lang w:val="en-GB"/>
        </w:rPr>
        <w:fldChar w:fldCharType="end"/>
      </w:r>
      <w:r w:rsidR="00FC62B9" w:rsidRPr="007F23AD">
        <w:rPr>
          <w:rFonts w:ascii="Calibri" w:hAnsi="Calibri" w:cs="Calibri"/>
          <w:color w:val="000000" w:themeColor="text1"/>
          <w:sz w:val="22"/>
          <w:szCs w:val="22"/>
          <w:lang w:val="en-GB"/>
        </w:rPr>
        <w:t xml:space="preserve">. </w:t>
      </w:r>
    </w:p>
    <w:p w14:paraId="31C6A385" w14:textId="77777777" w:rsidR="00E05995" w:rsidRPr="007F23AD" w:rsidRDefault="00E05995" w:rsidP="00C3226C">
      <w:pPr>
        <w:spacing w:line="480" w:lineRule="auto"/>
        <w:jc w:val="both"/>
        <w:rPr>
          <w:rFonts w:ascii="Calibri" w:hAnsi="Calibri" w:cs="Calibri"/>
          <w:color w:val="000000" w:themeColor="text1"/>
          <w:sz w:val="22"/>
          <w:szCs w:val="22"/>
          <w:lang w:val="en-GB"/>
        </w:rPr>
      </w:pPr>
    </w:p>
    <w:p w14:paraId="7FCBFE71" w14:textId="722B817F" w:rsidR="00687314" w:rsidRPr="007F23AD" w:rsidRDefault="0093314A" w:rsidP="00653164">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To date, research on supply chain risk management in the construction sector has predominantly </w:t>
      </w:r>
      <w:r w:rsidR="00646619" w:rsidRPr="007F23AD">
        <w:rPr>
          <w:rFonts w:ascii="Calibri" w:hAnsi="Calibri" w:cs="Calibri"/>
          <w:color w:val="000000" w:themeColor="text1"/>
          <w:sz w:val="22"/>
          <w:szCs w:val="22"/>
          <w:lang w:val="en-GB"/>
        </w:rPr>
        <w:t>centred</w:t>
      </w:r>
      <w:r w:rsidR="000F3678" w:rsidRPr="007F23AD">
        <w:rPr>
          <w:rFonts w:ascii="Calibri" w:hAnsi="Calibri" w:cs="Calibri"/>
          <w:color w:val="000000" w:themeColor="text1"/>
          <w:sz w:val="22"/>
          <w:szCs w:val="22"/>
          <w:lang w:val="en-GB"/>
        </w:rPr>
        <w:t>, either explicitly or implicitly,</w:t>
      </w:r>
      <w:r w:rsidRPr="007F23AD">
        <w:rPr>
          <w:rFonts w:ascii="Calibri" w:hAnsi="Calibri" w:cs="Calibri"/>
          <w:color w:val="000000" w:themeColor="text1"/>
          <w:sz w:val="22"/>
          <w:szCs w:val="22"/>
          <w:lang w:val="en-GB"/>
        </w:rPr>
        <w:t xml:space="preserve"> on large companies, often with an international presence</w:t>
      </w:r>
      <w:r w:rsidR="000032D9" w:rsidRPr="007F23AD">
        <w:rPr>
          <w:rFonts w:ascii="Calibri" w:hAnsi="Calibri" w:cs="Calibri"/>
          <w:color w:val="000000" w:themeColor="text1"/>
          <w:sz w:val="22"/>
          <w:szCs w:val="22"/>
          <w:lang w:val="en-GB"/>
        </w:rPr>
        <w:t xml:space="preserve"> </w:t>
      </w:r>
      <w:r w:rsidR="00D141F9" w:rsidRPr="007F23AD">
        <w:rPr>
          <w:rFonts w:ascii="Calibri" w:hAnsi="Calibri" w:cs="Calibri"/>
          <w:color w:val="000000" w:themeColor="text1"/>
          <w:sz w:val="22"/>
          <w:szCs w:val="22"/>
          <w:lang w:val="en-GB"/>
        </w:rPr>
        <w:fldChar w:fldCharType="begin">
          <w:fldData xml:space="preserve">PEVuZE5vdGU+PENpdGU+PEF1dGhvcj5DYXRhbGRvPC9BdXRob3I+PFllYXI+MjAyMjwvWWVhcj48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</w:fldData>
        </w:fldChar>
      </w:r>
      <w:r w:rsidR="00922C2B" w:rsidRPr="007F23AD">
        <w:rPr>
          <w:rFonts w:ascii="Calibri" w:hAnsi="Calibri" w:cs="Calibri"/>
          <w:color w:val="000000" w:themeColor="text1"/>
          <w:sz w:val="22"/>
          <w:szCs w:val="22"/>
          <w:lang w:val="en-GB"/>
        </w:rPr>
        <w:instrText xml:space="preserve"> ADDIN EN.CITE </w:instrText>
      </w:r>
      <w:r w:rsidR="00922C2B" w:rsidRPr="007F23AD">
        <w:rPr>
          <w:rFonts w:ascii="Calibri" w:hAnsi="Calibri" w:cs="Calibri"/>
          <w:color w:val="000000" w:themeColor="text1"/>
          <w:sz w:val="22"/>
          <w:szCs w:val="22"/>
          <w:lang w:val="en-GB"/>
        </w:rPr>
        <w:fldChar w:fldCharType="begin">
          <w:fldData xml:space="preserve">PEVuZE5vdGU+PENpdGU+PEF1dGhvcj5DYXRhbGRvPC9BdXRob3I+PFllYXI+MjAyMjwvWWVhcj48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</w:fldData>
        </w:fldChar>
      </w:r>
      <w:r w:rsidR="00922C2B" w:rsidRPr="007F23AD">
        <w:rPr>
          <w:rFonts w:ascii="Calibri" w:hAnsi="Calibri" w:cs="Calibri"/>
          <w:color w:val="000000" w:themeColor="text1"/>
          <w:sz w:val="22"/>
          <w:szCs w:val="22"/>
          <w:lang w:val="en-GB"/>
        </w:rPr>
        <w:instrText xml:space="preserve"> ADDIN EN.CITE.DATA </w:instrText>
      </w:r>
      <w:r w:rsidR="00922C2B" w:rsidRPr="007F23AD">
        <w:rPr>
          <w:rFonts w:ascii="Calibri" w:hAnsi="Calibri" w:cs="Calibri"/>
          <w:color w:val="000000" w:themeColor="text1"/>
          <w:sz w:val="22"/>
          <w:szCs w:val="22"/>
          <w:lang w:val="en-GB"/>
        </w:rPr>
      </w:r>
      <w:r w:rsidR="00922C2B" w:rsidRPr="007F23AD">
        <w:rPr>
          <w:rFonts w:ascii="Calibri" w:hAnsi="Calibri" w:cs="Calibri"/>
          <w:color w:val="000000" w:themeColor="text1"/>
          <w:sz w:val="22"/>
          <w:szCs w:val="22"/>
          <w:lang w:val="en-GB"/>
        </w:rPr>
        <w:fldChar w:fldCharType="end"/>
      </w:r>
      <w:r w:rsidR="00D141F9" w:rsidRPr="007F23AD">
        <w:rPr>
          <w:rFonts w:ascii="Calibri" w:hAnsi="Calibri" w:cs="Calibri"/>
          <w:color w:val="000000" w:themeColor="text1"/>
          <w:sz w:val="22"/>
          <w:szCs w:val="22"/>
          <w:lang w:val="en-GB"/>
        </w:rPr>
      </w:r>
      <w:r w:rsidR="00D141F9" w:rsidRPr="007F23AD">
        <w:rPr>
          <w:rFonts w:ascii="Calibri" w:hAnsi="Calibri" w:cs="Calibri"/>
          <w:color w:val="000000" w:themeColor="text1"/>
          <w:sz w:val="22"/>
          <w:szCs w:val="22"/>
          <w:lang w:val="en-GB"/>
        </w:rPr>
        <w:fldChar w:fldCharType="separate"/>
      </w:r>
      <w:r w:rsidR="000E1C11" w:rsidRPr="007F23AD">
        <w:rPr>
          <w:rFonts w:ascii="Calibri" w:hAnsi="Calibri" w:cs="Calibri"/>
          <w:noProof/>
          <w:color w:val="000000" w:themeColor="text1"/>
          <w:sz w:val="22"/>
          <w:szCs w:val="22"/>
          <w:lang w:val="en-GB"/>
        </w:rPr>
        <w:t>(Soinio et al. 2012; Cataldo et al. 2022)</w:t>
      </w:r>
      <w:r w:rsidR="00D141F9" w:rsidRPr="007F23AD">
        <w:rPr>
          <w:rFonts w:ascii="Calibri" w:hAnsi="Calibri" w:cs="Calibri"/>
          <w:color w:val="000000" w:themeColor="text1"/>
          <w:sz w:val="22"/>
          <w:szCs w:val="22"/>
          <w:lang w:val="en-GB"/>
        </w:rPr>
        <w:fldChar w:fldCharType="end"/>
      </w:r>
      <w:r w:rsidR="00D43F36" w:rsidRPr="007F23AD">
        <w:rPr>
          <w:rFonts w:ascii="Calibri" w:hAnsi="Calibri" w:cs="Calibri"/>
          <w:color w:val="000000" w:themeColor="text1"/>
          <w:sz w:val="22"/>
          <w:szCs w:val="22"/>
          <w:lang w:val="en-GB"/>
        </w:rPr>
        <w:t xml:space="preserve">. </w:t>
      </w:r>
      <w:r w:rsidR="00653164" w:rsidRPr="007F23AD">
        <w:rPr>
          <w:rFonts w:ascii="Calibri" w:hAnsi="Calibri" w:cs="Calibri"/>
          <w:color w:val="000000" w:themeColor="text1"/>
          <w:sz w:val="22"/>
          <w:szCs w:val="22"/>
          <w:lang w:val="en-GB"/>
        </w:rPr>
        <w:t>SMEs in the construction industry are defined in this study as focal companies with fewer than 250 employees, often playing the role of contractors or subcontractors in the supply chain.</w:t>
      </w:r>
      <w:r w:rsidR="00235CC4" w:rsidRPr="007F23AD">
        <w:rPr>
          <w:rFonts w:ascii="Calibri" w:hAnsi="Calibri" w:cs="Calibri"/>
          <w:color w:val="000000" w:themeColor="text1"/>
          <w:sz w:val="22"/>
          <w:szCs w:val="22"/>
          <w:lang w:val="en-GB"/>
        </w:rPr>
        <w:t xml:space="preserve"> </w:t>
      </w:r>
      <w:r w:rsidR="00F51914" w:rsidRPr="007F23AD">
        <w:rPr>
          <w:rFonts w:ascii="Calibri" w:hAnsi="Calibri" w:cs="Calibri"/>
          <w:color w:val="000000" w:themeColor="text1"/>
          <w:sz w:val="22"/>
          <w:szCs w:val="22"/>
          <w:lang w:val="en-GB"/>
        </w:rPr>
        <w:t xml:space="preserve">These </w:t>
      </w:r>
      <w:r w:rsidR="002E3B9B" w:rsidRPr="007F23AD">
        <w:rPr>
          <w:rFonts w:ascii="Calibri" w:hAnsi="Calibri" w:cs="Calibri"/>
          <w:color w:val="000000" w:themeColor="text1"/>
          <w:sz w:val="22"/>
          <w:szCs w:val="22"/>
          <w:lang w:val="en-GB"/>
        </w:rPr>
        <w:t xml:space="preserve"> companies </w:t>
      </w:r>
      <w:r w:rsidR="00D43F36" w:rsidRPr="007F23AD">
        <w:rPr>
          <w:rFonts w:ascii="Calibri" w:hAnsi="Calibri" w:cs="Calibri"/>
          <w:color w:val="000000" w:themeColor="text1"/>
          <w:sz w:val="22"/>
          <w:szCs w:val="22"/>
          <w:lang w:val="en-GB"/>
        </w:rPr>
        <w:t xml:space="preserve"> are </w:t>
      </w:r>
      <w:r w:rsidR="00E61D77" w:rsidRPr="007F23AD">
        <w:rPr>
          <w:rFonts w:ascii="Calibri" w:hAnsi="Calibri" w:cs="Calibri"/>
          <w:color w:val="000000" w:themeColor="text1"/>
          <w:sz w:val="22"/>
          <w:szCs w:val="22"/>
          <w:lang w:val="en-GB"/>
        </w:rPr>
        <w:lastRenderedPageBreak/>
        <w:t>often</w:t>
      </w:r>
      <w:r w:rsidR="00D43F36" w:rsidRPr="007F23AD">
        <w:rPr>
          <w:rFonts w:ascii="Calibri" w:hAnsi="Calibri" w:cs="Calibri"/>
          <w:color w:val="000000" w:themeColor="text1"/>
          <w:sz w:val="22"/>
          <w:szCs w:val="22"/>
          <w:lang w:val="en-GB"/>
        </w:rPr>
        <w:t xml:space="preserve"> susceptible to adverse risk events due to their constrained financial resources and a general absence of strategic management</w:t>
      </w:r>
      <w:r w:rsidR="00A971D6" w:rsidRPr="007F23AD">
        <w:rPr>
          <w:rFonts w:ascii="Calibri" w:hAnsi="Calibri" w:cs="Calibri"/>
          <w:color w:val="000000" w:themeColor="text1"/>
          <w:sz w:val="22"/>
          <w:szCs w:val="22"/>
          <w:lang w:val="en-GB"/>
        </w:rPr>
        <w:t xml:space="preserve"> </w:t>
      </w:r>
      <w:r w:rsidR="00D1474F" w:rsidRPr="007F23AD">
        <w:rPr>
          <w:rFonts w:ascii="Calibri" w:hAnsi="Calibri" w:cs="Calibri"/>
          <w:color w:val="000000" w:themeColor="text1"/>
          <w:sz w:val="22"/>
          <w:szCs w:val="22"/>
          <w:lang w:val="en-GB"/>
        </w:rPr>
        <w:fldChar w:fldCharType="begin"/>
      </w:r>
      <w:r w:rsidR="00054036" w:rsidRPr="007F23AD">
        <w:rPr>
          <w:rFonts w:ascii="Calibri" w:hAnsi="Calibri" w:cs="Calibri"/>
          <w:color w:val="000000" w:themeColor="text1"/>
          <w:sz w:val="22"/>
          <w:szCs w:val="22"/>
          <w:lang w:val="en-GB"/>
        </w:rPr>
        <w:instrText xml:space="preserve"> ADDIN EN.CITE &lt;EndNote&gt;&lt;Cite&gt;&lt;Author&gt;Hemilä&lt;/Author&gt;&lt;Year&gt;2015&lt;/Year&gt;&lt;RecNum&gt;1272&lt;/RecNum&gt;&lt;DisplayText&gt;(Hemilä and Vilko 2015)&lt;/DisplayText&gt;&lt;record&gt;&lt;rec-number&gt;1272&lt;/rec-number&gt;&lt;foreign-keys&gt;&lt;key app="EN" db-id="v2appvaecs9w0uezt2jvdvzwwet5a5wx0afd" timestamp="1701895598"&gt;1272&lt;/key&gt;&lt;/foreign-keys&gt;&lt;ref-type name="Journal Article"&gt;17&lt;/ref-type&gt;&lt;contributors&gt;&lt;authors&gt;&lt;author&gt;Hemilä, Jukka&lt;/author&gt;&lt;author&gt;Vilko, Jyri&lt;/author&gt;&lt;/authors&gt;&lt;/contributors&gt;&lt;titles&gt;&lt;title&gt;The development of a service supply chain model for a manufacturing SME&lt;/title&gt;&lt;secondary-title&gt;The International Journal of Logistics Management&lt;/secondary-title&gt;&lt;/titles&gt;&lt;periodical&gt;&lt;full-title&gt;The International Journal of Logistics Management&lt;/full-title&gt;&lt;/periodical&gt;&lt;pages&gt;517-542&lt;/pages&gt;&lt;volume&gt;26&lt;/volume&gt;&lt;number&gt;3&lt;/number&gt;&lt;section&gt;517&lt;/section&gt;&lt;dates&gt;&lt;year&gt;2015&lt;/year&gt;&lt;/dates&gt;&lt;publisher&gt;Emerald Group Publishing Limited&lt;/publisher&gt;&lt;isbn&gt;0957-4093&lt;/isbn&gt;&lt;urls&gt;&lt;related-urls&gt;&lt;url&gt;https://doi.org/10.1108/IJLM-01-2014-0001&lt;/url&gt;&lt;/related-urls&gt;&lt;/urls&gt;&lt;electronic-resource-num&gt;10.1108/ijlm-01-2014-0001&lt;/electronic-resource-num&gt;&lt;access-date&gt;2022/06/15&lt;/access-date&gt;&lt;/record&gt;&lt;/Cite&gt;&lt;/EndNote&gt;</w:instrText>
      </w:r>
      <w:r w:rsidR="00D1474F" w:rsidRPr="007F23AD">
        <w:rPr>
          <w:rFonts w:ascii="Calibri" w:hAnsi="Calibri" w:cs="Calibri"/>
          <w:color w:val="000000" w:themeColor="text1"/>
          <w:sz w:val="22"/>
          <w:szCs w:val="22"/>
          <w:lang w:val="en-GB"/>
        </w:rPr>
        <w:fldChar w:fldCharType="separate"/>
      </w:r>
      <w:r w:rsidR="009109BB" w:rsidRPr="007F23AD">
        <w:rPr>
          <w:rFonts w:ascii="Calibri" w:hAnsi="Calibri" w:cs="Calibri"/>
          <w:noProof/>
          <w:color w:val="000000" w:themeColor="text1"/>
          <w:sz w:val="22"/>
          <w:szCs w:val="22"/>
          <w:lang w:val="en-GB"/>
        </w:rPr>
        <w:t>(Hemilä and Vilko 2015)</w:t>
      </w:r>
      <w:r w:rsidR="00D1474F" w:rsidRPr="007F23AD">
        <w:rPr>
          <w:rFonts w:ascii="Calibri" w:hAnsi="Calibri" w:cs="Calibri"/>
          <w:color w:val="000000" w:themeColor="text1"/>
          <w:sz w:val="22"/>
          <w:szCs w:val="22"/>
          <w:lang w:val="en-GB"/>
        </w:rPr>
        <w:fldChar w:fldCharType="end"/>
      </w:r>
      <w:r w:rsidR="00A971D6" w:rsidRPr="007F23AD">
        <w:rPr>
          <w:rFonts w:ascii="Calibri" w:hAnsi="Calibri" w:cs="Calibri"/>
          <w:color w:val="000000" w:themeColor="text1"/>
          <w:sz w:val="22"/>
          <w:szCs w:val="22"/>
          <w:lang w:val="en-GB"/>
        </w:rPr>
        <w:t xml:space="preserve">. </w:t>
      </w:r>
      <w:r w:rsidR="00E61D77" w:rsidRPr="007F23AD">
        <w:rPr>
          <w:rFonts w:ascii="Calibri" w:hAnsi="Calibri" w:cs="Calibri"/>
          <w:color w:val="000000" w:themeColor="text1"/>
          <w:sz w:val="22"/>
          <w:szCs w:val="22"/>
          <w:lang w:val="en-GB"/>
        </w:rPr>
        <w:t>Often</w:t>
      </w:r>
      <w:r w:rsidR="00432718" w:rsidRPr="007F23AD">
        <w:rPr>
          <w:rFonts w:ascii="Calibri" w:hAnsi="Calibri" w:cs="Calibri"/>
          <w:color w:val="000000" w:themeColor="text1"/>
          <w:sz w:val="22"/>
          <w:szCs w:val="22"/>
          <w:lang w:val="en-GB"/>
        </w:rPr>
        <w:t>, the shortage of financial resources creates procurement uncertainty and logistical risks for construction SMEs</w:t>
      </w:r>
      <w:r w:rsidR="00D42FF8" w:rsidRPr="007F23AD">
        <w:rPr>
          <w:rFonts w:ascii="Calibri" w:hAnsi="Calibri" w:cs="Calibri"/>
          <w:color w:val="000000" w:themeColor="text1"/>
          <w:sz w:val="22"/>
          <w:szCs w:val="22"/>
          <w:lang w:val="en-GB"/>
        </w:rPr>
        <w:t xml:space="preserve">. </w:t>
      </w:r>
      <w:r w:rsidR="00B456E5" w:rsidRPr="007F23AD">
        <w:rPr>
          <w:rFonts w:ascii="Calibri" w:hAnsi="Calibri" w:cs="Calibri"/>
          <w:color w:val="000000" w:themeColor="text1"/>
          <w:sz w:val="22"/>
          <w:szCs w:val="22"/>
          <w:lang w:val="en-GB"/>
        </w:rPr>
        <w:t>Additionally, due to financial constraints, they are less likely to be early adopters of new technologies or processes.</w:t>
      </w:r>
      <w:r w:rsidR="00432718" w:rsidRPr="007F23AD">
        <w:rPr>
          <w:rFonts w:ascii="Calibri" w:hAnsi="Calibri" w:cs="Calibri"/>
          <w:color w:val="000000" w:themeColor="text1"/>
          <w:sz w:val="22"/>
          <w:szCs w:val="22"/>
          <w:lang w:val="en-GB"/>
        </w:rPr>
        <w:t xml:space="preserve"> Moreover, this lack of strategic focus is evident in sustainable development, as SMEs prioriti</w:t>
      </w:r>
      <w:r w:rsidR="009614E1" w:rsidRPr="007F23AD">
        <w:rPr>
          <w:rFonts w:ascii="Calibri" w:hAnsi="Calibri" w:cs="Calibri"/>
          <w:color w:val="000000" w:themeColor="text1"/>
          <w:sz w:val="22"/>
          <w:szCs w:val="22"/>
          <w:lang w:val="en-GB"/>
        </w:rPr>
        <w:t>s</w:t>
      </w:r>
      <w:r w:rsidR="00432718" w:rsidRPr="007F23AD">
        <w:rPr>
          <w:rFonts w:ascii="Calibri" w:hAnsi="Calibri" w:cs="Calibri"/>
          <w:color w:val="000000" w:themeColor="text1"/>
          <w:sz w:val="22"/>
          <w:szCs w:val="22"/>
          <w:lang w:val="en-GB"/>
        </w:rPr>
        <w:t>e current projects and often neglect the planning of subsequent projects</w:t>
      </w:r>
      <w:r w:rsidR="008A08FA" w:rsidRPr="007F23AD">
        <w:rPr>
          <w:rFonts w:ascii="Calibri" w:hAnsi="Calibri" w:cs="Calibri"/>
          <w:color w:val="000000" w:themeColor="text1"/>
          <w:sz w:val="22"/>
          <w:szCs w:val="22"/>
          <w:lang w:val="en-GB"/>
        </w:rPr>
        <w:t xml:space="preserve"> </w:t>
      </w:r>
      <w:r w:rsidR="008A08FA" w:rsidRPr="007F23AD">
        <w:rPr>
          <w:rFonts w:ascii="Calibri" w:hAnsi="Calibri" w:cs="Calibri"/>
          <w:color w:val="000000" w:themeColor="text1"/>
          <w:sz w:val="22"/>
          <w:szCs w:val="22"/>
          <w:lang w:val="en-GB"/>
        </w:rPr>
        <w:fldChar w:fldCharType="begin"/>
      </w:r>
      <w:r w:rsidR="00554FE4" w:rsidRPr="007F23AD">
        <w:rPr>
          <w:rFonts w:ascii="Calibri" w:hAnsi="Calibri" w:cs="Calibri"/>
          <w:color w:val="000000" w:themeColor="text1"/>
          <w:sz w:val="22"/>
          <w:szCs w:val="22"/>
          <w:lang w:val="en-GB"/>
        </w:rPr>
        <w:instrText xml:space="preserve"> ADDIN EN.CITE &lt;EndNote&gt;&lt;Cite&gt;&lt;Author&gt;Verboven&lt;/Author&gt;&lt;Year&gt;2016&lt;/Year&gt;&lt;RecNum&gt;1726&lt;/RecNum&gt;&lt;DisplayText&gt;(Verboven and Vanherck 2016)&lt;/DisplayText&gt;&lt;record&gt;&lt;rec-number&gt;1726&lt;/rec-number&gt;&lt;foreign-keys&gt;&lt;key app="EN" db-id="vxw0ffesn9zzt0ewpdx5r5a3fpw92aep9re9" timestamp="1721926010" guid="273d69bf-412e-434a-95c0-83b8482d8b2e"&gt;1726&lt;/key&gt;&lt;/foreign-keys&gt;&lt;ref-type name="Journal Article"&gt;17&lt;/ref-type&gt;&lt;contributors&gt;&lt;authors&gt;&lt;author&gt;Verboven, Hans&lt;/author&gt;&lt;author&gt;Vanherck, Lise&lt;/author&gt;&lt;/authors&gt;&lt;/contributors&gt;&lt;titles&gt;&lt;title&gt;Sustainability management of SMEs and the UN sustainable development goals&lt;/title&gt;&lt;secondary-title&gt;uwf UmweltWirtschaftsForum&lt;/secondary-title&gt;&lt;/titles&gt;&lt;periodical&gt;&lt;full-title&gt;uwf UmweltWirtschaftsForum&lt;/full-title&gt;&lt;/periodical&gt;&lt;pages&gt;165-178&lt;/pages&gt;&lt;volume&gt;24&lt;/volume&gt;&lt;number&gt;2&lt;/number&gt;&lt;dates&gt;&lt;year&gt;2016&lt;/year&gt;&lt;/dates&gt;&lt;isbn&gt;0943-3481&lt;/isbn&gt;&lt;urls&gt;&lt;/urls&gt;&lt;/record&gt;&lt;/Cite&gt;&lt;/EndNote&gt;</w:instrText>
      </w:r>
      <w:r w:rsidR="008A08FA" w:rsidRPr="007F23AD">
        <w:rPr>
          <w:rFonts w:ascii="Calibri" w:hAnsi="Calibri" w:cs="Calibri"/>
          <w:color w:val="000000" w:themeColor="text1"/>
          <w:sz w:val="22"/>
          <w:szCs w:val="22"/>
          <w:lang w:val="en-GB"/>
        </w:rPr>
        <w:fldChar w:fldCharType="separate"/>
      </w:r>
      <w:r w:rsidR="008A08FA" w:rsidRPr="007F23AD">
        <w:rPr>
          <w:rFonts w:ascii="Calibri" w:hAnsi="Calibri" w:cs="Calibri"/>
          <w:noProof/>
          <w:color w:val="000000" w:themeColor="text1"/>
          <w:sz w:val="22"/>
          <w:szCs w:val="22"/>
          <w:lang w:val="en-GB"/>
        </w:rPr>
        <w:t>(Verboven and Vanherck 2016)</w:t>
      </w:r>
      <w:r w:rsidR="008A08FA" w:rsidRPr="007F23AD">
        <w:rPr>
          <w:rFonts w:ascii="Calibri" w:hAnsi="Calibri" w:cs="Calibri"/>
          <w:color w:val="000000" w:themeColor="text1"/>
          <w:sz w:val="22"/>
          <w:szCs w:val="22"/>
          <w:lang w:val="en-GB"/>
        </w:rPr>
        <w:fldChar w:fldCharType="end"/>
      </w:r>
      <w:r w:rsidR="00432718" w:rsidRPr="007F23AD">
        <w:rPr>
          <w:rFonts w:ascii="Calibri" w:hAnsi="Calibri" w:cs="Calibri"/>
          <w:color w:val="000000" w:themeColor="text1"/>
          <w:sz w:val="22"/>
          <w:szCs w:val="22"/>
          <w:lang w:val="en-GB"/>
        </w:rPr>
        <w:t>.</w:t>
      </w:r>
      <w:r w:rsidR="00406B98" w:rsidRPr="007F23AD">
        <w:rPr>
          <w:color w:val="000000" w:themeColor="text1"/>
        </w:rPr>
        <w:t xml:space="preserve"> </w:t>
      </w:r>
      <w:r w:rsidR="00406B98" w:rsidRPr="007F23AD">
        <w:rPr>
          <w:rFonts w:ascii="Calibri" w:hAnsi="Calibri" w:cs="Calibri"/>
          <w:color w:val="000000" w:themeColor="text1"/>
          <w:sz w:val="22"/>
          <w:szCs w:val="22"/>
          <w:lang w:val="en-GB"/>
        </w:rPr>
        <w:t>Effective supply chain risk management can enhance a company's ability to control its capital and increase its resilience, enabling better performance when risks emerge</w:t>
      </w:r>
      <w:r w:rsidR="005574BC" w:rsidRPr="007F23AD">
        <w:rPr>
          <w:rFonts w:ascii="Calibri" w:hAnsi="Calibri" w:cs="Calibri"/>
          <w:color w:val="000000" w:themeColor="text1"/>
          <w:sz w:val="22"/>
          <w:szCs w:val="22"/>
          <w:lang w:val="en-GB"/>
        </w:rPr>
        <w:t xml:space="preserve"> </w:t>
      </w:r>
      <w:r w:rsidR="005574BC" w:rsidRPr="007F23AD">
        <w:rPr>
          <w:rFonts w:ascii="Calibri" w:hAnsi="Calibri" w:cs="Calibri"/>
          <w:color w:val="000000" w:themeColor="text1"/>
          <w:sz w:val="22"/>
          <w:szCs w:val="22"/>
          <w:lang w:val="en-GB"/>
        </w:rPr>
        <w:fldChar w:fldCharType="begin"/>
      </w:r>
      <w:r w:rsidR="00554FE4" w:rsidRPr="007F23AD">
        <w:rPr>
          <w:rFonts w:ascii="Calibri" w:hAnsi="Calibri" w:cs="Calibri"/>
          <w:color w:val="000000" w:themeColor="text1"/>
          <w:sz w:val="22"/>
          <w:szCs w:val="22"/>
          <w:lang w:val="en-GB"/>
        </w:rPr>
        <w:instrText xml:space="preserve"> ADDIN EN.CITE &lt;EndNote&gt;&lt;Cite&gt;&lt;Author&gt;Schlegel&lt;/Author&gt;&lt;Year&gt;2014&lt;/Year&gt;&lt;RecNum&gt;1727&lt;/RecNum&gt;&lt;DisplayText&gt;(Schlegel and Trent 2014)&lt;/DisplayText&gt;&lt;record&gt;&lt;rec-number&gt;1727&lt;/rec-number&gt;&lt;foreign-keys&gt;&lt;key app="EN" db-id="vxw0ffesn9zzt0ewpdx5r5a3fpw92aep9re9" timestamp="1721926081" guid="8f2bae97-ea73-4d33-bb2f-a53ebdadeccb"&gt;1727&lt;/key&gt;&lt;/foreign-keys&gt;&lt;ref-type name="Book"&gt;6&lt;/ref-type&gt;&lt;contributors&gt;&lt;authors&gt;&lt;author&gt;Schlegel, Gregory L&lt;/author&gt;&lt;author&gt;Trent, Robert J&lt;/author&gt;&lt;/authors&gt;&lt;/contributors&gt;&lt;titles&gt;&lt;title&gt;Supply chain risk management: An emerging discipline&lt;/title&gt;&lt;/titles&gt;&lt;dates&gt;&lt;year&gt;2014&lt;/year&gt;&lt;/dates&gt;&lt;publisher&gt;Crc Press&lt;/publisher&gt;&lt;isbn&gt;1482205971&lt;/isbn&gt;&lt;urls&gt;&lt;/urls&gt;&lt;/record&gt;&lt;/Cite&gt;&lt;/EndNote&gt;</w:instrText>
      </w:r>
      <w:r w:rsidR="005574BC" w:rsidRPr="007F23AD">
        <w:rPr>
          <w:rFonts w:ascii="Calibri" w:hAnsi="Calibri" w:cs="Calibri"/>
          <w:color w:val="000000" w:themeColor="text1"/>
          <w:sz w:val="22"/>
          <w:szCs w:val="22"/>
          <w:lang w:val="en-GB"/>
        </w:rPr>
        <w:fldChar w:fldCharType="separate"/>
      </w:r>
      <w:r w:rsidR="005574BC" w:rsidRPr="007F23AD">
        <w:rPr>
          <w:rFonts w:ascii="Calibri" w:hAnsi="Calibri" w:cs="Calibri"/>
          <w:noProof/>
          <w:color w:val="000000" w:themeColor="text1"/>
          <w:sz w:val="22"/>
          <w:szCs w:val="22"/>
          <w:lang w:val="en-GB"/>
        </w:rPr>
        <w:t>(Schlegel and Trent 2014)</w:t>
      </w:r>
      <w:r w:rsidR="005574BC" w:rsidRPr="007F23AD">
        <w:rPr>
          <w:rFonts w:ascii="Calibri" w:hAnsi="Calibri" w:cs="Calibri"/>
          <w:color w:val="000000" w:themeColor="text1"/>
          <w:sz w:val="22"/>
          <w:szCs w:val="22"/>
          <w:lang w:val="en-GB"/>
        </w:rPr>
        <w:fldChar w:fldCharType="end"/>
      </w:r>
      <w:r w:rsidR="00406B98" w:rsidRPr="007F23AD">
        <w:rPr>
          <w:rFonts w:ascii="Calibri" w:hAnsi="Calibri" w:cs="Calibri"/>
          <w:color w:val="000000" w:themeColor="text1"/>
          <w:sz w:val="22"/>
          <w:szCs w:val="22"/>
          <w:lang w:val="en-GB"/>
        </w:rPr>
        <w:t>.</w:t>
      </w:r>
    </w:p>
    <w:p w14:paraId="7E8BA613" w14:textId="77777777" w:rsidR="00A84FB4" w:rsidRPr="007F23AD" w:rsidRDefault="00A84FB4" w:rsidP="00A84FB4">
      <w:pPr>
        <w:spacing w:line="480" w:lineRule="auto"/>
        <w:jc w:val="both"/>
        <w:rPr>
          <w:rFonts w:ascii="Calibri" w:hAnsi="Calibri" w:cs="Calibri"/>
          <w:color w:val="000000" w:themeColor="text1"/>
          <w:sz w:val="22"/>
          <w:szCs w:val="22"/>
          <w:lang w:val="en-GB"/>
        </w:rPr>
      </w:pPr>
    </w:p>
    <w:p w14:paraId="5AD7690A" w14:textId="3F1A5A51" w:rsidR="00445092" w:rsidRPr="007F23AD" w:rsidRDefault="00A84FB4" w:rsidP="00A84FB4">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In reviews on construction supply chain risk management, scholars tend to focus on risk identification and categorisation within the general construction industry</w:t>
      </w:r>
      <w:r w:rsidR="00B202D5" w:rsidRPr="007F23AD">
        <w:rPr>
          <w:rFonts w:ascii="Calibri" w:hAnsi="Calibri" w:cs="Calibri"/>
          <w:color w:val="000000" w:themeColor="text1"/>
          <w:sz w:val="22"/>
          <w:szCs w:val="22"/>
          <w:lang w:val="en-GB"/>
        </w:rPr>
        <w:t xml:space="preserve"> </w:t>
      </w:r>
      <w:r w:rsidR="00B202D5" w:rsidRPr="007F23AD">
        <w:rPr>
          <w:rFonts w:ascii="Calibri" w:hAnsi="Calibri" w:cs="Calibri"/>
          <w:color w:val="000000" w:themeColor="text1"/>
          <w:sz w:val="22"/>
          <w:szCs w:val="22"/>
          <w:lang w:val="en-GB"/>
        </w:rPr>
        <w:fldChar w:fldCharType="begin"/>
      </w:r>
      <w:r w:rsidR="00B202D5" w:rsidRPr="007F23AD">
        <w:rPr>
          <w:rFonts w:ascii="Calibri" w:hAnsi="Calibri" w:cs="Calibri"/>
          <w:color w:val="000000" w:themeColor="text1"/>
          <w:sz w:val="22"/>
          <w:szCs w:val="22"/>
          <w:lang w:val="en-GB"/>
        </w:rPr>
        <w:instrText xml:space="preserve"> ADDIN EN.CITE &lt;EndNote&gt;&lt;Cite&gt;&lt;Author&gt;Shojaei&lt;/Author&gt;&lt;Year&gt;2019&lt;/Year&gt;&lt;RecNum&gt;304&lt;/RecNum&gt;&lt;DisplayText&gt;(Shojaei and Haeri 2019)&lt;/DisplayText&gt;&lt;record&gt;&lt;rec-number&gt;304&lt;/rec-number&gt;&lt;foreign-keys&gt;&lt;key app="EN" db-id="vxw0ffesn9zzt0ewpdx5r5a3fpw92aep9re9" timestamp="1683537963" guid="44097a1f-48ce-42a0-a050-557156f6c5ea"&gt;304&lt;/key&gt;&lt;/foreign-keys&gt;&lt;ref-type name="Journal Article"&gt;17&lt;/ref-type&gt;&lt;contributors&gt;&lt;authors&gt;&lt;author&gt;Shojaei, Payam&lt;/author&gt;&lt;author&gt;Haeri, Seyed Amin Seyed&lt;/author&gt;&lt;/authors&gt;&lt;/contributors&gt;&lt;titles&gt;&lt;title&gt;Development of supply chain risk management approaches for construction projects: A grounded theory approach&lt;/title&gt;&lt;secondary-title&gt;Computers &amp;amp; Industrial Engineering&lt;/secondary-title&gt;&lt;/titles&gt;&lt;periodical&gt;&lt;full-title&gt;Computers &amp;amp; Industrial Engineering&lt;/full-title&gt;&lt;/periodical&gt;&lt;pages&gt;837-850&lt;/pages&gt;&lt;volume&gt;128&lt;/volume&gt;&lt;keywords&gt;&lt;keyword&gt;Project risk management&lt;/keyword&gt;&lt;keyword&gt;Supply chain risk management&lt;/keyword&gt;&lt;keyword&gt;Grounded theory&lt;/keyword&gt;&lt;keyword&gt;Fuzzy cognitive maps&lt;/keyword&gt;&lt;keyword&gt;Grey relational analysis&lt;/keyword&gt;&lt;/keywords&gt;&lt;dates&gt;&lt;year&gt;2019&lt;/year&gt;&lt;pub-dates&gt;&lt;date&gt;2019/02/01/&lt;/date&gt;&lt;/pub-dates&gt;&lt;/dates&gt;&lt;isbn&gt;0360-8352&lt;/isbn&gt;&lt;urls&gt;&lt;related-urls&gt;&lt;url&gt;https://www.sciencedirect.com/science/article/pii/S0360835218305850&lt;/url&gt;&lt;/related-urls&gt;&lt;/urls&gt;&lt;electronic-resource-num&gt;https://doi.org/10.1016/j.cie.2018.11.045&lt;/electronic-resource-num&gt;&lt;/record&gt;&lt;/Cite&gt;&lt;/EndNote&gt;</w:instrText>
      </w:r>
      <w:r w:rsidR="00B202D5" w:rsidRPr="007F23AD">
        <w:rPr>
          <w:rFonts w:ascii="Calibri" w:hAnsi="Calibri" w:cs="Calibri"/>
          <w:color w:val="000000" w:themeColor="text1"/>
          <w:sz w:val="22"/>
          <w:szCs w:val="22"/>
          <w:lang w:val="en-GB"/>
        </w:rPr>
        <w:fldChar w:fldCharType="separate"/>
      </w:r>
      <w:r w:rsidR="00B202D5" w:rsidRPr="007F23AD">
        <w:rPr>
          <w:rFonts w:ascii="Calibri" w:hAnsi="Calibri" w:cs="Calibri"/>
          <w:noProof/>
          <w:color w:val="000000" w:themeColor="text1"/>
          <w:sz w:val="22"/>
          <w:szCs w:val="22"/>
          <w:lang w:val="en-GB"/>
        </w:rPr>
        <w:t>(Shojaei and Haeri 2019)</w:t>
      </w:r>
      <w:r w:rsidR="00B202D5"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084391" w:rsidRPr="007F23AD">
        <w:rPr>
          <w:rFonts w:ascii="Calibri" w:hAnsi="Calibri" w:cs="Calibri"/>
          <w:color w:val="000000" w:themeColor="text1"/>
          <w:sz w:val="22"/>
          <w:szCs w:val="22"/>
          <w:lang w:val="en-GB"/>
        </w:rPr>
        <w:t xml:space="preserve">However, </w:t>
      </w:r>
      <w:r w:rsidR="001A58F2" w:rsidRPr="007F23AD">
        <w:rPr>
          <w:rFonts w:ascii="Calibri" w:hAnsi="Calibri" w:cs="Calibri"/>
          <w:color w:val="000000" w:themeColor="text1"/>
          <w:sz w:val="22"/>
          <w:szCs w:val="22"/>
          <w:lang w:val="en-GB"/>
        </w:rPr>
        <w:t>such</w:t>
      </w:r>
      <w:r w:rsidR="00084391" w:rsidRPr="007F23AD">
        <w:rPr>
          <w:rFonts w:ascii="Calibri" w:hAnsi="Calibri" w:cs="Calibri"/>
          <w:color w:val="000000" w:themeColor="text1"/>
          <w:sz w:val="22"/>
          <w:szCs w:val="22"/>
          <w:lang w:val="en-GB"/>
        </w:rPr>
        <w:t xml:space="preserve"> review</w:t>
      </w:r>
      <w:r w:rsidR="00161738" w:rsidRPr="007F23AD">
        <w:rPr>
          <w:rFonts w:ascii="Calibri" w:hAnsi="Calibri" w:cs="Calibri"/>
          <w:color w:val="000000" w:themeColor="text1"/>
          <w:sz w:val="22"/>
          <w:szCs w:val="22"/>
          <w:lang w:val="en-GB"/>
        </w:rPr>
        <w:t>s</w:t>
      </w:r>
      <w:r w:rsidR="00084391" w:rsidRPr="007F23AD">
        <w:rPr>
          <w:rFonts w:ascii="Calibri" w:hAnsi="Calibri" w:cs="Calibri"/>
          <w:color w:val="000000" w:themeColor="text1"/>
          <w:sz w:val="22"/>
          <w:szCs w:val="22"/>
          <w:lang w:val="en-GB"/>
        </w:rPr>
        <w:t xml:space="preserve"> tend to overlook the specifics of SMEs in areas such as safety, technology, and strategy in practice</w:t>
      </w:r>
      <w:r w:rsidR="001923A4" w:rsidRPr="007F23AD">
        <w:rPr>
          <w:rFonts w:ascii="Calibri" w:hAnsi="Calibri" w:cs="Calibri"/>
          <w:color w:val="000000" w:themeColor="text1"/>
          <w:sz w:val="22"/>
          <w:szCs w:val="22"/>
          <w:lang w:val="en-GB"/>
        </w:rPr>
        <w:t xml:space="preserve"> </w:t>
      </w:r>
      <w:r w:rsidR="001923A4" w:rsidRPr="007F23AD">
        <w:rPr>
          <w:rFonts w:ascii="Calibri" w:hAnsi="Calibri" w:cs="Calibri"/>
          <w:color w:val="000000" w:themeColor="text1"/>
          <w:sz w:val="22"/>
          <w:szCs w:val="22"/>
          <w:lang w:val="en-GB"/>
        </w:rPr>
        <w:fldChar w:fldCharType="begin"/>
      </w:r>
      <w:r w:rsidR="001923A4" w:rsidRPr="007F23AD">
        <w:rPr>
          <w:rFonts w:ascii="Calibri" w:hAnsi="Calibri" w:cs="Calibri"/>
          <w:color w:val="000000" w:themeColor="text1"/>
          <w:sz w:val="22"/>
          <w:szCs w:val="22"/>
          <w:lang w:val="en-GB"/>
        </w:rPr>
        <w:instrText xml:space="preserve"> ADDIN EN.CITE &lt;EndNote&gt;&lt;Cite&gt;&lt;Author&gt;Kamal&lt;/Author&gt;&lt;Year&gt;2014&lt;/Year&gt;&lt;RecNum&gt;721&lt;/RecNum&gt;&lt;DisplayText&gt;(Kamal and Flanagan 2014)&lt;/DisplayText&gt;&lt;record&gt;&lt;rec-number&gt;721&lt;/rec-number&gt;&lt;foreign-keys&gt;&lt;key app="EN" db-id="vxw0ffesn9zzt0ewpdx5r5a3fpw92aep9re9" timestamp="1683538099" guid="ae9826b5-8b05-4ef8-a082-8d41f1defd86"&gt;721&lt;/key&gt;&lt;/foreign-keys&gt;&lt;ref-type name="Journal Article"&gt;17&lt;/ref-type&gt;&lt;contributors&gt;&lt;authors&gt;&lt;author&gt;Kamal, Ernawati Mustafa&lt;/author&gt;&lt;author&gt;Flanagan, Roger&lt;/author&gt;&lt;/authors&gt;&lt;/contributors&gt;&lt;titles&gt;&lt;title&gt;Key Characteristics of Rural Construction SMEs&lt;/title&gt;&lt;secondary-title&gt;Journal of Construction in Developing Countries&lt;/secondary-title&gt;&lt;/titles&gt;&lt;periodical&gt;&lt;full-title&gt;Journal of Construction in Developing Countries&lt;/full-title&gt;&lt;/periodical&gt;&lt;volume&gt;19&lt;/volume&gt;&lt;number&gt;2&lt;/number&gt;&lt;dates&gt;&lt;year&gt;2014&lt;/year&gt;&lt;/dates&gt;&lt;isbn&gt;1823-6499&lt;/isbn&gt;&lt;urls&gt;&lt;/urls&gt;&lt;/record&gt;&lt;/Cite&gt;&lt;/EndNote&gt;</w:instrText>
      </w:r>
      <w:r w:rsidR="001923A4" w:rsidRPr="007F23AD">
        <w:rPr>
          <w:rFonts w:ascii="Calibri" w:hAnsi="Calibri" w:cs="Calibri"/>
          <w:color w:val="000000" w:themeColor="text1"/>
          <w:sz w:val="22"/>
          <w:szCs w:val="22"/>
          <w:lang w:val="en-GB"/>
        </w:rPr>
        <w:fldChar w:fldCharType="separate"/>
      </w:r>
      <w:r w:rsidR="001923A4" w:rsidRPr="007F23AD">
        <w:rPr>
          <w:rFonts w:ascii="Calibri" w:hAnsi="Calibri" w:cs="Calibri"/>
          <w:noProof/>
          <w:color w:val="000000" w:themeColor="text1"/>
          <w:sz w:val="22"/>
          <w:szCs w:val="22"/>
          <w:lang w:val="en-GB"/>
        </w:rPr>
        <w:t>(Kamal and Flanagan 2014)</w:t>
      </w:r>
      <w:r w:rsidR="001923A4" w:rsidRPr="007F23AD">
        <w:rPr>
          <w:rFonts w:ascii="Calibri" w:hAnsi="Calibri" w:cs="Calibri"/>
          <w:color w:val="000000" w:themeColor="text1"/>
          <w:sz w:val="22"/>
          <w:szCs w:val="22"/>
          <w:lang w:val="en-GB"/>
        </w:rPr>
        <w:fldChar w:fldCharType="end"/>
      </w:r>
      <w:r w:rsidR="00B82733" w:rsidRPr="007F23AD">
        <w:rPr>
          <w:rFonts w:ascii="Calibri" w:hAnsi="Calibri" w:cs="Calibri"/>
          <w:color w:val="000000" w:themeColor="text1"/>
          <w:sz w:val="22"/>
          <w:szCs w:val="22"/>
        </w:rPr>
        <w:t>.</w:t>
      </w:r>
      <w:r w:rsidR="003E2F7D" w:rsidRPr="007F23AD">
        <w:rPr>
          <w:rFonts w:ascii="Calibri" w:hAnsi="Calibri" w:cs="Calibri"/>
          <w:color w:val="000000" w:themeColor="text1"/>
          <w:sz w:val="22"/>
          <w:szCs w:val="22"/>
          <w:lang w:val="en-GB"/>
        </w:rPr>
        <w:t xml:space="preserve"> </w:t>
      </w:r>
      <w:r w:rsidR="009D6391" w:rsidRPr="007F23AD">
        <w:rPr>
          <w:rFonts w:ascii="Calibri" w:hAnsi="Calibri" w:cs="Calibri"/>
          <w:color w:val="000000" w:themeColor="text1"/>
          <w:sz w:val="22"/>
          <w:szCs w:val="22"/>
          <w:lang w:val="en-GB"/>
        </w:rPr>
        <w:fldChar w:fldCharType="begin"/>
      </w:r>
      <w:r w:rsidR="005B718B" w:rsidRPr="007F23AD">
        <w:rPr>
          <w:rFonts w:ascii="Calibri" w:hAnsi="Calibri" w:cs="Calibri"/>
          <w:color w:val="000000" w:themeColor="text1"/>
          <w:sz w:val="22"/>
          <w:szCs w:val="22"/>
          <w:lang w:val="en-GB"/>
        </w:rPr>
        <w:instrText xml:space="preserve"> ADDIN EN.CITE &lt;EndNote&gt;&lt;Cite AuthorYear="1"&gt;&lt;Author&gt;Liao&lt;/Author&gt;&lt;Year&gt;2023&lt;/Year&gt;&lt;RecNum&gt;1721&lt;/RecNum&gt;&lt;DisplayText&gt;Liao et al. (2023)&lt;/DisplayText&gt;&lt;record&gt;&lt;rec-number&gt;1721&lt;/rec-number&gt;&lt;foreign-keys&gt;&lt;key app="EN" db-id="vxw0ffesn9zzt0ewpdx5r5a3fpw92aep9re9" timestamp="1721903796" guid="bd31dbb4-0201-4882-b1ad-72951f8f301d"&gt;1721&lt;/key&gt;&lt;/foreign-keys&gt;&lt;ref-type name="Journal Article"&gt;17&lt;/ref-type&gt;&lt;contributors&gt;&lt;authors&gt;&lt;author&gt;Liao, Longhui&lt;/author&gt;&lt;author&gt;Yang, Chuan&lt;/author&gt;&lt;author&gt;Quan, Lirong&lt;/author&gt;&lt;/authors&gt;&lt;/contributors&gt;&lt;titles&gt;&lt;title&gt;Construction supply chain management: A systematic literature review and future development&lt;/title&gt;&lt;secondary-title&gt;Journal of Cleaner Production&lt;/secondary-title&gt;&lt;/titles&gt;&lt;periodical&gt;&lt;full-title&gt;Journal of Cleaner Production&lt;/full-title&gt;&lt;/periodical&gt;&lt;pages&gt;135230&lt;/pages&gt;&lt;volume&gt;382&lt;/volume&gt;&lt;keywords&gt;&lt;keyword&gt;Construction industrialization&lt;/keyword&gt;&lt;keyword&gt;Construction supply chain&lt;/keyword&gt;&lt;keyword&gt;Construction supply chain resilience&lt;/keyword&gt;&lt;keyword&gt;Systematic literature review&lt;/keyword&gt;&lt;/keywords&gt;&lt;dates&gt;&lt;year&gt;2023&lt;/year&gt;&lt;pub-dates&gt;&lt;date&gt;2023/01/01/&lt;/date&gt;&lt;/pub-dates&gt;&lt;/dates&gt;&lt;isbn&gt;0959-6526&lt;/isbn&gt;&lt;urls&gt;&lt;related-urls&gt;&lt;url&gt;https://www.sciencedirect.com/science/article/pii/S0959652622048041&lt;/url&gt;&lt;/related-urls&gt;&lt;/urls&gt;&lt;electronic-resource-num&gt;https://doi.org/10.1016/j.jclepro.2022.135230&lt;/electronic-resource-num&gt;&lt;/record&gt;&lt;/Cite&gt;&lt;/EndNote&gt;</w:instrText>
      </w:r>
      <w:r w:rsidR="009D6391" w:rsidRPr="007F23AD">
        <w:rPr>
          <w:rFonts w:ascii="Calibri" w:hAnsi="Calibri" w:cs="Calibri"/>
          <w:color w:val="000000" w:themeColor="text1"/>
          <w:sz w:val="22"/>
          <w:szCs w:val="22"/>
          <w:lang w:val="en-GB"/>
        </w:rPr>
        <w:fldChar w:fldCharType="separate"/>
      </w:r>
      <w:r w:rsidR="009D6391" w:rsidRPr="007F23AD">
        <w:rPr>
          <w:rFonts w:ascii="Calibri" w:hAnsi="Calibri" w:cs="Calibri"/>
          <w:noProof/>
          <w:color w:val="000000" w:themeColor="text1"/>
          <w:sz w:val="22"/>
          <w:szCs w:val="22"/>
          <w:lang w:val="en-GB"/>
        </w:rPr>
        <w:t>Liao et al. (2023)</w:t>
      </w:r>
      <w:r w:rsidR="009D6391" w:rsidRPr="007F23AD">
        <w:rPr>
          <w:rFonts w:ascii="Calibri" w:hAnsi="Calibri" w:cs="Calibri"/>
          <w:color w:val="000000" w:themeColor="text1"/>
          <w:sz w:val="22"/>
          <w:szCs w:val="22"/>
          <w:lang w:val="en-GB"/>
        </w:rPr>
        <w:fldChar w:fldCharType="end"/>
      </w:r>
      <w:r w:rsidR="009D6391" w:rsidRPr="007F23AD">
        <w:rPr>
          <w:rFonts w:ascii="Calibri" w:hAnsi="Calibri" w:cs="Calibri" w:hint="eastAsia"/>
          <w:color w:val="000000" w:themeColor="text1"/>
          <w:sz w:val="22"/>
          <w:szCs w:val="22"/>
          <w:lang w:val="en-GB"/>
        </w:rPr>
        <w:t xml:space="preserve"> </w:t>
      </w:r>
      <w:r w:rsidR="00775FB5" w:rsidRPr="007F23AD">
        <w:rPr>
          <w:rFonts w:ascii="Calibri" w:hAnsi="Calibri" w:cs="Calibri"/>
          <w:color w:val="000000" w:themeColor="text1"/>
          <w:sz w:val="22"/>
          <w:szCs w:val="22"/>
          <w:lang w:val="en-GB"/>
        </w:rPr>
        <w:t>found that construction supply chain resilience plays an important role in ensuring the stability of the construction supply chain in uncertain environments by quantitatively analysing 465 related articles. Their study focused more on methodological aspects and did not break down the risk factors in the construction industry.</w:t>
      </w:r>
      <w:r w:rsidR="00775FB5" w:rsidRPr="007F23AD">
        <w:rPr>
          <w:rFonts w:ascii="Calibri" w:hAnsi="Calibri" w:cs="Calibri" w:hint="eastAsia"/>
          <w:color w:val="000000" w:themeColor="text1"/>
          <w:sz w:val="22"/>
          <w:szCs w:val="22"/>
          <w:lang w:val="en-GB"/>
        </w:rPr>
        <w:t xml:space="preserve"> </w:t>
      </w:r>
      <w:r w:rsidR="00706824" w:rsidRPr="007F23AD">
        <w:rPr>
          <w:rFonts w:ascii="Calibri" w:hAnsi="Calibri" w:cs="Calibri"/>
          <w:color w:val="000000" w:themeColor="text1"/>
          <w:sz w:val="22"/>
          <w:szCs w:val="22"/>
          <w:lang w:val="en-GB"/>
        </w:rPr>
        <w:fldChar w:fldCharType="begin"/>
      </w:r>
      <w:r w:rsidR="00D55F18" w:rsidRPr="007F23AD">
        <w:rPr>
          <w:rFonts w:ascii="Calibri" w:hAnsi="Calibri" w:cs="Calibri"/>
          <w:color w:val="000000" w:themeColor="text1"/>
          <w:sz w:val="22"/>
          <w:szCs w:val="22"/>
          <w:lang w:val="en-GB"/>
        </w:rPr>
        <w:instrText xml:space="preserve"> ADDIN EN.CITE &lt;EndNote&gt;&lt;Cite AuthorYear="1"&gt;&lt;Author&gt;Aloini&lt;/Author&gt;&lt;Year&gt;2012&lt;/Year&gt;&lt;RecNum&gt;281&lt;/RecNum&gt;&lt;DisplayText&gt;Aloini et al. (2012)&lt;/DisplayText&gt;&lt;record&gt;&lt;rec-number&gt;10&lt;/rec-number&gt;&lt;foreign-keys&gt;&lt;key app="EN" db-id="pzdwvt0zxepzzqe2zdmp5zajvd0tv5sdtt2w" timestamp="1701253332"&gt;10&lt;/key&gt;&lt;/foreign-keys&gt;&lt;ref-type name="Journal Article"&gt;17&lt;/ref-type&gt;&lt;contributors&gt;&lt;authors&gt;&lt;author&gt;Aloini, Davide&lt;/author&gt;&lt;author&gt;Dulmin, Riccardo&lt;/author&gt;&lt;author&gt;Mininno, Valeria&lt;/author&gt;&lt;author&gt;Ponticelli, Simone&lt;/author&gt;&lt;/authors&gt;&lt;/contributors&gt;&lt;titles&gt;&lt;title&gt;Supply chain management: a review of implementation risks in the construction industry&lt;/title&gt;&lt;secondary-title&gt;Business Process Management Journal&lt;/secondary-title&gt;&lt;/titles&gt;&lt;periodical&gt;&lt;full-title&gt;Business Process Management Journal&lt;/full-title&gt;&lt;/periodical&gt;&lt;pages&gt;735-761&lt;/pages&gt;&lt;volume&gt;18&lt;/volume&gt;&lt;number&gt;5&lt;/number&gt;&lt;section&gt;735&lt;/section&gt;&lt;dates&gt;&lt;year&gt;2012&lt;/year&gt;&lt;/dates&gt;&lt;isbn&gt;1463-7154&lt;/isbn&gt;&lt;work-type&gt;Article&lt;/work-type&gt;&lt;urls&gt;&lt;related-urls&gt;&lt;url&gt;https://www.scopus.com/inward/record.uri?eid=2-s2.0-84865800342&amp;amp;doi=10.1108%2f14637151211270135&amp;amp;partnerID=40&amp;amp;md5=21429b668be5e326b49bb2d127ec1dd5&lt;/url&gt;&lt;/related-urls&gt;&lt;/urls&gt;&lt;electronic-resource-num&gt;10.1108/14637151211270135&lt;/electronic-resource-num&gt;&lt;remote-database-name&gt;Scopus&lt;/remote-database-name&gt;&lt;/record&gt;&lt;/Cite&gt;&lt;/EndNote&gt;</w:instrText>
      </w:r>
      <w:r w:rsidR="00706824" w:rsidRPr="007F23AD">
        <w:rPr>
          <w:rFonts w:ascii="Calibri" w:hAnsi="Calibri" w:cs="Calibri"/>
          <w:color w:val="000000" w:themeColor="text1"/>
          <w:sz w:val="22"/>
          <w:szCs w:val="22"/>
          <w:lang w:val="en-GB"/>
        </w:rPr>
        <w:fldChar w:fldCharType="separate"/>
      </w:r>
      <w:r w:rsidR="00706824" w:rsidRPr="007F23AD">
        <w:rPr>
          <w:rFonts w:ascii="Calibri" w:hAnsi="Calibri" w:cs="Calibri"/>
          <w:color w:val="000000" w:themeColor="text1"/>
          <w:sz w:val="22"/>
          <w:szCs w:val="22"/>
          <w:lang w:val="en-GB"/>
        </w:rPr>
        <w:t>Aloini et al. (2012)</w:t>
      </w:r>
      <w:r w:rsidR="00706824" w:rsidRPr="007F23AD">
        <w:rPr>
          <w:rFonts w:ascii="Calibri" w:hAnsi="Calibri" w:cs="Calibri"/>
          <w:color w:val="000000" w:themeColor="text1"/>
          <w:sz w:val="22"/>
          <w:szCs w:val="22"/>
          <w:lang w:val="en-GB"/>
        </w:rPr>
        <w:fldChar w:fldCharType="end"/>
      </w:r>
      <w:r w:rsidR="00706824" w:rsidRPr="007F23AD">
        <w:rPr>
          <w:rFonts w:ascii="Calibri" w:hAnsi="Calibri" w:cs="Calibri"/>
          <w:color w:val="000000" w:themeColor="text1"/>
          <w:sz w:val="22"/>
          <w:szCs w:val="22"/>
          <w:lang w:val="en-GB"/>
        </w:rPr>
        <w:t xml:space="preserve"> </w:t>
      </w:r>
      <w:r w:rsidR="00EE43CC" w:rsidRPr="007F23AD">
        <w:rPr>
          <w:rFonts w:ascii="Calibri" w:hAnsi="Calibri" w:cs="Calibri"/>
          <w:color w:val="000000" w:themeColor="text1"/>
          <w:sz w:val="22"/>
          <w:szCs w:val="22"/>
          <w:lang w:val="en-GB"/>
        </w:rPr>
        <w:t xml:space="preserve">investigates the risk factors affecting the implementation of </w:t>
      </w:r>
      <w:r w:rsidR="002A6D55" w:rsidRPr="007F23AD">
        <w:rPr>
          <w:rFonts w:ascii="Calibri" w:hAnsi="Calibri" w:cs="Calibri"/>
          <w:color w:val="000000" w:themeColor="text1"/>
          <w:sz w:val="22"/>
          <w:szCs w:val="22"/>
          <w:lang w:val="en-GB"/>
        </w:rPr>
        <w:t>s</w:t>
      </w:r>
      <w:r w:rsidR="00EE43CC" w:rsidRPr="007F23AD">
        <w:rPr>
          <w:rFonts w:ascii="Calibri" w:hAnsi="Calibri" w:cs="Calibri"/>
          <w:color w:val="000000" w:themeColor="text1"/>
          <w:sz w:val="22"/>
          <w:szCs w:val="22"/>
          <w:lang w:val="en-GB"/>
        </w:rPr>
        <w:t xml:space="preserve">upply </w:t>
      </w:r>
      <w:r w:rsidR="002A6D55" w:rsidRPr="007F23AD">
        <w:rPr>
          <w:rFonts w:ascii="Calibri" w:hAnsi="Calibri" w:cs="Calibri"/>
          <w:color w:val="000000" w:themeColor="text1"/>
          <w:sz w:val="22"/>
          <w:szCs w:val="22"/>
          <w:lang w:val="en-GB"/>
        </w:rPr>
        <w:t>c</w:t>
      </w:r>
      <w:r w:rsidR="00EE43CC" w:rsidRPr="007F23AD">
        <w:rPr>
          <w:rFonts w:ascii="Calibri" w:hAnsi="Calibri" w:cs="Calibri"/>
          <w:color w:val="000000" w:themeColor="text1"/>
          <w:sz w:val="22"/>
          <w:szCs w:val="22"/>
          <w:lang w:val="en-GB"/>
        </w:rPr>
        <w:t xml:space="preserve">hain </w:t>
      </w:r>
      <w:r w:rsidR="002A6D55" w:rsidRPr="007F23AD">
        <w:rPr>
          <w:rFonts w:ascii="Calibri" w:hAnsi="Calibri" w:cs="Calibri"/>
          <w:color w:val="000000" w:themeColor="text1"/>
          <w:sz w:val="22"/>
          <w:szCs w:val="22"/>
          <w:lang w:val="en-GB"/>
        </w:rPr>
        <w:t>m</w:t>
      </w:r>
      <w:r w:rsidR="00EE43CC" w:rsidRPr="007F23AD">
        <w:rPr>
          <w:rFonts w:ascii="Calibri" w:hAnsi="Calibri" w:cs="Calibri"/>
          <w:color w:val="000000" w:themeColor="text1"/>
          <w:sz w:val="22"/>
          <w:szCs w:val="22"/>
          <w:lang w:val="en-GB"/>
        </w:rPr>
        <w:t>anagement principles but does not fully consider all aspects of supply chain management</w:t>
      </w:r>
      <w:r w:rsidR="006C7BCC" w:rsidRPr="007F23AD">
        <w:rPr>
          <w:rFonts w:ascii="Calibri" w:hAnsi="Calibri" w:cs="Calibri"/>
          <w:color w:val="000000" w:themeColor="text1"/>
          <w:sz w:val="22"/>
          <w:szCs w:val="22"/>
          <w:lang w:val="en-GB"/>
        </w:rPr>
        <w:t xml:space="preserve"> </w:t>
      </w:r>
      <w:r w:rsidR="00963E0C" w:rsidRPr="007F23AD">
        <w:rPr>
          <w:rFonts w:ascii="Calibri" w:hAnsi="Calibri" w:cs="Calibri"/>
          <w:color w:val="000000" w:themeColor="text1"/>
          <w:sz w:val="22"/>
          <w:szCs w:val="22"/>
          <w:lang w:val="en-GB"/>
        </w:rPr>
        <w:t>such</w:t>
      </w:r>
      <w:r w:rsidR="006C7BCC" w:rsidRPr="007F23AD">
        <w:rPr>
          <w:rFonts w:ascii="Calibri" w:hAnsi="Calibri" w:cs="Calibri"/>
          <w:color w:val="000000" w:themeColor="text1"/>
          <w:sz w:val="22"/>
          <w:szCs w:val="22"/>
        </w:rPr>
        <w:t xml:space="preserve"> as </w:t>
      </w:r>
      <w:r w:rsidR="00C07933" w:rsidRPr="007F23AD">
        <w:rPr>
          <w:rFonts w:ascii="Calibri" w:hAnsi="Calibri" w:cs="Calibri"/>
          <w:color w:val="000000" w:themeColor="text1"/>
          <w:sz w:val="22"/>
          <w:szCs w:val="22"/>
        </w:rPr>
        <w:t xml:space="preserve">new technology and </w:t>
      </w:r>
      <w:r w:rsidR="0074736B" w:rsidRPr="007F23AD">
        <w:rPr>
          <w:rFonts w:ascii="Calibri" w:hAnsi="Calibri" w:cs="Calibri"/>
          <w:color w:val="000000" w:themeColor="text1"/>
          <w:sz w:val="22"/>
          <w:szCs w:val="22"/>
        </w:rPr>
        <w:t>safety</w:t>
      </w:r>
      <w:r w:rsidR="00CC788E" w:rsidRPr="007F23AD">
        <w:rPr>
          <w:rFonts w:ascii="Calibri" w:hAnsi="Calibri" w:cs="Calibri"/>
          <w:color w:val="000000" w:themeColor="text1"/>
          <w:sz w:val="22"/>
          <w:szCs w:val="22"/>
        </w:rPr>
        <w:t xml:space="preserve"> perspectives</w:t>
      </w:r>
      <w:r w:rsidR="00EE43CC" w:rsidRPr="007F23AD">
        <w:rPr>
          <w:rFonts w:ascii="Calibri" w:hAnsi="Calibri" w:cs="Calibri"/>
          <w:color w:val="000000" w:themeColor="text1"/>
          <w:sz w:val="22"/>
          <w:szCs w:val="22"/>
          <w:lang w:val="en-GB"/>
        </w:rPr>
        <w:t xml:space="preserve">. </w:t>
      </w:r>
      <w:r w:rsidR="00C332B5" w:rsidRPr="007F23AD">
        <w:rPr>
          <w:rFonts w:ascii="Calibri" w:hAnsi="Calibri" w:cs="Calibri"/>
          <w:color w:val="000000" w:themeColor="text1"/>
          <w:sz w:val="22"/>
          <w:szCs w:val="22"/>
          <w:lang w:val="en-GB"/>
        </w:rPr>
        <w:t xml:space="preserve">Work by </w:t>
      </w:r>
      <w:r w:rsidR="00D07025" w:rsidRPr="007F23AD">
        <w:rPr>
          <w:rFonts w:ascii="Calibri" w:hAnsi="Calibri" w:cs="Calibri"/>
          <w:color w:val="000000" w:themeColor="text1"/>
          <w:sz w:val="22"/>
          <w:szCs w:val="22"/>
          <w:lang w:val="en-GB"/>
        </w:rPr>
        <w:fldChar w:fldCharType="begin"/>
      </w:r>
      <w:r w:rsidR="00726588" w:rsidRPr="007F23AD">
        <w:rPr>
          <w:rFonts w:ascii="Calibri" w:hAnsi="Calibri" w:cs="Calibri"/>
          <w:color w:val="000000" w:themeColor="text1"/>
          <w:sz w:val="22"/>
          <w:szCs w:val="22"/>
          <w:lang w:val="en-GB"/>
        </w:rPr>
        <w:instrText xml:space="preserve"> ADDIN EN.CITE &lt;EndNote&gt;&lt;Cite AuthorYear="1"&gt;&lt;Author&gt;Pham&lt;/Author&gt;&lt;Year&gt;2022&lt;/Year&gt;&lt;RecNum&gt;54&lt;/RecNum&gt;&lt;DisplayText&gt;Pham et al. (2022)&lt;/DisplayText&gt;&lt;record&gt;&lt;rec-number&gt;54&lt;/rec-number&gt;&lt;foreign-keys&gt;&lt;key app="EN" db-id="vxw0ffesn9zzt0ewpdx5r5a3fpw92aep9re9" timestamp="1683536773" guid="41b516c1-e64c-4468-9b89-dd6e88d80716"&gt;54&lt;/key&gt;&lt;/foreign-keys&gt;&lt;ref-type name="Journal Article"&gt;17&lt;/ref-type&gt;&lt;contributors&gt;&lt;authors&gt;&lt;author&gt;Pham, Hai Thanh&lt;/author&gt;&lt;author&gt;Pham, Tho&lt;/author&gt;&lt;author&gt;Truong Quang, Huy&lt;/author&gt;&lt;author&gt;Dang, Chau Ngoc&lt;/author&gt;&lt;/authors&gt;&lt;/contributors&gt;&lt;titles&gt;&lt;title&gt;Supply chain risk management research in construction: a systematic review&lt;/title&gt;&lt;secondary-title&gt;International Journal of Construction Management&lt;/secondary-title&gt;&lt;/titles&gt;&lt;periodical&gt;&lt;full-title&gt;International Journal of Construction Management&lt;/full-title&gt;&lt;/periodical&gt;&lt;pages&gt;1-11&lt;/pages&gt;&lt;dates&gt;&lt;year&gt;2022&lt;/year&gt;&lt;/dates&gt;&lt;publisher&gt;Taylor &amp;amp; Francis&lt;/publisher&gt;&lt;isbn&gt;1562-3599&lt;/isbn&gt;&lt;urls&gt;&lt;related-urls&gt;&lt;url&gt;https://doi.org/10.1080/15623599.2022.2029677&lt;/url&gt;&lt;/related-urls&gt;&lt;/urls&gt;&lt;electronic-resource-num&gt;10.1080/15623599.2022.2029677&lt;/electronic-resource-num&gt;&lt;/record&gt;&lt;/Cite&gt;&lt;/EndNote&gt;</w:instrText>
      </w:r>
      <w:r w:rsidR="00D07025" w:rsidRPr="007F23AD">
        <w:rPr>
          <w:rFonts w:ascii="Calibri" w:hAnsi="Calibri" w:cs="Calibri"/>
          <w:color w:val="000000" w:themeColor="text1"/>
          <w:sz w:val="22"/>
          <w:szCs w:val="22"/>
          <w:lang w:val="en-GB"/>
        </w:rPr>
        <w:fldChar w:fldCharType="separate"/>
      </w:r>
      <w:r w:rsidR="00726588" w:rsidRPr="007F23AD">
        <w:rPr>
          <w:rFonts w:ascii="Calibri" w:hAnsi="Calibri" w:cs="Calibri"/>
          <w:noProof/>
          <w:color w:val="000000" w:themeColor="text1"/>
          <w:sz w:val="22"/>
          <w:szCs w:val="22"/>
          <w:lang w:val="en-GB"/>
        </w:rPr>
        <w:t>Pham et al. (2022)</w:t>
      </w:r>
      <w:r w:rsidR="00D07025" w:rsidRPr="007F23AD">
        <w:rPr>
          <w:rFonts w:ascii="Calibri" w:hAnsi="Calibri" w:cs="Calibri"/>
          <w:color w:val="000000" w:themeColor="text1"/>
          <w:sz w:val="22"/>
          <w:szCs w:val="22"/>
          <w:lang w:val="en-GB"/>
        </w:rPr>
        <w:fldChar w:fldCharType="end"/>
      </w:r>
      <w:r w:rsidR="00D07025" w:rsidRPr="007F23AD">
        <w:rPr>
          <w:rFonts w:ascii="Calibri" w:hAnsi="Calibri" w:cs="Calibri"/>
          <w:color w:val="000000" w:themeColor="text1"/>
          <w:sz w:val="22"/>
          <w:szCs w:val="22"/>
          <w:lang w:val="en-GB"/>
        </w:rPr>
        <w:t xml:space="preserve"> </w:t>
      </w:r>
      <w:r w:rsidR="00EE43CC" w:rsidRPr="007F23AD">
        <w:rPr>
          <w:rFonts w:ascii="Calibri" w:hAnsi="Calibri" w:cs="Calibri"/>
          <w:color w:val="000000" w:themeColor="text1"/>
          <w:sz w:val="22"/>
          <w:szCs w:val="22"/>
          <w:lang w:val="en-GB"/>
        </w:rPr>
        <w:t>ha</w:t>
      </w:r>
      <w:r w:rsidR="00C332B5" w:rsidRPr="007F23AD">
        <w:rPr>
          <w:rFonts w:ascii="Calibri" w:hAnsi="Calibri" w:cs="Calibri"/>
          <w:color w:val="000000" w:themeColor="text1"/>
          <w:sz w:val="22"/>
          <w:szCs w:val="22"/>
          <w:lang w:val="en-GB"/>
        </w:rPr>
        <w:t>s</w:t>
      </w:r>
      <w:r w:rsidR="00EE43CC" w:rsidRPr="007F23AD">
        <w:rPr>
          <w:rFonts w:ascii="Calibri" w:hAnsi="Calibri" w:cs="Calibri"/>
          <w:color w:val="000000" w:themeColor="text1"/>
          <w:sz w:val="22"/>
          <w:szCs w:val="22"/>
          <w:lang w:val="en-GB"/>
        </w:rPr>
        <w:t xml:space="preserve"> conducted an extensive review of construction supply chain risk</w:t>
      </w:r>
      <w:r w:rsidR="47BCDE00" w:rsidRPr="007F23AD">
        <w:rPr>
          <w:rFonts w:ascii="Calibri" w:hAnsi="Calibri" w:cs="Calibri"/>
          <w:color w:val="000000" w:themeColor="text1"/>
          <w:sz w:val="22"/>
          <w:szCs w:val="22"/>
          <w:lang w:val="en-GB"/>
        </w:rPr>
        <w:t>,</w:t>
      </w:r>
      <w:r w:rsidR="00EE43CC" w:rsidRPr="007F23AD">
        <w:rPr>
          <w:rFonts w:ascii="Calibri" w:hAnsi="Calibri" w:cs="Calibri"/>
          <w:color w:val="000000" w:themeColor="text1"/>
          <w:sz w:val="22"/>
          <w:szCs w:val="22"/>
          <w:lang w:val="en-GB"/>
        </w:rPr>
        <w:t xml:space="preserve"> but do not </w:t>
      </w:r>
      <w:r w:rsidR="25E88D77" w:rsidRPr="007F23AD">
        <w:rPr>
          <w:rFonts w:ascii="Calibri" w:hAnsi="Calibri" w:cs="Calibri"/>
          <w:color w:val="000000" w:themeColor="text1"/>
          <w:sz w:val="22"/>
          <w:szCs w:val="22"/>
          <w:lang w:val="en-GB"/>
        </w:rPr>
        <w:t>fully address</w:t>
      </w:r>
      <w:r w:rsidR="00EE43CC" w:rsidRPr="007F23AD">
        <w:rPr>
          <w:rFonts w:ascii="Calibri" w:hAnsi="Calibri" w:cs="Calibri"/>
          <w:color w:val="000000" w:themeColor="text1"/>
          <w:sz w:val="22"/>
          <w:szCs w:val="22"/>
          <w:lang w:val="en-GB"/>
        </w:rPr>
        <w:t xml:space="preserve"> SMEs. </w:t>
      </w:r>
      <w:r w:rsidR="00A03737" w:rsidRPr="007F23AD">
        <w:rPr>
          <w:rFonts w:ascii="Calibri" w:hAnsi="Calibri" w:cs="Calibri"/>
          <w:color w:val="000000" w:themeColor="text1"/>
          <w:sz w:val="22"/>
          <w:szCs w:val="22"/>
          <w:lang w:val="en-GB"/>
        </w:rPr>
        <w:t xml:space="preserve">Also, </w:t>
      </w:r>
      <w:r w:rsidR="00757E39" w:rsidRPr="007F23AD">
        <w:rPr>
          <w:rFonts w:ascii="Calibri" w:hAnsi="Calibri" w:cs="Calibri"/>
          <w:color w:val="000000" w:themeColor="text1"/>
          <w:sz w:val="22"/>
          <w:szCs w:val="22"/>
          <w:lang w:val="en-GB"/>
        </w:rPr>
        <w:fldChar w:fldCharType="begin"/>
      </w:r>
      <w:r w:rsidR="002C7067" w:rsidRPr="007F23AD">
        <w:rPr>
          <w:rFonts w:ascii="Calibri" w:hAnsi="Calibri" w:cs="Calibri"/>
          <w:color w:val="000000" w:themeColor="text1"/>
          <w:sz w:val="22"/>
          <w:szCs w:val="22"/>
          <w:lang w:val="en-GB"/>
        </w:rPr>
        <w:instrText xml:space="preserve"> ADDIN EN.CITE &lt;EndNote&gt;&lt;Cite AuthorYear="1"&gt;&lt;Author&gt;Fan&lt;/Author&gt;&lt;Year&gt;2018&lt;/Year&gt;&lt;RecNum&gt;224&lt;/RecNum&gt;&lt;DisplayText&gt;Fan and Stevenson (2018)&lt;/DisplayText&gt;&lt;record&gt;&lt;rec-number&gt;224&lt;/rec-number&gt;&lt;foreign-keys&gt;&lt;key app="EN" db-id="vxw0ffesn9zzt0ewpdx5r5a3fpw92aep9re9" timestamp="1683537551" guid="f3c962e1-7117-4dd8-a999-a884d16781ac"&gt;224&lt;/key&gt;&lt;/foreign-keys&gt;&lt;ref-type name="Journal Article"&gt;17&lt;/ref-type&gt;&lt;contributors&gt;&lt;authors&gt;&lt;author&gt;Fan, Y. Y.&lt;/author&gt;&lt;author&gt;Stevenson, M.&lt;/author&gt;&lt;/authors&gt;&lt;/contributors&gt;&lt;auth-address&gt;Univ Lancaster, Sch Management, Dept Management Sci, Lancaster, England&lt;/auth-address&gt;&lt;titles&gt;&lt;title&gt;A review of supply chain risk management: definition, theory, and research agenda&lt;/title&gt;&lt;secondary-title&gt;International Journal of Physical Distribution &amp;amp; Logistics Management&lt;/secondary-title&gt;&lt;alt-title&gt;Int J Phys Distr Log&lt;/alt-title&gt;&lt;/titles&gt;&lt;periodical&gt;&lt;full-title&gt;International Journal of Physical Distribution &amp;amp; Logistics Management&lt;/full-title&gt;&lt;/periodical&gt;&lt;pages&gt;205-230&lt;/pages&gt;&lt;volume&gt;48&lt;/volume&gt;&lt;number&gt;3&lt;/number&gt;&lt;section&gt;205&lt;/section&gt;&lt;keywords&gt;&lt;keyword&gt;supply chain risk&lt;/keyword&gt;&lt;keyword&gt;theory&lt;/keyword&gt;&lt;keyword&gt;risk management&lt;/keyword&gt;&lt;keyword&gt;supply chain risk management (scrm)&lt;/keyword&gt;&lt;keyword&gt;systematic literature review (slr)&lt;/keyword&gt;&lt;keyword&gt;disruption risk&lt;/keyword&gt;&lt;keyword&gt;model development&lt;/keyword&gt;&lt;keyword&gt;decision-making&lt;/keyword&gt;&lt;keyword&gt;product design&lt;/keyword&gt;&lt;keyword&gt;retail chains&lt;/keyword&gt;&lt;keyword&gt;mitigation&lt;/keyword&gt;&lt;keyword&gt;knowledge&lt;/keyword&gt;&lt;keyword&gt;methodology&lt;/keyword&gt;&lt;keyword&gt;strategies&lt;/keyword&gt;&lt;keyword&gt;framework&lt;/keyword&gt;&lt;/keywords&gt;&lt;dates&gt;&lt;year&gt;2018&lt;/year&gt;&lt;/dates&gt;&lt;isbn&gt;0960-0035&lt;/isbn&gt;&lt;accession-num&gt;WOS:000428168900002&lt;/accession-num&gt;&lt;work-type&gt;Review&lt;/work-type&gt;&lt;urls&gt;&lt;related-urls&gt;&lt;url&gt;&amp;lt;Go to ISI&amp;gt;://WOS:000428168900002&lt;/url&gt;&lt;/related-urls&gt;&lt;/urls&gt;&lt;electronic-resource-num&gt;10.1108/Ijpdlm-01-2017-0043&lt;/electronic-resource-num&gt;&lt;remote-database-name&gt;Scopus&lt;/remote-database-name&gt;&lt;language&gt;English&lt;/language&gt;&lt;/record&gt;&lt;/Cite&gt;&lt;/EndNote&gt;</w:instrText>
      </w:r>
      <w:r w:rsidR="00757E39" w:rsidRPr="007F23AD">
        <w:rPr>
          <w:rFonts w:ascii="Calibri" w:hAnsi="Calibri" w:cs="Calibri"/>
          <w:color w:val="000000" w:themeColor="text1"/>
          <w:sz w:val="22"/>
          <w:szCs w:val="22"/>
          <w:lang w:val="en-GB"/>
        </w:rPr>
        <w:fldChar w:fldCharType="separate"/>
      </w:r>
      <w:r w:rsidR="002C7067" w:rsidRPr="007F23AD">
        <w:rPr>
          <w:rFonts w:ascii="Calibri" w:hAnsi="Calibri" w:cs="Calibri"/>
          <w:noProof/>
          <w:color w:val="000000" w:themeColor="text1"/>
          <w:sz w:val="22"/>
          <w:szCs w:val="22"/>
          <w:lang w:val="en-GB"/>
        </w:rPr>
        <w:t>Fan and Stevenson (2018)</w:t>
      </w:r>
      <w:r w:rsidR="00757E39" w:rsidRPr="007F23AD">
        <w:rPr>
          <w:rFonts w:ascii="Calibri" w:hAnsi="Calibri" w:cs="Calibri"/>
          <w:color w:val="000000" w:themeColor="text1"/>
          <w:sz w:val="22"/>
          <w:szCs w:val="22"/>
          <w:lang w:val="en-GB"/>
        </w:rPr>
        <w:fldChar w:fldCharType="end"/>
      </w:r>
      <w:r w:rsidR="00757E39" w:rsidRPr="007F23AD">
        <w:rPr>
          <w:rFonts w:ascii="Calibri" w:hAnsi="Calibri" w:cs="Calibri"/>
          <w:color w:val="000000" w:themeColor="text1"/>
          <w:sz w:val="22"/>
          <w:szCs w:val="22"/>
          <w:lang w:val="en-GB"/>
        </w:rPr>
        <w:t xml:space="preserve"> </w:t>
      </w:r>
      <w:r w:rsidR="00EE43CC" w:rsidRPr="007F23AD">
        <w:rPr>
          <w:rFonts w:ascii="Calibri" w:hAnsi="Calibri" w:cs="Calibri"/>
          <w:color w:val="000000" w:themeColor="text1"/>
          <w:sz w:val="22"/>
          <w:szCs w:val="22"/>
          <w:lang w:val="en-GB"/>
        </w:rPr>
        <w:t>review</w:t>
      </w:r>
      <w:r w:rsidR="00A13C92" w:rsidRPr="007F23AD">
        <w:rPr>
          <w:rFonts w:ascii="Calibri" w:hAnsi="Calibri" w:cs="Calibri"/>
          <w:color w:val="000000" w:themeColor="text1"/>
          <w:sz w:val="22"/>
          <w:szCs w:val="22"/>
          <w:lang w:val="en-GB"/>
        </w:rPr>
        <w:t>ed</w:t>
      </w:r>
      <w:r w:rsidR="00EE43CC" w:rsidRPr="007F23AD">
        <w:rPr>
          <w:rFonts w:ascii="Calibri" w:hAnsi="Calibri" w:cs="Calibri"/>
          <w:color w:val="000000" w:themeColor="text1"/>
          <w:sz w:val="22"/>
          <w:szCs w:val="22"/>
          <w:lang w:val="en-GB"/>
        </w:rPr>
        <w:t xml:space="preserve"> supply chain risk </w:t>
      </w:r>
      <w:r w:rsidR="00FD6724" w:rsidRPr="007F23AD">
        <w:rPr>
          <w:rFonts w:ascii="Calibri" w:hAnsi="Calibri" w:cs="Calibri"/>
          <w:color w:val="000000" w:themeColor="text1"/>
          <w:sz w:val="22"/>
          <w:szCs w:val="22"/>
          <w:lang w:val="en-GB"/>
        </w:rPr>
        <w:t>management but</w:t>
      </w:r>
      <w:r w:rsidR="00EE43CC" w:rsidRPr="007F23AD">
        <w:rPr>
          <w:rFonts w:ascii="Calibri" w:hAnsi="Calibri" w:cs="Calibri"/>
          <w:color w:val="000000" w:themeColor="text1"/>
          <w:sz w:val="22"/>
          <w:szCs w:val="22"/>
          <w:lang w:val="en-GB"/>
        </w:rPr>
        <w:t xml:space="preserve"> does not specifically address its application in the construction sector.</w:t>
      </w:r>
      <w:r w:rsidR="00CF23CB" w:rsidRPr="007F23AD">
        <w:rPr>
          <w:rFonts w:ascii="Calibri" w:hAnsi="Calibri" w:cs="Calibri"/>
          <w:color w:val="000000" w:themeColor="text1"/>
          <w:sz w:val="22"/>
          <w:szCs w:val="22"/>
          <w:lang w:val="en-GB"/>
        </w:rPr>
        <w:t xml:space="preserve"> </w:t>
      </w:r>
      <w:r w:rsidR="00CB7B35" w:rsidRPr="007F23AD">
        <w:rPr>
          <w:rFonts w:ascii="Calibri" w:hAnsi="Calibri" w:cs="Calibri"/>
          <w:color w:val="000000" w:themeColor="text1"/>
          <w:sz w:val="22"/>
          <w:szCs w:val="22"/>
          <w:lang w:val="en-GB"/>
        </w:rPr>
        <w:t xml:space="preserve">Hence, there is a pressing need for both conceptual and empirical research in this complex and under-explored area. Comprehensive studies are crucial to facilitate a swift and thorough </w:t>
      </w:r>
      <w:r w:rsidR="00CB7B35" w:rsidRPr="007F23AD">
        <w:rPr>
          <w:rFonts w:ascii="Calibri" w:hAnsi="Calibri" w:cs="Calibri"/>
          <w:color w:val="000000" w:themeColor="text1"/>
          <w:sz w:val="22"/>
          <w:szCs w:val="22"/>
          <w:lang w:val="en-GB"/>
        </w:rPr>
        <w:lastRenderedPageBreak/>
        <w:t>recovery and to return the field to its desired state of understanding and efficiency</w:t>
      </w:r>
      <w:r w:rsidR="0014132D" w:rsidRPr="007F23AD">
        <w:rPr>
          <w:rFonts w:ascii="Calibri" w:hAnsi="Calibri" w:cs="Calibri"/>
          <w:color w:val="000000" w:themeColor="text1"/>
          <w:sz w:val="22"/>
          <w:szCs w:val="22"/>
          <w:lang w:val="en-GB"/>
        </w:rPr>
        <w:t xml:space="preserve"> </w:t>
      </w:r>
      <w:r w:rsidR="005727DB" w:rsidRPr="007F23AD">
        <w:rPr>
          <w:rFonts w:ascii="Calibri" w:hAnsi="Calibri" w:cs="Calibri"/>
          <w:color w:val="000000" w:themeColor="text1"/>
          <w:sz w:val="22"/>
          <w:szCs w:val="22"/>
          <w:lang w:val="en-GB"/>
        </w:rPr>
        <w:fldChar w:fldCharType="begin"/>
      </w:r>
      <w:r w:rsidR="005727DB" w:rsidRPr="007F23AD">
        <w:rPr>
          <w:rFonts w:ascii="Calibri" w:hAnsi="Calibri" w:cs="Calibri"/>
          <w:color w:val="000000" w:themeColor="text1"/>
          <w:sz w:val="22"/>
          <w:szCs w:val="22"/>
          <w:lang w:val="en-GB"/>
        </w:rPr>
        <w:instrText xml:space="preserve"> ADDIN EN.CITE &lt;EndNote&gt;&lt;Cite&gt;&lt;Author&gt;Naim&lt;/Author&gt;&lt;Year&gt;2023&lt;/Year&gt;&lt;RecNum&gt;1458&lt;/RecNum&gt;&lt;DisplayText&gt;(Naim and Gosling 2023)&lt;/DisplayText&gt;&lt;record&gt;&lt;rec-number&gt;1458&lt;/rec-number&gt;&lt;foreign-keys&gt;&lt;key app="EN" db-id="vxw0ffesn9zzt0ewpdx5r5a3fpw92aep9re9" timestamp="1701253941" guid="3dc7b185-2eaf-4a79-90e4-1f708eba56b0"&gt;1458&lt;/key&gt;&lt;/foreign-keys&gt;&lt;ref-type name="Journal Article"&gt;17&lt;/ref-type&gt;&lt;contributors&gt;&lt;authors&gt;&lt;author&gt;Naim, Mohamed M.&lt;/author&gt;&lt;author&gt;Gosling, Jonathan&lt;/author&gt;&lt;/authors&gt;&lt;/contributors&gt;&lt;titles&gt;&lt;title&gt;Revisiting the whole systems approach: designing supply chains in a turbulent world&lt;/title&gt;&lt;secondary-title&gt;The International Journal of Logistics Management&lt;/secondary-title&gt;&lt;/titles&gt;&lt;periodical&gt;&lt;full-title&gt;The International Journal of Logistics Management&lt;/full-title&gt;&lt;/periodical&gt;&lt;pages&gt;5-33&lt;/pages&gt;&lt;volume&gt;34&lt;/volume&gt;&lt;number&gt;1&lt;/number&gt;&lt;dates&gt;&lt;year&gt;2023&lt;/year&gt;&lt;/dates&gt;&lt;publisher&gt;Emerald Publishing Limited&lt;/publisher&gt;&lt;isbn&gt;0957-4093&lt;/isbn&gt;&lt;urls&gt;&lt;related-urls&gt;&lt;url&gt;https://doi.org/10.1108/IJLM-02-2021-0121&lt;/url&gt;&lt;/related-urls&gt;&lt;/urls&gt;&lt;electronic-resource-num&gt;10.1108/IJLM-02-2021-0121&lt;/electronic-resource-num&gt;&lt;access-date&gt;2023/11/29&lt;/access-date&gt;&lt;/record&gt;&lt;/Cite&gt;&lt;/EndNote&gt;</w:instrText>
      </w:r>
      <w:r w:rsidR="005727DB" w:rsidRPr="007F23AD">
        <w:rPr>
          <w:rFonts w:ascii="Calibri" w:hAnsi="Calibri" w:cs="Calibri"/>
          <w:color w:val="000000" w:themeColor="text1"/>
          <w:sz w:val="22"/>
          <w:szCs w:val="22"/>
          <w:lang w:val="en-GB"/>
        </w:rPr>
        <w:fldChar w:fldCharType="separate"/>
      </w:r>
      <w:r w:rsidR="005727DB" w:rsidRPr="007F23AD">
        <w:rPr>
          <w:rFonts w:ascii="Calibri" w:hAnsi="Calibri" w:cs="Calibri"/>
          <w:noProof/>
          <w:color w:val="000000" w:themeColor="text1"/>
          <w:sz w:val="22"/>
          <w:szCs w:val="22"/>
          <w:lang w:val="en-GB"/>
        </w:rPr>
        <w:t>(Naim and Gosling 2023)</w:t>
      </w:r>
      <w:r w:rsidR="005727DB" w:rsidRPr="007F23AD">
        <w:rPr>
          <w:rFonts w:ascii="Calibri" w:hAnsi="Calibri" w:cs="Calibri"/>
          <w:color w:val="000000" w:themeColor="text1"/>
          <w:sz w:val="22"/>
          <w:szCs w:val="22"/>
          <w:lang w:val="en-GB"/>
        </w:rPr>
        <w:fldChar w:fldCharType="end"/>
      </w:r>
      <w:r w:rsidR="00CB7B35" w:rsidRPr="007F23AD">
        <w:rPr>
          <w:rFonts w:ascii="Calibri" w:hAnsi="Calibri" w:cs="Calibri"/>
          <w:color w:val="000000" w:themeColor="text1"/>
          <w:sz w:val="22"/>
          <w:szCs w:val="22"/>
          <w:lang w:val="en-GB"/>
        </w:rPr>
        <w:t>.</w:t>
      </w:r>
    </w:p>
    <w:p w14:paraId="488117C9" w14:textId="77777777" w:rsidR="00E05995" w:rsidRPr="007F23AD" w:rsidRDefault="00E05995" w:rsidP="00C3226C">
      <w:pPr>
        <w:spacing w:line="480" w:lineRule="auto"/>
        <w:jc w:val="both"/>
        <w:rPr>
          <w:rFonts w:ascii="Calibri" w:hAnsi="Calibri" w:cs="Calibri"/>
          <w:color w:val="000000" w:themeColor="text1"/>
          <w:sz w:val="22"/>
          <w:szCs w:val="22"/>
          <w:lang w:val="en-GB"/>
        </w:rPr>
      </w:pPr>
    </w:p>
    <w:p w14:paraId="39E34811" w14:textId="283A4C1F" w:rsidR="00A971D6" w:rsidRPr="007F23AD" w:rsidRDefault="009B1450" w:rsidP="00B3251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rPr>
        <w:t xml:space="preserve">The </w:t>
      </w:r>
      <w:r w:rsidR="001A3FA0" w:rsidRPr="007F23AD">
        <w:rPr>
          <w:rFonts w:ascii="Calibri" w:hAnsi="Calibri" w:cs="Calibri"/>
          <w:color w:val="000000" w:themeColor="text1"/>
          <w:sz w:val="22"/>
          <w:szCs w:val="22"/>
          <w:lang w:val="en-GB"/>
        </w:rPr>
        <w:t>objective of this paper is to examine the current state of research on supply chain risk in construction SMEs and to highlight the remaining gaps in this area</w:t>
      </w:r>
      <w:r w:rsidR="005D497B" w:rsidRPr="007F23AD">
        <w:rPr>
          <w:rFonts w:ascii="Calibri" w:hAnsi="Calibri" w:cs="Calibri"/>
          <w:color w:val="000000" w:themeColor="text1"/>
          <w:sz w:val="22"/>
          <w:szCs w:val="22"/>
          <w:lang w:val="en-GB"/>
        </w:rPr>
        <w:t>.</w:t>
      </w:r>
      <w:r w:rsidR="00B3251C" w:rsidRPr="007F23AD">
        <w:rPr>
          <w:rFonts w:ascii="Calibri" w:hAnsi="Calibri" w:cs="Calibri"/>
          <w:color w:val="000000" w:themeColor="text1"/>
          <w:sz w:val="22"/>
          <w:szCs w:val="22"/>
          <w:lang w:val="en-GB"/>
        </w:rPr>
        <w:t xml:space="preserve"> The lack of supply chain risk awareness in construction SMEs impacts not only their competitive innovation</w:t>
      </w:r>
      <w:r w:rsidR="008317D9" w:rsidRPr="007F23AD">
        <w:rPr>
          <w:rFonts w:ascii="Calibri" w:hAnsi="Calibri" w:cs="Calibri"/>
          <w:color w:val="000000" w:themeColor="text1"/>
          <w:sz w:val="22"/>
          <w:szCs w:val="22"/>
          <w:lang w:val="en-GB"/>
        </w:rPr>
        <w:t>,</w:t>
      </w:r>
      <w:r w:rsidR="00B3251C" w:rsidRPr="007F23AD">
        <w:rPr>
          <w:rFonts w:ascii="Calibri" w:hAnsi="Calibri" w:cs="Calibri"/>
          <w:color w:val="000000" w:themeColor="text1"/>
          <w:sz w:val="22"/>
          <w:szCs w:val="22"/>
          <w:lang w:val="en-GB"/>
        </w:rPr>
        <w:t xml:space="preserve"> but also contributes to the economic instability of the construction industry as a whole</w:t>
      </w:r>
      <w:r w:rsidR="003A1877" w:rsidRPr="007F23AD">
        <w:rPr>
          <w:rFonts w:ascii="Calibri" w:hAnsi="Calibri" w:cs="Calibri"/>
          <w:color w:val="000000" w:themeColor="text1"/>
          <w:sz w:val="22"/>
          <w:szCs w:val="22"/>
          <w:lang w:val="en-GB"/>
        </w:rPr>
        <w:t xml:space="preserve"> </w:t>
      </w:r>
      <w:r w:rsidR="003A1877" w:rsidRPr="007F23AD">
        <w:rPr>
          <w:rFonts w:ascii="Calibri" w:hAnsi="Calibri" w:cs="Calibri"/>
          <w:color w:val="000000" w:themeColor="text1"/>
          <w:sz w:val="22"/>
          <w:szCs w:val="22"/>
          <w:lang w:val="en-GB"/>
        </w:rPr>
        <w:fldChar w:fldCharType="begin"/>
      </w:r>
      <w:r w:rsidR="00972783" w:rsidRPr="007F23AD">
        <w:rPr>
          <w:rFonts w:ascii="Calibri" w:hAnsi="Calibri" w:cs="Calibri"/>
          <w:color w:val="000000" w:themeColor="text1"/>
          <w:sz w:val="22"/>
          <w:szCs w:val="22"/>
          <w:lang w:val="en-GB"/>
        </w:rPr>
        <w:instrText xml:space="preserve"> ADDIN EN.CITE &lt;EndNote&gt;&lt;Cite&gt;&lt;Author&gt;Lenny Koh&lt;/Author&gt;&lt;Year&gt;2007&lt;/Year&gt;&lt;RecNum&gt;1613&lt;/RecNum&gt;&lt;DisplayText&gt;(Lenny Koh et al. 2007)&lt;/DisplayText&gt;&lt;record&gt;&lt;rec-number&gt;1613&lt;/rec-number&gt;&lt;foreign-keys&gt;&lt;key app="EN" db-id="vxw0ffesn9zzt0ewpdx5r5a3fpw92aep9re9" timestamp="1720446435" guid="75183ec9-e036-49d4-8a7c-ef74978102e2"&gt;1613&lt;/key&gt;&lt;/foreign-keys&gt;&lt;ref-type name="Journal Article"&gt;17&lt;/ref-type&gt;&lt;contributors&gt;&lt;authors&gt;&lt;author&gt;Lenny Koh, SC&lt;/author&gt;&lt;author&gt;Demirbag, Mehmet&lt;/author&gt;&lt;author&gt;Bayraktar, Erkan&lt;/author&gt;&lt;author&gt;Tatoglu, Ekrem&lt;/author&gt;&lt;author&gt;Zaim, Selim&lt;/author&gt;&lt;/authors&gt;&lt;/contributors&gt;&lt;titles&gt;&lt;title&gt;The impact of supply chain management practices on performance of SMEs&lt;/title&gt;&lt;secondary-title&gt;Industrial management &amp;amp; data systems&lt;/secondary-title&gt;&lt;/titles&gt;&lt;periodical&gt;&lt;full-title&gt;Industrial Management &amp;amp; Data Systems&lt;/full-title&gt;&lt;/periodical&gt;&lt;pages&gt;103-124&lt;/pages&gt;&lt;volume&gt;107&lt;/volume&gt;&lt;number&gt;1&lt;/number&gt;&lt;dates&gt;&lt;year&gt;2007&lt;/year&gt;&lt;/dates&gt;&lt;isbn&gt;0263-5577&lt;/isbn&gt;&lt;urls&gt;&lt;/urls&gt;&lt;/record&gt;&lt;/Cite&gt;&lt;/EndNote&gt;</w:instrText>
      </w:r>
      <w:r w:rsidR="003A1877" w:rsidRPr="007F23AD">
        <w:rPr>
          <w:rFonts w:ascii="Calibri" w:hAnsi="Calibri" w:cs="Calibri"/>
          <w:color w:val="000000" w:themeColor="text1"/>
          <w:sz w:val="22"/>
          <w:szCs w:val="22"/>
          <w:lang w:val="en-GB"/>
        </w:rPr>
        <w:fldChar w:fldCharType="separate"/>
      </w:r>
      <w:r w:rsidR="003A1877" w:rsidRPr="007F23AD">
        <w:rPr>
          <w:rFonts w:ascii="Calibri" w:hAnsi="Calibri" w:cs="Calibri"/>
          <w:noProof/>
          <w:color w:val="000000" w:themeColor="text1"/>
          <w:sz w:val="22"/>
          <w:szCs w:val="22"/>
          <w:lang w:val="en-GB"/>
        </w:rPr>
        <w:t>(Lenny Koh et al. 2007)</w:t>
      </w:r>
      <w:r w:rsidR="003A1877" w:rsidRPr="007F23AD">
        <w:rPr>
          <w:rFonts w:ascii="Calibri" w:hAnsi="Calibri" w:cs="Calibri"/>
          <w:color w:val="000000" w:themeColor="text1"/>
          <w:sz w:val="22"/>
          <w:szCs w:val="22"/>
          <w:lang w:val="en-GB"/>
        </w:rPr>
        <w:fldChar w:fldCharType="end"/>
      </w:r>
      <w:r w:rsidR="00A356B1" w:rsidRPr="007F23AD">
        <w:rPr>
          <w:rFonts w:ascii="Calibri" w:hAnsi="Calibri" w:cs="Calibri"/>
          <w:color w:val="000000" w:themeColor="text1"/>
          <w:sz w:val="22"/>
          <w:szCs w:val="22"/>
          <w:lang w:val="en-GB"/>
        </w:rPr>
        <w:t>.</w:t>
      </w:r>
      <w:r w:rsidR="00D42FF8" w:rsidRPr="007F23AD">
        <w:rPr>
          <w:rFonts w:ascii="Calibri" w:hAnsi="Calibri" w:cs="Calibri"/>
          <w:color w:val="000000" w:themeColor="text1"/>
          <w:sz w:val="22"/>
          <w:szCs w:val="22"/>
          <w:lang w:val="en-GB"/>
        </w:rPr>
        <w:t xml:space="preserve"> </w:t>
      </w:r>
      <w:r w:rsidR="00F81B3B" w:rsidRPr="007F23AD">
        <w:rPr>
          <w:rFonts w:ascii="Calibri" w:hAnsi="Calibri" w:cs="Calibri"/>
          <w:color w:val="000000" w:themeColor="text1"/>
          <w:sz w:val="22"/>
          <w:szCs w:val="22"/>
          <w:lang w:val="en-GB"/>
        </w:rPr>
        <w:t>Since SMEs are present in all parts of the construction supply chain alongside larger organisations, this deficiency can lead to frequent supply and sourcing problems, resulting in passivity in the marketplace.</w:t>
      </w:r>
      <w:r w:rsidR="00A356B1" w:rsidRPr="007F23AD">
        <w:rPr>
          <w:rFonts w:ascii="Calibri" w:hAnsi="Calibri" w:cs="Calibri"/>
          <w:color w:val="000000" w:themeColor="text1"/>
          <w:sz w:val="22"/>
          <w:szCs w:val="22"/>
          <w:lang w:val="en-GB"/>
        </w:rPr>
        <w:t xml:space="preserve"> For the construction industry, widespread </w:t>
      </w:r>
      <w:r w:rsidR="009C496D" w:rsidRPr="007F23AD">
        <w:rPr>
          <w:rFonts w:ascii="Calibri" w:hAnsi="Calibri" w:cs="Calibri"/>
          <w:color w:val="000000" w:themeColor="text1"/>
          <w:sz w:val="22"/>
          <w:szCs w:val="22"/>
          <w:lang w:val="en-GB"/>
        </w:rPr>
        <w:t xml:space="preserve">bankruptcy </w:t>
      </w:r>
      <w:r w:rsidR="00A356B1" w:rsidRPr="007F23AD">
        <w:rPr>
          <w:rFonts w:ascii="Calibri" w:hAnsi="Calibri" w:cs="Calibri"/>
          <w:color w:val="000000" w:themeColor="text1"/>
          <w:sz w:val="22"/>
          <w:szCs w:val="22"/>
          <w:lang w:val="en-GB"/>
        </w:rPr>
        <w:t>among SMEs can precipitate an overall economic downturn and increase disruptions</w:t>
      </w:r>
      <w:r w:rsidR="00117E2F" w:rsidRPr="007F23AD">
        <w:rPr>
          <w:rFonts w:ascii="Calibri" w:hAnsi="Calibri" w:cs="Calibri"/>
          <w:color w:val="000000" w:themeColor="text1"/>
          <w:sz w:val="22"/>
          <w:szCs w:val="22"/>
          <w:lang w:val="en-GB"/>
        </w:rPr>
        <w:t xml:space="preserve"> </w:t>
      </w:r>
      <w:r w:rsidR="00546148" w:rsidRPr="007F23AD">
        <w:rPr>
          <w:rFonts w:ascii="Calibri" w:hAnsi="Calibri" w:cs="Calibri"/>
          <w:color w:val="000000" w:themeColor="text1"/>
          <w:sz w:val="22"/>
          <w:szCs w:val="22"/>
          <w:lang w:val="en-GB"/>
        </w:rPr>
        <w:fldChar w:fldCharType="begin"/>
      </w:r>
      <w:r w:rsidR="00894CA5" w:rsidRPr="007F23AD">
        <w:rPr>
          <w:rFonts w:ascii="Calibri" w:hAnsi="Calibri" w:cs="Calibri"/>
          <w:color w:val="000000" w:themeColor="text1"/>
          <w:sz w:val="22"/>
          <w:szCs w:val="22"/>
          <w:lang w:val="en-GB"/>
        </w:rPr>
        <w:instrText xml:space="preserve"> ADDIN EN.CITE &lt;EndNote&gt;&lt;Cite&gt;&lt;Author&gt;Statistics&lt;/Author&gt;&lt;Year&gt;2024&lt;/Year&gt;&lt;RecNum&gt;1561&lt;/RecNum&gt;&lt;Prefix&gt;The OECD Structural and Demographic Business &lt;/Prefix&gt;&lt;DisplayText&gt;(The OECD Structural and Demographic Business Statistics 2024)&lt;/DisplayText&gt;&lt;record&gt;&lt;rec-number&gt;1561&lt;/rec-number&gt;&lt;foreign-keys&gt;&lt;key app="EN" db-id="vxw0ffesn9zzt0ewpdx5r5a3fpw92aep9re9" timestamp="1719571521" guid="7df090bb-d775-4e7c-bf2d-d9cd118ed5dd"&gt;1561&lt;/key&gt;&lt;/foreign-keys&gt;&lt;ref-type name="Online Database"&gt;45&lt;/ref-type&gt;&lt;contributors&gt;&lt;authors&gt;&lt;author&gt;The OECD Structural and Demographic Business Statistics&lt;/author&gt;&lt;/authors&gt;&lt;/contributors&gt;&lt;titles&gt;&lt;title&gt;Structural Statistics on Industry and Services and  Business Statistics by Size Class&lt;/title&gt;&lt;/titles&gt;&lt;dates&gt;&lt;year&gt;2024&lt;/year&gt;&lt;pub-dates&gt;&lt;date&gt;28-06-2024&lt;/date&gt;&lt;/pub-dates&gt;&lt;/dates&gt;&lt;urls&gt;&lt;related-urls&gt;&lt;url&gt;https://data-explorer.oecd.org/&lt;/url&gt;&lt;/related-urls&gt;&lt;/urls&gt;&lt;/record&gt;&lt;/Cite&gt;&lt;/EndNote&gt;</w:instrText>
      </w:r>
      <w:r w:rsidR="00546148" w:rsidRPr="007F23AD">
        <w:rPr>
          <w:rFonts w:ascii="Calibri" w:hAnsi="Calibri" w:cs="Calibri"/>
          <w:color w:val="000000" w:themeColor="text1"/>
          <w:sz w:val="22"/>
          <w:szCs w:val="22"/>
          <w:lang w:val="en-GB"/>
        </w:rPr>
        <w:fldChar w:fldCharType="separate"/>
      </w:r>
      <w:r w:rsidR="00546148" w:rsidRPr="007F23AD">
        <w:rPr>
          <w:rFonts w:ascii="Calibri" w:hAnsi="Calibri" w:cs="Calibri"/>
          <w:noProof/>
          <w:color w:val="000000" w:themeColor="text1"/>
          <w:sz w:val="22"/>
          <w:szCs w:val="22"/>
          <w:lang w:val="en-GB"/>
        </w:rPr>
        <w:t>(The OECD Structural and Demographic Business Statistics 2024)</w:t>
      </w:r>
      <w:r w:rsidR="00546148" w:rsidRPr="007F23AD">
        <w:rPr>
          <w:rFonts w:ascii="Calibri" w:hAnsi="Calibri" w:cs="Calibri"/>
          <w:color w:val="000000" w:themeColor="text1"/>
          <w:sz w:val="22"/>
          <w:szCs w:val="22"/>
          <w:lang w:val="en-GB"/>
        </w:rPr>
        <w:fldChar w:fldCharType="end"/>
      </w:r>
      <w:r w:rsidR="00A356B1" w:rsidRPr="007F23AD">
        <w:rPr>
          <w:rFonts w:ascii="Calibri" w:hAnsi="Calibri" w:cs="Calibri"/>
          <w:color w:val="000000" w:themeColor="text1"/>
          <w:sz w:val="22"/>
          <w:szCs w:val="22"/>
          <w:lang w:val="en-GB"/>
        </w:rPr>
        <w:t>.</w:t>
      </w:r>
      <w:r w:rsidR="00A356B1" w:rsidRPr="007F23AD">
        <w:rPr>
          <w:rFonts w:ascii="Calibri" w:hAnsi="Calibri" w:cs="Calibri" w:hint="eastAsia"/>
          <w:color w:val="000000" w:themeColor="text1"/>
          <w:sz w:val="22"/>
          <w:szCs w:val="22"/>
          <w:lang w:val="en-GB"/>
        </w:rPr>
        <w:t xml:space="preserve"> </w:t>
      </w:r>
      <w:r w:rsidR="00A971D6" w:rsidRPr="007F23AD">
        <w:rPr>
          <w:rFonts w:ascii="Calibri" w:hAnsi="Calibri" w:cs="Calibri"/>
          <w:color w:val="000000" w:themeColor="text1"/>
          <w:sz w:val="22"/>
          <w:szCs w:val="22"/>
          <w:lang w:val="en-GB"/>
        </w:rPr>
        <w:t xml:space="preserve">To address these </w:t>
      </w:r>
      <w:r w:rsidR="005E5A8D" w:rsidRPr="007F23AD">
        <w:rPr>
          <w:rFonts w:ascii="Calibri" w:hAnsi="Calibri" w:cs="Calibri"/>
          <w:color w:val="000000" w:themeColor="text1"/>
          <w:sz w:val="22"/>
          <w:szCs w:val="22"/>
          <w:lang w:val="en-GB"/>
        </w:rPr>
        <w:t>challenges</w:t>
      </w:r>
      <w:r w:rsidR="00A971D6" w:rsidRPr="007F23AD">
        <w:rPr>
          <w:rFonts w:ascii="Calibri" w:hAnsi="Calibri" w:cs="Calibri"/>
          <w:color w:val="000000" w:themeColor="text1"/>
          <w:sz w:val="22"/>
          <w:szCs w:val="22"/>
          <w:lang w:val="en-GB"/>
        </w:rPr>
        <w:t>, this paper proposes two research questions:</w:t>
      </w:r>
      <w:r w:rsidR="00BF2CCC" w:rsidRPr="007F23AD">
        <w:rPr>
          <w:color w:val="000000" w:themeColor="text1"/>
        </w:rPr>
        <w:t xml:space="preserve"> </w:t>
      </w:r>
    </w:p>
    <w:p w14:paraId="5F507909" w14:textId="1D4D7BC3" w:rsidR="00A971D6" w:rsidRPr="007F23AD" w:rsidRDefault="00A971D6"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RQ1: </w:t>
      </w:r>
      <w:r w:rsidR="00BE099A" w:rsidRPr="007F23AD">
        <w:rPr>
          <w:rFonts w:ascii="Calibri" w:hAnsi="Calibri" w:cs="Calibri"/>
          <w:color w:val="000000" w:themeColor="text1"/>
          <w:sz w:val="22"/>
          <w:szCs w:val="22"/>
          <w:lang w:val="en-GB"/>
        </w:rPr>
        <w:t>What supply chain risks do construction SMEs face in the context of construction projects?</w:t>
      </w:r>
    </w:p>
    <w:p w14:paraId="2D402556" w14:textId="0F7424F8" w:rsidR="00A971D6" w:rsidRPr="007F23AD" w:rsidRDefault="00A971D6"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RQ2: </w:t>
      </w:r>
      <w:r w:rsidR="00AA73C2" w:rsidRPr="007F23AD">
        <w:rPr>
          <w:rFonts w:ascii="Calibri" w:hAnsi="Calibri" w:cs="Calibri"/>
          <w:color w:val="000000" w:themeColor="text1"/>
          <w:sz w:val="22"/>
          <w:szCs w:val="22"/>
          <w:lang w:val="en-GB"/>
        </w:rPr>
        <w:t>What are the current gaps in research concerning supply chain risk management for construction SMEs in the context of construction projects</w:t>
      </w:r>
      <w:r w:rsidRPr="007F23AD">
        <w:rPr>
          <w:rFonts w:ascii="Calibri" w:hAnsi="Calibri" w:cs="Calibri"/>
          <w:color w:val="000000" w:themeColor="text1"/>
          <w:sz w:val="22"/>
          <w:szCs w:val="22"/>
          <w:lang w:val="en-GB"/>
        </w:rPr>
        <w:t>?</w:t>
      </w:r>
    </w:p>
    <w:p w14:paraId="4D75467D" w14:textId="77777777" w:rsidR="00D42FF8" w:rsidRPr="007F23AD" w:rsidRDefault="00D42FF8" w:rsidP="00C3226C">
      <w:pPr>
        <w:spacing w:line="480" w:lineRule="auto"/>
        <w:jc w:val="both"/>
        <w:rPr>
          <w:rFonts w:ascii="Calibri" w:hAnsi="Calibri" w:cs="Calibri"/>
          <w:color w:val="000000" w:themeColor="text1"/>
          <w:sz w:val="22"/>
          <w:szCs w:val="22"/>
          <w:lang w:val="en-GB"/>
        </w:rPr>
      </w:pPr>
    </w:p>
    <w:p w14:paraId="470F4D34" w14:textId="75C1286E" w:rsidR="00D42FF8" w:rsidRPr="007F23AD" w:rsidRDefault="00D42FF8" w:rsidP="00C3226C">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 xml:space="preserve">This paper systematically explores the risks faced by construction SMEs in the supply chain and summarises the specific forms of supply chain risk unique to these firms. </w:t>
      </w:r>
      <w:r w:rsidR="00EC50A5" w:rsidRPr="007F23AD">
        <w:rPr>
          <w:rFonts w:ascii="Calibri" w:hAnsi="Calibri" w:cs="Calibri"/>
          <w:color w:val="000000" w:themeColor="text1"/>
          <w:sz w:val="22"/>
          <w:szCs w:val="22"/>
          <w:lang w:val="en-GB"/>
        </w:rPr>
        <w:t>We focus exclusively on construction SMEs and do not consider upstream suppliers or downstream customers, which may serve many different markets.</w:t>
      </w:r>
      <w:r w:rsidR="00D84DFF" w:rsidRPr="007F23AD">
        <w:rPr>
          <w:rFonts w:ascii="Calibri" w:hAnsi="Calibri" w:cs="Calibri"/>
          <w:color w:val="000000" w:themeColor="text1"/>
          <w:sz w:val="22"/>
          <w:szCs w:val="22"/>
          <w:lang w:val="en-GB"/>
        </w:rPr>
        <w:t xml:space="preserve"> Additionally, the contribution of this study is that it is the first literature review to focus exclusively on the management and strategy, operations and processes, and sustainability perspectives of SMEs in the construction industry.</w:t>
      </w:r>
      <w:r w:rsidR="00533430" w:rsidRPr="007F23AD">
        <w:rPr>
          <w:rFonts w:ascii="Calibri" w:hAnsi="Calibri" w:cs="Calibri"/>
          <w:color w:val="000000" w:themeColor="text1"/>
          <w:sz w:val="22"/>
          <w:szCs w:val="22"/>
          <w:lang w:val="en-GB"/>
        </w:rPr>
        <w:t xml:space="preserve"> </w:t>
      </w:r>
      <w:r w:rsidR="00087D19" w:rsidRPr="007F23AD">
        <w:rPr>
          <w:rFonts w:ascii="Calibri" w:hAnsi="Calibri" w:cs="Calibri"/>
          <w:color w:val="000000" w:themeColor="text1"/>
          <w:sz w:val="22"/>
          <w:szCs w:val="22"/>
          <w:lang w:val="en-GB"/>
        </w:rPr>
        <w:t xml:space="preserve">The structure of this paper is as follows: Section 2 provides the reader with background information about the characteristics of construction SMEs. Section 3 </w:t>
      </w:r>
      <w:r w:rsidR="00087D19" w:rsidRPr="007F23AD">
        <w:rPr>
          <w:rFonts w:ascii="Calibri" w:hAnsi="Calibri" w:cs="Calibri"/>
          <w:color w:val="000000" w:themeColor="text1"/>
          <w:sz w:val="22"/>
          <w:szCs w:val="22"/>
          <w:lang w:val="en-GB"/>
        </w:rPr>
        <w:lastRenderedPageBreak/>
        <w:t>demonstrates the research design, including the structured literature review process and thematic analysis. Section 4 presents the results and discussion. Section 5 suggests a future research agenda based on the findings. Section 6 concludes the paper and discusses its limitations.</w:t>
      </w:r>
    </w:p>
    <w:p w14:paraId="2C131396" w14:textId="77777777" w:rsidR="00AE5146" w:rsidRPr="007F23AD" w:rsidRDefault="00AE5146" w:rsidP="00C3226C">
      <w:pPr>
        <w:spacing w:line="480" w:lineRule="auto"/>
        <w:jc w:val="both"/>
        <w:rPr>
          <w:rFonts w:ascii="Calibri" w:hAnsi="Calibri" w:cs="Calibri"/>
          <w:color w:val="000000" w:themeColor="text1"/>
          <w:sz w:val="22"/>
          <w:szCs w:val="22"/>
          <w:lang w:val="en-GB"/>
        </w:rPr>
      </w:pPr>
    </w:p>
    <w:p w14:paraId="38A37B6B" w14:textId="474E23D5" w:rsidR="00F93148" w:rsidRPr="007F23AD" w:rsidRDefault="00F42FFD" w:rsidP="005B5E81">
      <w:pPr>
        <w:pStyle w:val="a3"/>
        <w:numPr>
          <w:ilvl w:val="0"/>
          <w:numId w:val="2"/>
        </w:numPr>
        <w:spacing w:line="480" w:lineRule="auto"/>
        <w:jc w:val="both"/>
        <w:rPr>
          <w:rFonts w:ascii="Calibri" w:hAnsi="Calibri" w:cs="Calibri"/>
          <w:color w:val="000000" w:themeColor="text1"/>
          <w:sz w:val="22"/>
          <w:szCs w:val="22"/>
          <w:lang w:val="en-GB"/>
        </w:rPr>
      </w:pPr>
      <w:r w:rsidRPr="007F23AD">
        <w:rPr>
          <w:rFonts w:ascii="Calibri" w:hAnsi="Calibri" w:cs="Calibri"/>
          <w:b/>
          <w:bCs/>
          <w:color w:val="000000" w:themeColor="text1"/>
          <w:sz w:val="22"/>
          <w:szCs w:val="22"/>
          <w:lang w:val="en-GB"/>
        </w:rPr>
        <w:t>Characteristics of construction SMEs</w:t>
      </w:r>
    </w:p>
    <w:p w14:paraId="17A35B5E" w14:textId="24197825" w:rsidR="00036092" w:rsidRPr="007F23AD" w:rsidRDefault="00F06981" w:rsidP="00CF19ED">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SMEs in the construction industry account for a significant proportion of the overall number of businesses. In the UK in 2021, SMEs accounted for 99.69 percent of construction businesses, a situation similar to that in Europe</w:t>
      </w:r>
      <w:r w:rsidR="002A0F47" w:rsidRPr="007F23AD">
        <w:rPr>
          <w:rFonts w:ascii="Calibri" w:hAnsi="Calibri" w:cs="Calibri"/>
          <w:color w:val="000000" w:themeColor="text1"/>
          <w:sz w:val="22"/>
          <w:szCs w:val="22"/>
          <w:lang w:val="en-GB"/>
        </w:rPr>
        <w:t xml:space="preserve"> </w:t>
      </w:r>
      <w:r w:rsidR="00D42FF8" w:rsidRPr="007F23AD">
        <w:rPr>
          <w:rFonts w:ascii="Calibri" w:hAnsi="Calibri" w:cs="Calibri"/>
          <w:color w:val="000000" w:themeColor="text1"/>
          <w:sz w:val="22"/>
          <w:szCs w:val="22"/>
          <w:lang w:val="en-GB"/>
        </w:rPr>
        <w:fldChar w:fldCharType="begin"/>
      </w:r>
      <w:r w:rsidR="00D42FF8" w:rsidRPr="007F23AD">
        <w:rPr>
          <w:rFonts w:ascii="Calibri" w:hAnsi="Calibri" w:cs="Calibri"/>
          <w:color w:val="000000" w:themeColor="text1"/>
          <w:sz w:val="22"/>
          <w:szCs w:val="22"/>
          <w:lang w:val="en-GB"/>
        </w:rPr>
        <w:instrText xml:space="preserve"> ADDIN EN.CITE &lt;EndNote&gt;&lt;Cite&gt;&lt;Author&gt;OECD&lt;/Author&gt;&lt;Year&gt;2023&lt;/Year&gt;&lt;RecNum&gt;841&lt;/RecNum&gt;&lt;DisplayText&gt;(OECD 2023)&lt;/DisplayText&gt;&lt;record&gt;&lt;rec-number&gt;841&lt;/rec-number&gt;&lt;foreign-keys&gt;&lt;key app="EN" db-id="vxw0ffesn9zzt0ewpdx5r5a3fpw92aep9re9" timestamp="1683798508" guid="e5448012-a9b4-4c3e-bbaa-3e1fdcc005bd"&gt;841&lt;/key&gt;&lt;/foreign-keys&gt;&lt;ref-type name="Report"&gt;27&lt;/ref-type&gt;&lt;contributors&gt;&lt;authors&gt;&lt;author&gt;OECD&lt;/author&gt;&lt;/authors&gt;&lt;/contributors&gt;&lt;titles&gt;&lt;title&gt;OECD SME and Entrepreneurship Outlook 2023&lt;/title&gt;&lt;/titles&gt;&lt;dates&gt;&lt;year&gt;2023&lt;/year&gt;&lt;/dates&gt;&lt;urls&gt;&lt;related-urls&gt;&lt;url&gt;https://doi.org/10.1787/8d707502-en&lt;/url&gt;&lt;/related-urls&gt;&lt;/urls&gt;&lt;access-date&gt;28-06-2024&lt;/access-date&gt;&lt;/record&gt;&lt;/Cite&gt;&lt;/EndNote&gt;</w:instrText>
      </w:r>
      <w:r w:rsidR="00D42FF8" w:rsidRPr="007F23AD">
        <w:rPr>
          <w:rFonts w:ascii="Calibri" w:hAnsi="Calibri" w:cs="Calibri"/>
          <w:color w:val="000000" w:themeColor="text1"/>
          <w:sz w:val="22"/>
          <w:szCs w:val="22"/>
          <w:lang w:val="en-GB"/>
        </w:rPr>
        <w:fldChar w:fldCharType="separate"/>
      </w:r>
      <w:r w:rsidR="00D42FF8" w:rsidRPr="007F23AD">
        <w:rPr>
          <w:rFonts w:ascii="Calibri" w:hAnsi="Calibri" w:cs="Calibri"/>
          <w:noProof/>
          <w:color w:val="000000" w:themeColor="text1"/>
          <w:sz w:val="22"/>
          <w:szCs w:val="22"/>
          <w:lang w:val="en-GB"/>
        </w:rPr>
        <w:t>(OECD 2023)</w:t>
      </w:r>
      <w:r w:rsidR="00D42FF8" w:rsidRPr="007F23AD">
        <w:rPr>
          <w:rFonts w:ascii="Calibri" w:hAnsi="Calibri" w:cs="Calibri"/>
          <w:color w:val="000000" w:themeColor="text1"/>
          <w:sz w:val="22"/>
          <w:szCs w:val="22"/>
          <w:lang w:val="en-GB"/>
        </w:rPr>
        <w:fldChar w:fldCharType="end"/>
      </w:r>
      <w:r w:rsidR="009C7DA3" w:rsidRPr="007F23AD">
        <w:rPr>
          <w:rFonts w:ascii="Calibri" w:hAnsi="Calibri" w:cs="Calibri"/>
          <w:color w:val="000000" w:themeColor="text1"/>
          <w:sz w:val="22"/>
          <w:szCs w:val="22"/>
          <w:lang w:val="en-GB"/>
        </w:rPr>
        <w:t>.</w:t>
      </w:r>
      <w:r w:rsidR="00CF19ED" w:rsidRPr="007F23AD">
        <w:rPr>
          <w:color w:val="000000" w:themeColor="text1"/>
          <w:sz w:val="22"/>
          <w:szCs w:val="22"/>
          <w:lang w:val="en-GB"/>
        </w:rPr>
        <w:t xml:space="preserve"> </w:t>
      </w:r>
      <w:r w:rsidR="00CF19ED" w:rsidRPr="007F23AD">
        <w:rPr>
          <w:rFonts w:ascii="Calibri" w:hAnsi="Calibri" w:cs="Calibri"/>
          <w:color w:val="000000" w:themeColor="text1"/>
          <w:sz w:val="22"/>
          <w:szCs w:val="22"/>
          <w:lang w:val="en-GB"/>
        </w:rPr>
        <w:t xml:space="preserve">The definitions and sizes of SMEs across various countries are detailed in </w:t>
      </w:r>
      <w:r w:rsidR="00142C39" w:rsidRPr="007F23AD">
        <w:rPr>
          <w:rFonts w:ascii="Calibri" w:hAnsi="Calibri" w:cs="Calibri"/>
          <w:color w:val="000000" w:themeColor="text1"/>
          <w:sz w:val="22"/>
          <w:szCs w:val="22"/>
          <w:lang w:val="en-GB"/>
        </w:rPr>
        <w:t>Table I</w:t>
      </w:r>
      <w:r w:rsidR="00CF19ED" w:rsidRPr="007F23AD">
        <w:rPr>
          <w:rFonts w:ascii="Calibri" w:hAnsi="Calibri" w:cs="Calibri"/>
          <w:color w:val="000000" w:themeColor="text1"/>
          <w:sz w:val="22"/>
          <w:szCs w:val="22"/>
          <w:lang w:val="en-GB"/>
        </w:rPr>
        <w:t xml:space="preserve">. There are two primary methods to categorize SMEs: firstly, the European Commission's definition based mainly on numerical limits </w:t>
      </w:r>
      <w:r w:rsidR="005F50B7" w:rsidRPr="007F23AD">
        <w:rPr>
          <w:rFonts w:ascii="Calibri" w:hAnsi="Calibri" w:cs="Calibri"/>
          <w:color w:val="000000" w:themeColor="text1"/>
          <w:sz w:val="22"/>
          <w:szCs w:val="22"/>
          <w:lang w:val="en-GB"/>
        </w:rPr>
        <w:fldChar w:fldCharType="begin"/>
      </w:r>
      <w:r w:rsidR="00BA7074" w:rsidRPr="007F23AD">
        <w:rPr>
          <w:rFonts w:ascii="Calibri" w:hAnsi="Calibri" w:cs="Calibri"/>
          <w:color w:val="000000" w:themeColor="text1"/>
          <w:sz w:val="22"/>
          <w:szCs w:val="22"/>
          <w:lang w:val="en-GB"/>
        </w:rPr>
        <w:instrText xml:space="preserve"> ADDIN EN.CITE &lt;EndNote&gt;&lt;Cite&gt;&lt;Author&gt;Muller&lt;/Author&gt;&lt;Year&gt;2015&lt;/Year&gt;&lt;RecNum&gt;1505&lt;/RecNum&gt;&lt;DisplayText&gt;(Muller et al. 2015)&lt;/DisplayText&gt;&lt;record&gt;&lt;rec-number&gt;1505&lt;/rec-number&gt;&lt;foreign-keys&gt;&lt;key app="EN" db-id="vxw0ffesn9zzt0ewpdx5r5a3fpw92aep9re9" timestamp="1718444936" guid="f6f427c9-f81c-415d-a9fb-cbbad5c5ae09"&gt;1505&lt;/key&gt;&lt;/foreign-keys&gt;&lt;ref-type name="Report"&gt;27&lt;/ref-type&gt;&lt;contributors&gt;&lt;authors&gt;&lt;author&gt;Muller, Patrice&lt;/author&gt;&lt;author&gt;Caliandro, Cecilia&lt;/author&gt;&lt;author&gt;Peycheva, Viktoriya&lt;/author&gt;&lt;author&gt;Gagliardi, Dimitri&lt;/author&gt;&lt;author&gt;Marzocchi, Chiara&lt;/author&gt;&lt;author&gt;Ramlogan, Ronald&lt;/author&gt;&lt;author&gt;Cox, Deborah&lt;/author&gt;&lt;/authors&gt;&lt;/contributors&gt;&lt;titles&gt;&lt;title&gt;Annual report on european SMEs&lt;/title&gt;&lt;secondary-title&gt;European Commission&lt;/secondary-title&gt;&lt;/titles&gt;&lt;periodical&gt;&lt;full-title&gt;European Commission&lt;/full-title&gt;&lt;/periodical&gt;&lt;pages&gt;36-48&lt;/pages&gt;&lt;volume&gt;5&lt;/volume&gt;&lt;number&gt;1&lt;/number&gt;&lt;dates&gt;&lt;year&gt;2015&lt;/year&gt;&lt;/dates&gt;&lt;urls&gt;&lt;/urls&gt;&lt;/record&gt;&lt;/Cite&gt;&lt;/EndNote&gt;</w:instrText>
      </w:r>
      <w:r w:rsidR="005F50B7" w:rsidRPr="007F23AD">
        <w:rPr>
          <w:rFonts w:ascii="Calibri" w:hAnsi="Calibri" w:cs="Calibri"/>
          <w:color w:val="000000" w:themeColor="text1"/>
          <w:sz w:val="22"/>
          <w:szCs w:val="22"/>
          <w:lang w:val="en-GB"/>
        </w:rPr>
        <w:fldChar w:fldCharType="separate"/>
      </w:r>
      <w:r w:rsidR="005F50B7" w:rsidRPr="007F23AD">
        <w:rPr>
          <w:rFonts w:ascii="Calibri" w:hAnsi="Calibri" w:cs="Calibri"/>
          <w:noProof/>
          <w:color w:val="000000" w:themeColor="text1"/>
          <w:sz w:val="22"/>
          <w:szCs w:val="22"/>
          <w:lang w:val="en-GB"/>
        </w:rPr>
        <w:t>(Muller et al. 2015)</w:t>
      </w:r>
      <w:r w:rsidR="005F50B7" w:rsidRPr="007F23AD">
        <w:rPr>
          <w:rFonts w:ascii="Calibri" w:hAnsi="Calibri" w:cs="Calibri"/>
          <w:color w:val="000000" w:themeColor="text1"/>
          <w:sz w:val="22"/>
          <w:szCs w:val="22"/>
          <w:lang w:val="en-GB"/>
        </w:rPr>
        <w:fldChar w:fldCharType="end"/>
      </w:r>
      <w:r w:rsidR="00CF19ED" w:rsidRPr="007F23AD">
        <w:rPr>
          <w:rFonts w:ascii="Calibri" w:hAnsi="Calibri" w:cs="Calibri"/>
          <w:color w:val="000000" w:themeColor="text1"/>
          <w:sz w:val="22"/>
          <w:szCs w:val="22"/>
          <w:lang w:val="en-GB"/>
        </w:rPr>
        <w:t>. The second method is the U.S.' adoption of the North American Industry Classification System (NAICS). This system provides guidelines for small businesses across industries and facilitates their applications for government contracts and funding</w:t>
      </w:r>
      <w:r w:rsidR="00036092" w:rsidRPr="007F23AD">
        <w:rPr>
          <w:rFonts w:ascii="Calibri" w:hAnsi="Calibri" w:cs="Calibri"/>
          <w:color w:val="000000" w:themeColor="text1"/>
          <w:sz w:val="22"/>
          <w:szCs w:val="22"/>
          <w:lang w:val="en-GB"/>
        </w:rPr>
        <w:t xml:space="preserve"> </w:t>
      </w:r>
      <w:r w:rsidR="00CF19ED" w:rsidRPr="007F23AD">
        <w:rPr>
          <w:rFonts w:ascii="Calibri" w:hAnsi="Calibri" w:cs="Calibri"/>
          <w:color w:val="000000" w:themeColor="text1"/>
          <w:sz w:val="22"/>
          <w:szCs w:val="22"/>
          <w:lang w:val="en-GB"/>
        </w:rPr>
        <w:fldChar w:fldCharType="begin"/>
      </w:r>
      <w:r w:rsidR="005F50B7" w:rsidRPr="007F23AD">
        <w:rPr>
          <w:rFonts w:ascii="Calibri" w:hAnsi="Calibri" w:cs="Calibri"/>
          <w:color w:val="000000" w:themeColor="text1"/>
          <w:sz w:val="22"/>
          <w:szCs w:val="22"/>
          <w:lang w:val="en-GB"/>
        </w:rPr>
        <w:instrText xml:space="preserve"> ADDIN EN.CITE &lt;EndNote&gt;&lt;Cite&gt;&lt;Author&gt;Bureau&lt;/Author&gt;&lt;Year&gt;2022&lt;/Year&gt;&lt;RecNum&gt;843&lt;/RecNum&gt;&lt;IDText&gt;North American industry classification system (NAICS)&lt;/IDText&gt;&lt;Prefix&gt; US Census &lt;/Prefix&gt;&lt;DisplayText&gt;( US Census Bureau 2022)&lt;/DisplayText&gt;&lt;record&gt;&lt;rec-number&gt;843&lt;/rec-number&gt;&lt;foreign-keys&gt;&lt;key app="EN" db-id="vxw0ffesn9zzt0ewpdx5r5a3fpw92aep9re9" timestamp="1683798508" guid="58de684b-de5e-4bad-b2b0-5b86065bc567"&gt;843&lt;/key&gt;&lt;/foreign-keys&gt;&lt;ref-type name="Book"&gt;6&lt;/ref-type&gt;&lt;contributors&gt;&lt;authors&gt;&lt;author&gt;Bureau, US Census&lt;/author&gt;&lt;/authors&gt;&lt;/contributors&gt;&lt;titles&gt;&lt;title&gt;North American industry classification system (NAICS)&lt;/title&gt;&lt;/titles&gt;&lt;dates&gt;&lt;year&gt;2022&lt;/year&gt;&lt;/dates&gt;&lt;publisher&gt;Author Washington, DC&lt;/publisher&gt;&lt;urls&gt;&lt;/urls&gt;&lt;/record&gt;&lt;/Cite&gt;&lt;/EndNote&gt;</w:instrText>
      </w:r>
      <w:r w:rsidR="00CF19ED" w:rsidRPr="007F23AD">
        <w:rPr>
          <w:rFonts w:ascii="Calibri" w:hAnsi="Calibri" w:cs="Calibri"/>
          <w:color w:val="000000" w:themeColor="text1"/>
          <w:sz w:val="22"/>
          <w:szCs w:val="22"/>
          <w:lang w:val="en-GB"/>
        </w:rPr>
        <w:fldChar w:fldCharType="separate"/>
      </w:r>
      <w:r w:rsidR="005F50B7" w:rsidRPr="007F23AD">
        <w:rPr>
          <w:rFonts w:ascii="Calibri" w:hAnsi="Calibri" w:cs="Calibri"/>
          <w:noProof/>
          <w:color w:val="000000" w:themeColor="text1"/>
          <w:sz w:val="22"/>
          <w:szCs w:val="22"/>
          <w:lang w:val="en-GB"/>
        </w:rPr>
        <w:t>( US Census Bureau 2022)</w:t>
      </w:r>
      <w:r w:rsidR="00CF19ED" w:rsidRPr="007F23AD">
        <w:rPr>
          <w:rFonts w:ascii="Calibri" w:hAnsi="Calibri" w:cs="Calibri"/>
          <w:color w:val="000000" w:themeColor="text1"/>
          <w:sz w:val="22"/>
          <w:szCs w:val="22"/>
          <w:lang w:val="en-GB"/>
        </w:rPr>
        <w:fldChar w:fldCharType="end"/>
      </w:r>
      <w:r w:rsidR="00CF19ED" w:rsidRPr="007F23AD">
        <w:rPr>
          <w:rFonts w:ascii="Calibri" w:hAnsi="Calibri" w:cs="Calibri"/>
          <w:color w:val="000000" w:themeColor="text1"/>
          <w:sz w:val="22"/>
          <w:szCs w:val="22"/>
          <w:lang w:val="en-GB"/>
        </w:rPr>
        <w:t xml:space="preserve">. Notably, both classifications tailor the SME definitions to determine eligibility for governmental support, grants, and tax incentives </w:t>
      </w:r>
      <w:r w:rsidR="005F50B7" w:rsidRPr="007F23AD">
        <w:rPr>
          <w:rFonts w:ascii="Calibri" w:hAnsi="Calibri" w:cs="Calibri"/>
          <w:color w:val="000000" w:themeColor="text1"/>
          <w:sz w:val="22"/>
          <w:szCs w:val="22"/>
          <w:lang w:val="en-GB"/>
        </w:rPr>
        <w:fldChar w:fldCharType="begin"/>
      </w:r>
      <w:r w:rsidR="00A255E5" w:rsidRPr="007F23AD">
        <w:rPr>
          <w:rFonts w:ascii="Calibri" w:hAnsi="Calibri" w:cs="Calibri"/>
          <w:color w:val="000000" w:themeColor="text1"/>
          <w:sz w:val="22"/>
          <w:szCs w:val="22"/>
          <w:lang w:val="en-GB"/>
        </w:rPr>
        <w:instrText xml:space="preserve"> ADDIN EN.CITE &lt;EndNote&gt;&lt;Cite&gt;&lt;Author&gt;Kumar&lt;/Author&gt;&lt;Year&gt;2023&lt;/Year&gt;&lt;RecNum&gt;1506&lt;/RecNum&gt;&lt;DisplayText&gt;(Kumar and Singh 2023)&lt;/DisplayText&gt;&lt;record&gt;&lt;rec-number&gt;1506&lt;/rec-number&gt;&lt;foreign-keys&gt;&lt;key app="EN" db-id="vxw0ffesn9zzt0ewpdx5r5a3fpw92aep9re9" timestamp="1718445575" guid="f0fb6c70-56e7-4f06-8a8e-bf8b04407987"&gt;1506&lt;/key&gt;&lt;/foreign-keys&gt;&lt;ref-type name="Journal Article"&gt;17&lt;/ref-type&gt;&lt;contributors&gt;&lt;authors&gt;&lt;author&gt;Kumar, Satish&lt;/author&gt;&lt;author&gt;Singh, Pushpender&lt;/author&gt;&lt;/authors&gt;&lt;/contributors&gt;&lt;titles&gt;&lt;title&gt;An Analysis of Government Support Programs for Small Business Development and Growth&lt;/title&gt;&lt;secondary-title&gt;Scholedge International Journal of Business Policy &amp;amp; Governance&lt;/secondary-title&gt;&lt;/titles&gt;&lt;periodical&gt;&lt;full-title&gt;Scholedge International Journal of Business Policy &amp;amp; Governance&lt;/full-title&gt;&lt;/periodical&gt;&lt;pages&gt;8-19&lt;/pages&gt;&lt;volume&gt;10&lt;/volume&gt;&lt;number&gt;2&lt;/number&gt;&lt;keywords&gt;&lt;keyword&gt;Growth of small business&lt;/keyword&gt;&lt;keyword&gt;Government aid&lt;/keyword&gt;&lt;keyword&gt;Government programs&lt;/keyword&gt;&lt;keyword&gt;Businesspeople&lt;/keyword&gt;&lt;keyword&gt;Small business&lt;/keyword&gt;&lt;keyword&gt;entrepreneurship&lt;/keyword&gt;&lt;keyword&gt;Government Support Programs&lt;/keyword&gt;&lt;keyword&gt;small business development&lt;/keyword&gt;&lt;keyword&gt;Small businesses&lt;/keyword&gt;&lt;/keywords&gt;&lt;dates&gt;&lt;year&gt;2023&lt;/year&gt;&lt;/dates&gt;&lt;publisher&gt;Scholedge Publishing&lt;/publisher&gt;&lt;isbn&gt;23943351&lt;/isbn&gt;&lt;accession-num&gt;174309148&lt;/accession-num&gt;&lt;work-type&gt;Article&lt;/work-type&gt;&lt;urls&gt;&lt;related-urls&gt;&lt;url&gt;https://search.ebscohost.com/login.aspx?direct=true&amp;amp;db=bth&amp;amp;AN=174309148&amp;amp;site=ehost-live&amp;amp;scope=site&lt;/url&gt;&lt;/related-urls&gt;&lt;/urls&gt;&lt;electronic-resource-num&gt;10.19085/sijbpg100201&lt;/electronic-resource-num&gt;&lt;remote-database-name&gt;Business Source Complete&lt;/remote-database-name&gt;&lt;remote-database-provider&gt;EBSCOhost&lt;/remote-database-provider&gt;&lt;/record&gt;&lt;/Cite&gt;&lt;/EndNote&gt;</w:instrText>
      </w:r>
      <w:r w:rsidR="005F50B7" w:rsidRPr="007F23AD">
        <w:rPr>
          <w:rFonts w:ascii="Calibri" w:hAnsi="Calibri" w:cs="Calibri"/>
          <w:color w:val="000000" w:themeColor="text1"/>
          <w:sz w:val="22"/>
          <w:szCs w:val="22"/>
          <w:lang w:val="en-GB"/>
        </w:rPr>
        <w:fldChar w:fldCharType="separate"/>
      </w:r>
      <w:r w:rsidR="005F50B7" w:rsidRPr="007F23AD">
        <w:rPr>
          <w:rFonts w:ascii="Calibri" w:hAnsi="Calibri" w:cs="Calibri"/>
          <w:noProof/>
          <w:color w:val="000000" w:themeColor="text1"/>
          <w:sz w:val="22"/>
          <w:szCs w:val="22"/>
          <w:lang w:val="en-GB"/>
        </w:rPr>
        <w:t>(Kumar and Singh 2023)</w:t>
      </w:r>
      <w:r w:rsidR="005F50B7" w:rsidRPr="007F23AD">
        <w:rPr>
          <w:rFonts w:ascii="Calibri" w:hAnsi="Calibri" w:cs="Calibri"/>
          <w:color w:val="000000" w:themeColor="text1"/>
          <w:sz w:val="22"/>
          <w:szCs w:val="22"/>
          <w:lang w:val="en-GB"/>
        </w:rPr>
        <w:fldChar w:fldCharType="end"/>
      </w:r>
      <w:r w:rsidR="00CF19ED" w:rsidRPr="007F23AD">
        <w:rPr>
          <w:rFonts w:ascii="Calibri" w:hAnsi="Calibri" w:cs="Calibri"/>
          <w:color w:val="000000" w:themeColor="text1"/>
          <w:sz w:val="22"/>
          <w:szCs w:val="22"/>
          <w:lang w:val="en-GB"/>
        </w:rPr>
        <w:t xml:space="preserve">. Considering the varied scales of SMEs and aiming to encompass as many as possible, this </w:t>
      </w:r>
      <w:r w:rsidR="00036092" w:rsidRPr="007F23AD">
        <w:rPr>
          <w:rFonts w:ascii="Calibri" w:hAnsi="Calibri" w:cs="Calibri"/>
          <w:color w:val="000000" w:themeColor="text1"/>
          <w:sz w:val="22"/>
          <w:szCs w:val="22"/>
          <w:lang w:val="en-GB"/>
        </w:rPr>
        <w:t xml:space="preserve">study adopts a position that an SME has fewer than 300 employees and/or a turnover of less than </w:t>
      </w:r>
      <w:r w:rsidR="0041193A" w:rsidRPr="007F23AD">
        <w:rPr>
          <w:rFonts w:ascii="Calibri" w:hAnsi="Calibri" w:cs="Calibri"/>
          <w:color w:val="000000" w:themeColor="text1"/>
          <w:sz w:val="22"/>
          <w:szCs w:val="22"/>
          <w:lang w:val="en-GB"/>
        </w:rPr>
        <w:t>$45m.</w:t>
      </w:r>
    </w:p>
    <w:p w14:paraId="35D82B0A" w14:textId="77777777" w:rsidR="00E21FDC" w:rsidRPr="007F23AD" w:rsidRDefault="00E21FDC" w:rsidP="00CF19ED">
      <w:pPr>
        <w:spacing w:line="480" w:lineRule="auto"/>
        <w:jc w:val="both"/>
        <w:rPr>
          <w:rFonts w:ascii="Calibri" w:hAnsi="Calibri" w:cs="Calibri"/>
          <w:color w:val="000000" w:themeColor="text1"/>
          <w:sz w:val="22"/>
          <w:szCs w:val="22"/>
          <w:lang w:val="en-GB"/>
        </w:rPr>
      </w:pPr>
    </w:p>
    <w:p w14:paraId="5F53DBC7" w14:textId="36E98E04" w:rsidR="00CF19ED" w:rsidRPr="007F23AD" w:rsidRDefault="00142C39" w:rsidP="00CF19ED">
      <w:pPr>
        <w:spacing w:line="480" w:lineRule="auto"/>
        <w:jc w:val="center"/>
        <w:rPr>
          <w:rFonts w:cs="Calibri"/>
          <w:color w:val="000000" w:themeColor="text1"/>
          <w:lang w:val="en-GB"/>
        </w:rPr>
      </w:pPr>
      <w:r w:rsidRPr="007F23AD">
        <w:rPr>
          <w:rFonts w:ascii="Calibri" w:hAnsi="Calibri" w:cs="Calibri"/>
          <w:color w:val="000000" w:themeColor="text1"/>
          <w:sz w:val="22"/>
          <w:szCs w:val="22"/>
          <w:lang w:val="en-GB"/>
        </w:rPr>
        <w:t>Table I</w:t>
      </w:r>
      <w:r w:rsidR="00CF19ED" w:rsidRPr="007F23AD">
        <w:rPr>
          <w:rFonts w:ascii="Calibri" w:hAnsi="Calibri" w:cs="Calibri"/>
          <w:color w:val="000000" w:themeColor="text1"/>
          <w:sz w:val="22"/>
          <w:szCs w:val="22"/>
          <w:lang w:val="en-GB"/>
        </w:rPr>
        <w:t xml:space="preserve">: Comparison of SMEs in Different Countries </w:t>
      </w:r>
      <w:r w:rsidR="00CF19ED" w:rsidRPr="007F23AD">
        <w:rPr>
          <w:rFonts w:ascii="Calibri" w:hAnsi="Calibri" w:cs="Calibri"/>
          <w:color w:val="000000" w:themeColor="text1"/>
          <w:sz w:val="22"/>
          <w:szCs w:val="22"/>
          <w:lang w:val="en-GB"/>
        </w:rPr>
        <w:fldChar w:fldCharType="begin">
          <w:fldData xml:space="preserve">PEVuZE5vdGU+PENpdGU+PEF1dGhvcj5CdXJlYXU8L0F1dGhvcj48WWVhcj4yMDIyPC9ZZWFyPjxS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</w:fldData>
        </w:fldChar>
      </w:r>
      <w:r w:rsidR="00BA7074" w:rsidRPr="007F23AD">
        <w:rPr>
          <w:rFonts w:ascii="Calibri" w:hAnsi="Calibri" w:cs="Calibri"/>
          <w:color w:val="000000" w:themeColor="text1"/>
          <w:sz w:val="22"/>
          <w:szCs w:val="22"/>
          <w:lang w:val="en-GB"/>
        </w:rPr>
        <w:instrText xml:space="preserve"> ADDIN EN.CITE </w:instrText>
      </w:r>
      <w:r w:rsidR="00BA7074" w:rsidRPr="007F23AD">
        <w:rPr>
          <w:rFonts w:ascii="Calibri" w:hAnsi="Calibri" w:cs="Calibri"/>
          <w:color w:val="000000" w:themeColor="text1"/>
          <w:sz w:val="22"/>
          <w:szCs w:val="22"/>
          <w:lang w:val="en-GB"/>
        </w:rPr>
        <w:fldChar w:fldCharType="begin">
          <w:fldData xml:space="preserve">PEVuZE5vdGU+PENpdGU+PEF1dGhvcj5CdXJlYXU8L0F1dGhvcj48WWVhcj4yMDIyPC9ZZWFyPjxS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</w:fldData>
        </w:fldChar>
      </w:r>
      <w:r w:rsidR="00BA7074" w:rsidRPr="007F23AD">
        <w:rPr>
          <w:rFonts w:ascii="Calibri" w:hAnsi="Calibri" w:cs="Calibri"/>
          <w:color w:val="000000" w:themeColor="text1"/>
          <w:sz w:val="22"/>
          <w:szCs w:val="22"/>
          <w:lang w:val="en-GB"/>
        </w:rPr>
        <w:instrText xml:space="preserve"> ADDIN EN.CITE.DATA </w:instrText>
      </w:r>
      <w:r w:rsidR="00BA7074" w:rsidRPr="007F23AD">
        <w:rPr>
          <w:rFonts w:ascii="Calibri" w:hAnsi="Calibri" w:cs="Calibri"/>
          <w:color w:val="000000" w:themeColor="text1"/>
          <w:sz w:val="22"/>
          <w:szCs w:val="22"/>
          <w:lang w:val="en-GB"/>
        </w:rPr>
      </w:r>
      <w:r w:rsidR="00BA7074" w:rsidRPr="007F23AD">
        <w:rPr>
          <w:rFonts w:ascii="Calibri" w:hAnsi="Calibri" w:cs="Calibri"/>
          <w:color w:val="000000" w:themeColor="text1"/>
          <w:sz w:val="22"/>
          <w:szCs w:val="22"/>
          <w:lang w:val="en-GB"/>
        </w:rPr>
        <w:fldChar w:fldCharType="end"/>
      </w:r>
      <w:r w:rsidR="00CF19ED" w:rsidRPr="007F23AD">
        <w:rPr>
          <w:rFonts w:ascii="Calibri" w:hAnsi="Calibri" w:cs="Calibri"/>
          <w:color w:val="000000" w:themeColor="text1"/>
          <w:sz w:val="22"/>
          <w:szCs w:val="22"/>
          <w:lang w:val="en-GB"/>
        </w:rPr>
      </w:r>
      <w:r w:rsidR="00CF19ED" w:rsidRPr="007F23AD">
        <w:rPr>
          <w:rFonts w:ascii="Calibri" w:hAnsi="Calibri" w:cs="Calibri"/>
          <w:color w:val="000000" w:themeColor="text1"/>
          <w:sz w:val="22"/>
          <w:szCs w:val="22"/>
          <w:lang w:val="en-GB"/>
        </w:rPr>
        <w:fldChar w:fldCharType="separate"/>
      </w:r>
      <w:r w:rsidR="00BA7074" w:rsidRPr="007F23AD">
        <w:rPr>
          <w:rFonts w:ascii="Calibri" w:hAnsi="Calibri" w:cs="Calibri"/>
          <w:noProof/>
          <w:color w:val="000000" w:themeColor="text1"/>
          <w:sz w:val="22"/>
          <w:szCs w:val="22"/>
          <w:lang w:val="en-GB"/>
        </w:rPr>
        <w:t>(US Census Muller et al. 2015; National Bureau of Statistics of China 2017; Bureau 2022)</w:t>
      </w:r>
      <w:r w:rsidR="00CF19ED" w:rsidRPr="007F23AD">
        <w:rPr>
          <w:rFonts w:ascii="Calibri" w:hAnsi="Calibri" w:cs="Calibri"/>
          <w:color w:val="000000" w:themeColor="text1"/>
          <w:sz w:val="22"/>
          <w:szCs w:val="22"/>
          <w:lang w:val="en-GB"/>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gridCol w:w="3420"/>
        <w:gridCol w:w="3445"/>
      </w:tblGrid>
      <w:tr w:rsidR="007F23AD" w:rsidRPr="007F23AD" w14:paraId="7F3BE8EC" w14:textId="77777777">
        <w:trPr>
          <w:trHeight w:val="399"/>
          <w:tblHeader/>
          <w:tblCellSpacing w:w="15" w:type="dxa"/>
        </w:trPr>
        <w:tc>
          <w:tcPr>
            <w:tcW w:w="0" w:type="auto"/>
            <w:tcBorders>
              <w:top w:val="single" w:sz="4" w:space="0" w:color="auto"/>
              <w:bottom w:val="single" w:sz="4" w:space="0" w:color="auto"/>
            </w:tcBorders>
            <w:shd w:val="clear" w:color="auto" w:fill="auto"/>
            <w:vAlign w:val="center"/>
            <w:hideMark/>
          </w:tcPr>
          <w:p w14:paraId="2F2348FF" w14:textId="77777777" w:rsidR="00CF19ED" w:rsidRPr="007F23AD" w:rsidRDefault="00CF19ED" w:rsidP="006B21BF">
            <w:pPr>
              <w:spacing w:line="360" w:lineRule="auto"/>
              <w:jc w:val="center"/>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Country</w:t>
            </w:r>
          </w:p>
        </w:tc>
        <w:tc>
          <w:tcPr>
            <w:tcW w:w="0" w:type="auto"/>
            <w:tcBorders>
              <w:top w:val="single" w:sz="4" w:space="0" w:color="auto"/>
              <w:bottom w:val="single" w:sz="4" w:space="0" w:color="auto"/>
            </w:tcBorders>
            <w:shd w:val="clear" w:color="auto" w:fill="auto"/>
            <w:vAlign w:val="center"/>
            <w:hideMark/>
          </w:tcPr>
          <w:p w14:paraId="77B42118" w14:textId="77777777" w:rsidR="00CF19ED" w:rsidRPr="007F23AD" w:rsidRDefault="00CF19ED" w:rsidP="006B21BF">
            <w:pPr>
              <w:spacing w:line="360" w:lineRule="auto"/>
              <w:jc w:val="center"/>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 xml:space="preserve">Scale </w:t>
            </w:r>
          </w:p>
        </w:tc>
        <w:tc>
          <w:tcPr>
            <w:tcW w:w="0" w:type="auto"/>
            <w:tcBorders>
              <w:top w:val="single" w:sz="4" w:space="0" w:color="auto"/>
              <w:bottom w:val="single" w:sz="4" w:space="0" w:color="auto"/>
            </w:tcBorders>
            <w:shd w:val="clear" w:color="auto" w:fill="auto"/>
            <w:vAlign w:val="center"/>
            <w:hideMark/>
          </w:tcPr>
          <w:p w14:paraId="54669A57" w14:textId="77777777" w:rsidR="00CF19ED" w:rsidRPr="007F23AD" w:rsidRDefault="00CF19ED" w:rsidP="006B21BF">
            <w:pPr>
              <w:spacing w:line="360" w:lineRule="auto"/>
              <w:jc w:val="center"/>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Definition</w:t>
            </w:r>
          </w:p>
        </w:tc>
      </w:tr>
      <w:tr w:rsidR="007F23AD" w:rsidRPr="007F23AD" w14:paraId="4235FE7D" w14:textId="77777777">
        <w:trPr>
          <w:tblCellSpacing w:w="15" w:type="dxa"/>
        </w:trPr>
        <w:tc>
          <w:tcPr>
            <w:tcW w:w="0" w:type="auto"/>
            <w:shd w:val="clear" w:color="auto" w:fill="auto"/>
            <w:vAlign w:val="center"/>
            <w:hideMark/>
          </w:tcPr>
          <w:p w14:paraId="3863A676"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USA</w:t>
            </w:r>
          </w:p>
        </w:tc>
        <w:tc>
          <w:tcPr>
            <w:tcW w:w="0" w:type="auto"/>
            <w:shd w:val="clear" w:color="auto" w:fill="auto"/>
            <w:vAlign w:val="center"/>
            <w:hideMark/>
          </w:tcPr>
          <w:p w14:paraId="61F5D91A" w14:textId="77777777" w:rsidR="00CF19ED" w:rsidRPr="007F23AD" w:rsidRDefault="00CF19ED" w:rsidP="006B21BF">
            <w:pPr>
              <w:spacing w:line="360" w:lineRule="auto"/>
              <w:jc w:val="center"/>
              <w:rPr>
                <w:rFonts w:ascii="Calibri" w:hAnsi="Calibri" w:cs="Calibri"/>
                <w:color w:val="000000" w:themeColor="text1"/>
                <w:sz w:val="22"/>
                <w:szCs w:val="22"/>
              </w:rPr>
            </w:pPr>
            <w:r w:rsidRPr="007F23AD">
              <w:rPr>
                <w:rFonts w:ascii="Calibri" w:hAnsi="Calibri" w:cs="Calibri"/>
                <w:color w:val="000000" w:themeColor="text1"/>
                <w:sz w:val="22"/>
                <w:szCs w:val="22"/>
                <w:lang w:val="en-GB"/>
              </w:rPr>
              <w:t>For construction small business, usually have less $45 million dollar earnings.</w:t>
            </w:r>
          </w:p>
        </w:tc>
        <w:tc>
          <w:tcPr>
            <w:tcW w:w="0" w:type="auto"/>
            <w:shd w:val="clear" w:color="auto" w:fill="auto"/>
            <w:vAlign w:val="center"/>
            <w:hideMark/>
          </w:tcPr>
          <w:p w14:paraId="2F96AB4A"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Defined by ownership structure, number of employees, earnings, and industry.</w:t>
            </w:r>
          </w:p>
        </w:tc>
      </w:tr>
      <w:tr w:rsidR="007F23AD" w:rsidRPr="007F23AD" w14:paraId="141279F0" w14:textId="77777777">
        <w:trPr>
          <w:tblCellSpacing w:w="15" w:type="dxa"/>
        </w:trPr>
        <w:tc>
          <w:tcPr>
            <w:tcW w:w="0" w:type="auto"/>
            <w:shd w:val="clear" w:color="auto" w:fill="auto"/>
            <w:vAlign w:val="center"/>
            <w:hideMark/>
          </w:tcPr>
          <w:p w14:paraId="2C70DBA0"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EU</w:t>
            </w:r>
          </w:p>
        </w:tc>
        <w:tc>
          <w:tcPr>
            <w:tcW w:w="0" w:type="auto"/>
            <w:shd w:val="clear" w:color="auto" w:fill="auto"/>
            <w:vAlign w:val="center"/>
            <w:hideMark/>
          </w:tcPr>
          <w:p w14:paraId="00A65748"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Micro businesses: &lt;10 employees</w:t>
            </w:r>
          </w:p>
          <w:p w14:paraId="086F0395"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Small businesses: &lt;50 employees</w:t>
            </w:r>
          </w:p>
          <w:p w14:paraId="25E914DE"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Medium businesses: &lt;250 employees</w:t>
            </w:r>
          </w:p>
        </w:tc>
        <w:tc>
          <w:tcPr>
            <w:tcW w:w="0" w:type="auto"/>
            <w:shd w:val="clear" w:color="auto" w:fill="auto"/>
            <w:vAlign w:val="center"/>
            <w:hideMark/>
          </w:tcPr>
          <w:p w14:paraId="79D24E4B"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Defined by Staff headcount, Turnover or Balance sheet total</w:t>
            </w:r>
          </w:p>
        </w:tc>
      </w:tr>
      <w:tr w:rsidR="007F23AD" w:rsidRPr="007F23AD" w14:paraId="60B5F7BE" w14:textId="77777777">
        <w:trPr>
          <w:tblCellSpacing w:w="15" w:type="dxa"/>
        </w:trPr>
        <w:tc>
          <w:tcPr>
            <w:tcW w:w="0" w:type="auto"/>
            <w:shd w:val="clear" w:color="auto" w:fill="auto"/>
            <w:vAlign w:val="center"/>
            <w:hideMark/>
          </w:tcPr>
          <w:p w14:paraId="23DCB099"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China</w:t>
            </w:r>
          </w:p>
        </w:tc>
        <w:tc>
          <w:tcPr>
            <w:tcW w:w="0" w:type="auto"/>
            <w:shd w:val="clear" w:color="auto" w:fill="auto"/>
            <w:vAlign w:val="center"/>
            <w:hideMark/>
          </w:tcPr>
          <w:p w14:paraId="646FB133"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SMEs businesses: &lt;300 employees or &lt; </w:t>
            </w:r>
            <w:r w:rsidRPr="007F23AD">
              <w:rPr>
                <w:rFonts w:ascii="Calibri" w:eastAsiaTheme="majorEastAsia" w:hAnsi="Calibri" w:cs="Calibri"/>
                <w:color w:val="000000" w:themeColor="text1"/>
                <w:sz w:val="22"/>
                <w:szCs w:val="22"/>
                <w:lang w:val="en-GB"/>
              </w:rPr>
              <w:t>£</w:t>
            </w:r>
            <w:r w:rsidRPr="007F23AD">
              <w:rPr>
                <w:rFonts w:ascii="Calibri" w:hAnsi="Calibri" w:cs="Calibri"/>
                <w:color w:val="000000" w:themeColor="text1"/>
                <w:sz w:val="22"/>
                <w:szCs w:val="22"/>
                <w:lang w:val="en-GB"/>
              </w:rPr>
              <w:t>111 million revenue</w:t>
            </w:r>
          </w:p>
        </w:tc>
        <w:tc>
          <w:tcPr>
            <w:tcW w:w="0" w:type="auto"/>
            <w:shd w:val="clear" w:color="auto" w:fill="auto"/>
            <w:vAlign w:val="center"/>
            <w:hideMark/>
          </w:tcPr>
          <w:p w14:paraId="2BEDE6A4"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Defined by revenue, number of employees, or total assets.</w:t>
            </w:r>
          </w:p>
        </w:tc>
      </w:tr>
      <w:tr w:rsidR="00CF19ED" w:rsidRPr="007F23AD" w14:paraId="332564F9" w14:textId="77777777">
        <w:trPr>
          <w:tblCellSpacing w:w="15" w:type="dxa"/>
        </w:trPr>
        <w:tc>
          <w:tcPr>
            <w:tcW w:w="0" w:type="auto"/>
            <w:tcBorders>
              <w:bottom w:val="single" w:sz="4" w:space="0" w:color="auto"/>
            </w:tcBorders>
            <w:shd w:val="clear" w:color="auto" w:fill="auto"/>
            <w:vAlign w:val="center"/>
            <w:hideMark/>
          </w:tcPr>
          <w:p w14:paraId="3FEE2FE1"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Developing Countries</w:t>
            </w:r>
          </w:p>
        </w:tc>
        <w:tc>
          <w:tcPr>
            <w:tcW w:w="0" w:type="auto"/>
            <w:tcBorders>
              <w:bottom w:val="single" w:sz="4" w:space="0" w:color="auto"/>
            </w:tcBorders>
            <w:shd w:val="clear" w:color="auto" w:fill="auto"/>
            <w:vAlign w:val="center"/>
            <w:hideMark/>
          </w:tcPr>
          <w:p w14:paraId="2FAFAE3F"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Countries have their own scale based the staff number or earnings</w:t>
            </w:r>
          </w:p>
        </w:tc>
        <w:tc>
          <w:tcPr>
            <w:tcW w:w="0" w:type="auto"/>
            <w:tcBorders>
              <w:bottom w:val="single" w:sz="4" w:space="0" w:color="auto"/>
            </w:tcBorders>
            <w:shd w:val="clear" w:color="auto" w:fill="auto"/>
            <w:vAlign w:val="center"/>
            <w:hideMark/>
          </w:tcPr>
          <w:p w14:paraId="01BC62C2"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Defined by scale or structure.</w:t>
            </w:r>
          </w:p>
        </w:tc>
      </w:tr>
    </w:tbl>
    <w:p w14:paraId="467DF516" w14:textId="77777777" w:rsidR="00C84A78" w:rsidRPr="007F23AD" w:rsidRDefault="00C84A78" w:rsidP="00CF19ED">
      <w:pPr>
        <w:spacing w:line="480" w:lineRule="auto"/>
        <w:jc w:val="both"/>
        <w:rPr>
          <w:rFonts w:ascii="Calibri" w:hAnsi="Calibri" w:cs="Calibri"/>
          <w:color w:val="000000" w:themeColor="text1"/>
          <w:sz w:val="22"/>
          <w:szCs w:val="22"/>
          <w:lang w:val="en-GB"/>
        </w:rPr>
      </w:pPr>
    </w:p>
    <w:p w14:paraId="1D9195DC" w14:textId="60B21851" w:rsidR="00CF19ED" w:rsidRPr="007F23AD" w:rsidRDefault="00DC36AC" w:rsidP="00CF19ED">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 xml:space="preserve">Many </w:t>
      </w:r>
      <w:r w:rsidR="00FA6AD2" w:rsidRPr="007F23AD">
        <w:rPr>
          <w:rFonts w:ascii="Calibri" w:hAnsi="Calibri" w:cs="Calibri"/>
          <w:color w:val="000000" w:themeColor="text1"/>
          <w:sz w:val="22"/>
          <w:szCs w:val="22"/>
          <w:lang w:val="en-GB"/>
        </w:rPr>
        <w:t>literatures</w:t>
      </w:r>
      <w:r w:rsidR="00CF19ED" w:rsidRPr="007F23AD">
        <w:rPr>
          <w:rFonts w:ascii="Calibri" w:hAnsi="Calibri" w:cs="Calibri"/>
          <w:color w:val="000000" w:themeColor="text1"/>
          <w:sz w:val="22"/>
          <w:szCs w:val="22"/>
          <w:lang w:val="en-GB"/>
        </w:rPr>
        <w:t xml:space="preserve"> </w:t>
      </w:r>
      <w:r w:rsidR="00C627F8" w:rsidRPr="007F23AD">
        <w:rPr>
          <w:rFonts w:ascii="Calibri" w:hAnsi="Calibri" w:cs="Calibri"/>
          <w:color w:val="000000" w:themeColor="text1"/>
          <w:sz w:val="22"/>
          <w:szCs w:val="22"/>
          <w:lang w:val="en-GB"/>
        </w:rPr>
        <w:t>offer</w:t>
      </w:r>
      <w:r w:rsidR="00CF19ED" w:rsidRPr="007F23AD">
        <w:rPr>
          <w:rFonts w:ascii="Calibri" w:hAnsi="Calibri" w:cs="Calibri"/>
          <w:color w:val="000000" w:themeColor="text1"/>
          <w:sz w:val="22"/>
          <w:szCs w:val="22"/>
          <w:lang w:val="en-GB"/>
        </w:rPr>
        <w:t xml:space="preserve"> diverse interpretations </w:t>
      </w:r>
      <w:r w:rsidR="0041193A" w:rsidRPr="007F23AD">
        <w:rPr>
          <w:rFonts w:ascii="Calibri" w:hAnsi="Calibri" w:cs="Calibri"/>
          <w:color w:val="000000" w:themeColor="text1"/>
          <w:sz w:val="22"/>
          <w:szCs w:val="22"/>
          <w:lang w:val="en-GB"/>
        </w:rPr>
        <w:t xml:space="preserve">on </w:t>
      </w:r>
      <w:r w:rsidR="00CF19ED" w:rsidRPr="007F23AD">
        <w:rPr>
          <w:rFonts w:ascii="Calibri" w:hAnsi="Calibri" w:cs="Calibri"/>
          <w:color w:val="000000" w:themeColor="text1"/>
          <w:sz w:val="22"/>
          <w:szCs w:val="22"/>
          <w:lang w:val="en-GB"/>
        </w:rPr>
        <w:t xml:space="preserve">the distinct characteristics of construction SMEs. To bridge this gap, this paper organizes these characteristics, based on existing literature, into </w:t>
      </w:r>
      <w:r w:rsidR="000E154E" w:rsidRPr="007F23AD">
        <w:rPr>
          <w:rFonts w:ascii="Calibri" w:hAnsi="Calibri" w:cs="Calibri"/>
          <w:color w:val="000000" w:themeColor="text1"/>
          <w:sz w:val="22"/>
          <w:szCs w:val="22"/>
          <w:lang w:val="en-GB"/>
        </w:rPr>
        <w:t>Table II</w:t>
      </w:r>
      <w:r w:rsidR="00CF19ED" w:rsidRPr="007F23AD">
        <w:rPr>
          <w:rFonts w:ascii="Calibri" w:hAnsi="Calibri" w:cs="Calibri"/>
          <w:color w:val="000000" w:themeColor="text1"/>
          <w:sz w:val="22"/>
          <w:szCs w:val="22"/>
          <w:lang w:val="en-GB"/>
        </w:rPr>
        <w:t>. By comparing the differences between SMEs and large-scale construction enterprises, this study aims to illuminate the distinct nuances of SMEs</w:t>
      </w:r>
      <w:r w:rsidR="000143C3" w:rsidRPr="007F23AD">
        <w:rPr>
          <w:rFonts w:ascii="Calibri" w:hAnsi="Calibri" w:cs="Calibri"/>
          <w:color w:val="000000" w:themeColor="text1"/>
          <w:sz w:val="22"/>
          <w:szCs w:val="22"/>
          <w:lang w:val="en-GB"/>
        </w:rPr>
        <w:t xml:space="preserve">. </w:t>
      </w:r>
    </w:p>
    <w:p w14:paraId="752ED456" w14:textId="77777777" w:rsidR="00CF19ED" w:rsidRPr="007F23AD" w:rsidRDefault="00CF19ED" w:rsidP="00CF19ED">
      <w:pPr>
        <w:spacing w:line="480" w:lineRule="auto"/>
        <w:jc w:val="both"/>
        <w:rPr>
          <w:rFonts w:ascii="Calibri" w:hAnsi="Calibri" w:cs="Calibri"/>
          <w:color w:val="000000" w:themeColor="text1"/>
          <w:sz w:val="22"/>
          <w:szCs w:val="22"/>
          <w:lang w:val="en-GB"/>
        </w:rPr>
      </w:pPr>
    </w:p>
    <w:p w14:paraId="2094E905" w14:textId="532EB155" w:rsidR="00CF19ED" w:rsidRPr="007F23AD" w:rsidRDefault="000E154E" w:rsidP="00CF19ED">
      <w:pPr>
        <w:spacing w:line="480" w:lineRule="auto"/>
        <w:jc w:val="center"/>
        <w:rPr>
          <w:rFonts w:ascii="Calibri" w:hAnsi="Calibri" w:cs="Calibri"/>
          <w:color w:val="000000" w:themeColor="text1"/>
          <w:sz w:val="22"/>
          <w:szCs w:val="22"/>
          <w:lang w:val="en-GB"/>
        </w:rPr>
      </w:pPr>
      <w:r w:rsidRPr="007F23AD">
        <w:rPr>
          <w:rStyle w:val="normaltextrun"/>
          <w:rFonts w:ascii="Calibri" w:hAnsi="Calibri" w:cs="Calibri"/>
          <w:color w:val="000000" w:themeColor="text1"/>
          <w:sz w:val="22"/>
          <w:szCs w:val="22"/>
          <w:shd w:val="clear" w:color="auto" w:fill="FFFFFF"/>
          <w:lang w:val="en-GB"/>
        </w:rPr>
        <w:t>Table II</w:t>
      </w:r>
      <w:r w:rsidR="00CF19ED" w:rsidRPr="007F23AD">
        <w:rPr>
          <w:rStyle w:val="normaltextrun"/>
          <w:rFonts w:ascii="Calibri" w:hAnsi="Calibri" w:cs="Calibri"/>
          <w:color w:val="000000" w:themeColor="text1"/>
          <w:sz w:val="22"/>
          <w:szCs w:val="22"/>
          <w:shd w:val="clear" w:color="auto" w:fill="FFFFFF"/>
          <w:lang w:val="en-GB"/>
        </w:rPr>
        <w:t>: Characteristics of Construction SMEs compared to large Construction Enterprises</w:t>
      </w:r>
      <w:r w:rsidR="00AF5CF9" w:rsidRPr="007F23AD">
        <w:rPr>
          <w:rStyle w:val="normaltextrun"/>
          <w:rFonts w:ascii="Calibri" w:hAnsi="Calibri" w:cs="Calibri"/>
          <w:color w:val="000000" w:themeColor="text1"/>
          <w:sz w:val="22"/>
          <w:szCs w:val="22"/>
          <w:shd w:val="clear" w:color="auto" w:fill="FFFFFF"/>
          <w:lang w:val="en-GB"/>
        </w:rPr>
        <w:t xml:space="preserve"> adapted from </w:t>
      </w:r>
      <w:r w:rsidR="00AF5CF9" w:rsidRPr="007F23AD">
        <w:rPr>
          <w:rStyle w:val="normaltextrun"/>
          <w:rFonts w:ascii="Calibri" w:hAnsi="Calibri" w:cs="Calibri"/>
          <w:color w:val="000000" w:themeColor="text1"/>
          <w:sz w:val="22"/>
          <w:szCs w:val="22"/>
          <w:shd w:val="clear" w:color="auto" w:fill="FFFFFF"/>
          <w:lang w:val="en-GB"/>
        </w:rPr>
        <w:fldChar w:fldCharType="begin">
          <w:fldData xml:space="preserve">PEVuZE5vdGU+PENpdGU+PEF1dGhvcj5CYWs8L0F1dGhvcj48WWVhcj4yMDIzPC9ZZWFyPjxSZWNO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</w:fldData>
        </w:fldChar>
      </w:r>
      <w:r w:rsidR="00922C2B" w:rsidRPr="007F23AD">
        <w:rPr>
          <w:rStyle w:val="normaltextrun"/>
          <w:rFonts w:ascii="Calibri" w:hAnsi="Calibri" w:cs="Calibri"/>
          <w:color w:val="000000" w:themeColor="text1"/>
          <w:sz w:val="22"/>
          <w:szCs w:val="22"/>
          <w:shd w:val="clear" w:color="auto" w:fill="FFFFFF"/>
          <w:lang w:val="en-GB"/>
        </w:rPr>
        <w:instrText xml:space="preserve"> ADDIN EN.CITE </w:instrText>
      </w:r>
      <w:r w:rsidR="00922C2B" w:rsidRPr="007F23AD">
        <w:rPr>
          <w:rStyle w:val="normaltextrun"/>
          <w:rFonts w:ascii="Calibri" w:hAnsi="Calibri" w:cs="Calibri"/>
          <w:color w:val="000000" w:themeColor="text1"/>
          <w:sz w:val="22"/>
          <w:szCs w:val="22"/>
          <w:shd w:val="clear" w:color="auto" w:fill="FFFFFF"/>
          <w:lang w:val="en-GB"/>
        </w:rPr>
        <w:fldChar w:fldCharType="begin">
          <w:fldData xml:space="preserve">PEVuZE5vdGU+PENpdGU+PEF1dGhvcj5CYWs8L0F1dGhvcj48WWVhcj4yMDIzPC9ZZWFyPjxSZWNO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</w:fldData>
        </w:fldChar>
      </w:r>
      <w:r w:rsidR="00922C2B" w:rsidRPr="007F23AD">
        <w:rPr>
          <w:rStyle w:val="normaltextrun"/>
          <w:rFonts w:ascii="Calibri" w:hAnsi="Calibri" w:cs="Calibri"/>
          <w:color w:val="000000" w:themeColor="text1"/>
          <w:sz w:val="22"/>
          <w:szCs w:val="22"/>
          <w:shd w:val="clear" w:color="auto" w:fill="FFFFFF"/>
          <w:lang w:val="en-GB"/>
        </w:rPr>
        <w:instrText xml:space="preserve"> ADDIN EN.CITE.DATA </w:instrText>
      </w:r>
      <w:r w:rsidR="00922C2B" w:rsidRPr="007F23AD">
        <w:rPr>
          <w:rStyle w:val="normaltextrun"/>
          <w:rFonts w:ascii="Calibri" w:hAnsi="Calibri" w:cs="Calibri"/>
          <w:color w:val="000000" w:themeColor="text1"/>
          <w:sz w:val="22"/>
          <w:szCs w:val="22"/>
          <w:shd w:val="clear" w:color="auto" w:fill="FFFFFF"/>
          <w:lang w:val="en-GB"/>
        </w:rPr>
      </w:r>
      <w:r w:rsidR="00922C2B" w:rsidRPr="007F23AD">
        <w:rPr>
          <w:rStyle w:val="normaltextrun"/>
          <w:rFonts w:ascii="Calibri" w:hAnsi="Calibri" w:cs="Calibri"/>
          <w:color w:val="000000" w:themeColor="text1"/>
          <w:sz w:val="22"/>
          <w:szCs w:val="22"/>
          <w:shd w:val="clear" w:color="auto" w:fill="FFFFFF"/>
          <w:lang w:val="en-GB"/>
        </w:rPr>
        <w:fldChar w:fldCharType="end"/>
      </w:r>
      <w:r w:rsidR="00AF5CF9" w:rsidRPr="007F23AD">
        <w:rPr>
          <w:rStyle w:val="normaltextrun"/>
          <w:rFonts w:ascii="Calibri" w:hAnsi="Calibri" w:cs="Calibri"/>
          <w:color w:val="000000" w:themeColor="text1"/>
          <w:sz w:val="22"/>
          <w:szCs w:val="22"/>
          <w:shd w:val="clear" w:color="auto" w:fill="FFFFFF"/>
          <w:lang w:val="en-GB"/>
        </w:rPr>
      </w:r>
      <w:r w:rsidR="00AF5CF9" w:rsidRPr="007F23AD">
        <w:rPr>
          <w:rStyle w:val="normaltextrun"/>
          <w:rFonts w:ascii="Calibri" w:hAnsi="Calibri" w:cs="Calibri"/>
          <w:color w:val="000000" w:themeColor="text1"/>
          <w:sz w:val="22"/>
          <w:szCs w:val="22"/>
          <w:shd w:val="clear" w:color="auto" w:fill="FFFFFF"/>
          <w:lang w:val="en-GB"/>
        </w:rPr>
        <w:fldChar w:fldCharType="separate"/>
      </w:r>
      <w:r w:rsidR="00E779E9" w:rsidRPr="007F23AD">
        <w:rPr>
          <w:rStyle w:val="normaltextrun"/>
          <w:rFonts w:ascii="Calibri" w:hAnsi="Calibri" w:cs="Calibri"/>
          <w:noProof/>
          <w:color w:val="000000" w:themeColor="text1"/>
          <w:sz w:val="22"/>
          <w:szCs w:val="22"/>
          <w:shd w:val="clear" w:color="auto" w:fill="FFFFFF"/>
          <w:lang w:val="en-GB"/>
        </w:rPr>
        <w:t>(Kheni et al. 2008; Bak et al. 2023)</w:t>
      </w:r>
      <w:r w:rsidR="00AF5CF9" w:rsidRPr="007F23AD">
        <w:rPr>
          <w:rStyle w:val="normaltextrun"/>
          <w:rFonts w:ascii="Calibri" w:hAnsi="Calibri" w:cs="Calibri"/>
          <w:color w:val="000000" w:themeColor="text1"/>
          <w:sz w:val="22"/>
          <w:szCs w:val="22"/>
          <w:shd w:val="clear" w:color="auto" w:fill="FFFFFF"/>
          <w:lang w:val="en-GB"/>
        </w:rPr>
        <w:fldChar w:fldCharType="end"/>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161"/>
        <w:gridCol w:w="3496"/>
      </w:tblGrid>
      <w:tr w:rsidR="007F23AD" w:rsidRPr="007F23AD" w14:paraId="0575CB85" w14:textId="77777777">
        <w:tc>
          <w:tcPr>
            <w:tcW w:w="1643" w:type="dxa"/>
            <w:tcBorders>
              <w:top w:val="single" w:sz="12" w:space="0" w:color="auto"/>
              <w:bottom w:val="single" w:sz="12" w:space="0" w:color="auto"/>
            </w:tcBorders>
            <w:vAlign w:val="center"/>
          </w:tcPr>
          <w:p w14:paraId="0BBC2F60" w14:textId="77777777" w:rsidR="00CF19ED" w:rsidRPr="007F23AD" w:rsidRDefault="00CF19ED" w:rsidP="006B21BF">
            <w:pPr>
              <w:spacing w:line="360" w:lineRule="auto"/>
              <w:jc w:val="center"/>
              <w:rPr>
                <w:rFonts w:ascii="Calibri" w:hAnsi="Calibri" w:cs="Calibri"/>
                <w:b/>
                <w:bCs/>
                <w:color w:val="000000" w:themeColor="text1"/>
                <w:kern w:val="0"/>
                <w:sz w:val="22"/>
                <w:szCs w:val="22"/>
                <w:lang w:val="en-GB" w:eastAsia="en-US"/>
              </w:rPr>
            </w:pPr>
            <w:r w:rsidRPr="007F23AD">
              <w:rPr>
                <w:rFonts w:ascii="Calibri" w:hAnsi="Calibri" w:cs="Calibri"/>
                <w:b/>
                <w:bCs/>
                <w:color w:val="000000" w:themeColor="text1"/>
                <w:kern w:val="0"/>
                <w:sz w:val="22"/>
                <w:szCs w:val="22"/>
                <w:lang w:val="en-GB" w:eastAsia="en-US"/>
              </w:rPr>
              <w:t>Characteristics</w:t>
            </w:r>
          </w:p>
        </w:tc>
        <w:tc>
          <w:tcPr>
            <w:tcW w:w="3161" w:type="dxa"/>
            <w:tcBorders>
              <w:top w:val="single" w:sz="12" w:space="0" w:color="auto"/>
              <w:bottom w:val="single" w:sz="12" w:space="0" w:color="auto"/>
            </w:tcBorders>
            <w:vAlign w:val="center"/>
          </w:tcPr>
          <w:p w14:paraId="4D721F16" w14:textId="77777777" w:rsidR="00CF19ED" w:rsidRPr="007F23AD" w:rsidRDefault="00CF19ED" w:rsidP="006B21BF">
            <w:pPr>
              <w:spacing w:line="360" w:lineRule="auto"/>
              <w:jc w:val="center"/>
              <w:rPr>
                <w:rFonts w:ascii="Calibri" w:hAnsi="Calibri" w:cs="Calibri"/>
                <w:b/>
                <w:bCs/>
                <w:color w:val="000000" w:themeColor="text1"/>
                <w:kern w:val="0"/>
                <w:sz w:val="22"/>
                <w:szCs w:val="22"/>
                <w:lang w:val="en-GB" w:eastAsia="en-US"/>
              </w:rPr>
            </w:pPr>
            <w:r w:rsidRPr="007F23AD">
              <w:rPr>
                <w:rFonts w:ascii="Calibri" w:hAnsi="Calibri" w:cs="Calibri"/>
                <w:b/>
                <w:bCs/>
                <w:color w:val="000000" w:themeColor="text1"/>
                <w:kern w:val="0"/>
                <w:sz w:val="22"/>
                <w:szCs w:val="22"/>
                <w:lang w:val="en-GB" w:eastAsia="en-US"/>
              </w:rPr>
              <w:t>Construction SMEs</w:t>
            </w:r>
          </w:p>
        </w:tc>
        <w:tc>
          <w:tcPr>
            <w:tcW w:w="0" w:type="auto"/>
            <w:tcBorders>
              <w:top w:val="single" w:sz="12" w:space="0" w:color="auto"/>
              <w:bottom w:val="single" w:sz="12" w:space="0" w:color="auto"/>
            </w:tcBorders>
            <w:vAlign w:val="center"/>
          </w:tcPr>
          <w:p w14:paraId="2E1F6516" w14:textId="77777777" w:rsidR="00CF19ED" w:rsidRPr="007F23AD" w:rsidRDefault="00CF19ED" w:rsidP="006B21BF">
            <w:pPr>
              <w:spacing w:line="360" w:lineRule="auto"/>
              <w:jc w:val="center"/>
              <w:rPr>
                <w:rFonts w:ascii="Calibri" w:hAnsi="Calibri" w:cs="Calibri"/>
                <w:b/>
                <w:bCs/>
                <w:color w:val="000000" w:themeColor="text1"/>
                <w:kern w:val="0"/>
                <w:sz w:val="22"/>
                <w:szCs w:val="22"/>
                <w:lang w:val="en-GB" w:eastAsia="en-US"/>
              </w:rPr>
            </w:pPr>
            <w:r w:rsidRPr="007F23AD">
              <w:rPr>
                <w:rFonts w:ascii="Calibri" w:hAnsi="Calibri" w:cs="Calibri"/>
                <w:b/>
                <w:bCs/>
                <w:color w:val="000000" w:themeColor="text1"/>
                <w:kern w:val="0"/>
                <w:sz w:val="22"/>
                <w:szCs w:val="22"/>
                <w:lang w:val="en-GB" w:eastAsia="en-US"/>
              </w:rPr>
              <w:t>Large Construction Enterprises</w:t>
            </w:r>
          </w:p>
        </w:tc>
      </w:tr>
      <w:tr w:rsidR="007F23AD" w:rsidRPr="007F23AD" w14:paraId="53395CE0" w14:textId="77777777">
        <w:tc>
          <w:tcPr>
            <w:tcW w:w="1643" w:type="dxa"/>
            <w:tcBorders>
              <w:top w:val="single" w:sz="12" w:space="0" w:color="auto"/>
              <w:bottom w:val="single" w:sz="4" w:space="0" w:color="auto"/>
            </w:tcBorders>
            <w:vAlign w:val="center"/>
          </w:tcPr>
          <w:p w14:paraId="130D6E95"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Organizational Structure</w:t>
            </w:r>
          </w:p>
        </w:tc>
        <w:tc>
          <w:tcPr>
            <w:tcW w:w="3161" w:type="dxa"/>
            <w:tcBorders>
              <w:top w:val="single" w:sz="12" w:space="0" w:color="auto"/>
              <w:bottom w:val="single" w:sz="4" w:space="0" w:color="auto"/>
            </w:tcBorders>
            <w:vAlign w:val="center"/>
          </w:tcPr>
          <w:p w14:paraId="055805A0"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Generally simpler, fewer hierarchies</w:t>
            </w:r>
          </w:p>
        </w:tc>
        <w:tc>
          <w:tcPr>
            <w:tcW w:w="0" w:type="auto"/>
            <w:tcBorders>
              <w:top w:val="single" w:sz="12" w:space="0" w:color="auto"/>
              <w:bottom w:val="single" w:sz="4" w:space="0" w:color="auto"/>
            </w:tcBorders>
            <w:vAlign w:val="center"/>
          </w:tcPr>
          <w:p w14:paraId="1CDC8725"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Typically</w:t>
            </w:r>
            <w:r w:rsidRPr="007F23AD">
              <w:rPr>
                <w:rFonts w:ascii="Calibri" w:hAnsi="Calibri" w:cs="Calibri"/>
                <w:color w:val="000000" w:themeColor="text1"/>
                <w:sz w:val="22"/>
                <w:szCs w:val="22"/>
                <w:lang w:val="en-GB"/>
              </w:rPr>
              <w:t>,</w:t>
            </w:r>
            <w:r w:rsidRPr="007F23AD">
              <w:rPr>
                <w:rFonts w:ascii="Calibri" w:hAnsi="Calibri" w:cs="Calibri"/>
                <w:color w:val="000000" w:themeColor="text1"/>
                <w:kern w:val="0"/>
                <w:sz w:val="22"/>
                <w:szCs w:val="22"/>
                <w:lang w:val="en-GB" w:eastAsia="en-US"/>
              </w:rPr>
              <w:t xml:space="preserve"> more complex, with clear hierarchies</w:t>
            </w:r>
          </w:p>
        </w:tc>
      </w:tr>
      <w:tr w:rsidR="007F23AD" w:rsidRPr="007F23AD" w14:paraId="66AC0CE8" w14:textId="77777777">
        <w:tc>
          <w:tcPr>
            <w:tcW w:w="1643" w:type="dxa"/>
            <w:tcBorders>
              <w:top w:val="single" w:sz="4" w:space="0" w:color="auto"/>
              <w:bottom w:val="single" w:sz="4" w:space="0" w:color="auto"/>
            </w:tcBorders>
            <w:vAlign w:val="center"/>
          </w:tcPr>
          <w:p w14:paraId="5AACCD52"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Product Line</w:t>
            </w:r>
          </w:p>
        </w:tc>
        <w:tc>
          <w:tcPr>
            <w:tcW w:w="3161" w:type="dxa"/>
            <w:tcBorders>
              <w:top w:val="single" w:sz="4" w:space="0" w:color="auto"/>
              <w:bottom w:val="single" w:sz="4" w:space="0" w:color="auto"/>
            </w:tcBorders>
            <w:vAlign w:val="center"/>
          </w:tcPr>
          <w:p w14:paraId="324DBBB9" w14:textId="2F27900E"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May be limited, focusing on certain types of projects</w:t>
            </w:r>
          </w:p>
        </w:tc>
        <w:tc>
          <w:tcPr>
            <w:tcW w:w="0" w:type="auto"/>
            <w:tcBorders>
              <w:top w:val="single" w:sz="4" w:space="0" w:color="auto"/>
              <w:bottom w:val="single" w:sz="4" w:space="0" w:color="auto"/>
            </w:tcBorders>
            <w:vAlign w:val="center"/>
          </w:tcPr>
          <w:p w14:paraId="6B27887D" w14:textId="429C7176"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Diversified, covering a variety of projects</w:t>
            </w:r>
          </w:p>
        </w:tc>
      </w:tr>
      <w:tr w:rsidR="007F23AD" w:rsidRPr="007F23AD" w14:paraId="56F863CF" w14:textId="77777777">
        <w:tc>
          <w:tcPr>
            <w:tcW w:w="1643" w:type="dxa"/>
            <w:tcBorders>
              <w:top w:val="single" w:sz="4" w:space="0" w:color="auto"/>
              <w:bottom w:val="single" w:sz="4" w:space="0" w:color="auto"/>
            </w:tcBorders>
            <w:vAlign w:val="center"/>
          </w:tcPr>
          <w:p w14:paraId="717816E4"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Geographical Presence</w:t>
            </w:r>
          </w:p>
        </w:tc>
        <w:tc>
          <w:tcPr>
            <w:tcW w:w="3161" w:type="dxa"/>
            <w:tcBorders>
              <w:top w:val="single" w:sz="4" w:space="0" w:color="auto"/>
              <w:bottom w:val="single" w:sz="4" w:space="0" w:color="auto"/>
            </w:tcBorders>
            <w:vAlign w:val="center"/>
          </w:tcPr>
          <w:p w14:paraId="27131746" w14:textId="77777777" w:rsidR="00CF19ED" w:rsidRPr="007F23AD" w:rsidRDefault="00CF19ED" w:rsidP="006B21BF">
            <w:pPr>
              <w:tabs>
                <w:tab w:val="left" w:pos="1217"/>
              </w:tabs>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Typically operate within a local or regional scope</w:t>
            </w:r>
          </w:p>
        </w:tc>
        <w:tc>
          <w:tcPr>
            <w:tcW w:w="0" w:type="auto"/>
            <w:tcBorders>
              <w:top w:val="single" w:sz="4" w:space="0" w:color="auto"/>
              <w:bottom w:val="single" w:sz="4" w:space="0" w:color="auto"/>
            </w:tcBorders>
            <w:vAlign w:val="center"/>
          </w:tcPr>
          <w:p w14:paraId="2270A861"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Operate across multiple regions, nationwide or even globally</w:t>
            </w:r>
          </w:p>
        </w:tc>
      </w:tr>
      <w:tr w:rsidR="007F23AD" w:rsidRPr="007F23AD" w14:paraId="5DC72B3B" w14:textId="77777777">
        <w:tc>
          <w:tcPr>
            <w:tcW w:w="1643" w:type="dxa"/>
            <w:tcBorders>
              <w:top w:val="single" w:sz="4" w:space="0" w:color="auto"/>
              <w:bottom w:val="single" w:sz="4" w:space="0" w:color="auto"/>
            </w:tcBorders>
            <w:vAlign w:val="center"/>
          </w:tcPr>
          <w:p w14:paraId="1219DC7C"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Ownership</w:t>
            </w:r>
          </w:p>
        </w:tc>
        <w:tc>
          <w:tcPr>
            <w:tcW w:w="3161" w:type="dxa"/>
            <w:tcBorders>
              <w:top w:val="single" w:sz="4" w:space="0" w:color="auto"/>
              <w:bottom w:val="single" w:sz="4" w:space="0" w:color="auto"/>
            </w:tcBorders>
            <w:vAlign w:val="center"/>
          </w:tcPr>
          <w:p w14:paraId="052C4430"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Likely to be private, family-owned</w:t>
            </w:r>
            <w:r w:rsidRPr="007F23AD">
              <w:rPr>
                <w:rFonts w:ascii="Calibri" w:hAnsi="Calibri" w:cs="Calibri"/>
                <w:color w:val="000000" w:themeColor="text1"/>
                <w:sz w:val="22"/>
                <w:szCs w:val="22"/>
                <w:lang w:val="en-GB"/>
              </w:rPr>
              <w:t>,</w:t>
            </w:r>
            <w:r w:rsidRPr="007F23AD">
              <w:rPr>
                <w:rFonts w:ascii="Calibri" w:hAnsi="Calibri" w:cs="Calibri"/>
                <w:color w:val="000000" w:themeColor="text1"/>
                <w:kern w:val="0"/>
                <w:sz w:val="22"/>
                <w:szCs w:val="22"/>
                <w:lang w:val="en-GB" w:eastAsia="en-US"/>
              </w:rPr>
              <w:t xml:space="preserve"> or partnership-based</w:t>
            </w:r>
          </w:p>
        </w:tc>
        <w:tc>
          <w:tcPr>
            <w:tcW w:w="0" w:type="auto"/>
            <w:tcBorders>
              <w:top w:val="single" w:sz="4" w:space="0" w:color="auto"/>
              <w:bottom w:val="single" w:sz="4" w:space="0" w:color="auto"/>
            </w:tcBorders>
            <w:vAlign w:val="center"/>
          </w:tcPr>
          <w:p w14:paraId="0E408F53"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Possibly publicly listed, with diversified equity structures</w:t>
            </w:r>
          </w:p>
        </w:tc>
      </w:tr>
      <w:tr w:rsidR="007F23AD" w:rsidRPr="007F23AD" w14:paraId="255FE9B1" w14:textId="77777777">
        <w:tc>
          <w:tcPr>
            <w:tcW w:w="1643" w:type="dxa"/>
            <w:tcBorders>
              <w:top w:val="single" w:sz="4" w:space="0" w:color="auto"/>
              <w:bottom w:val="single" w:sz="4" w:space="0" w:color="auto"/>
            </w:tcBorders>
            <w:vAlign w:val="center"/>
          </w:tcPr>
          <w:p w14:paraId="3CD26C99"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Position in the Supply Chain</w:t>
            </w:r>
          </w:p>
        </w:tc>
        <w:tc>
          <w:tcPr>
            <w:tcW w:w="3161" w:type="dxa"/>
            <w:tcBorders>
              <w:top w:val="single" w:sz="4" w:space="0" w:color="auto"/>
              <w:bottom w:val="single" w:sz="4" w:space="0" w:color="auto"/>
            </w:tcBorders>
            <w:vAlign w:val="center"/>
          </w:tcPr>
          <w:p w14:paraId="6F9CEE37"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Likely to be a smaller link in the supply chain</w:t>
            </w:r>
          </w:p>
        </w:tc>
        <w:tc>
          <w:tcPr>
            <w:tcW w:w="0" w:type="auto"/>
            <w:tcBorders>
              <w:top w:val="single" w:sz="4" w:space="0" w:color="auto"/>
              <w:bottom w:val="single" w:sz="4" w:space="0" w:color="auto"/>
            </w:tcBorders>
            <w:vAlign w:val="center"/>
          </w:tcPr>
          <w:p w14:paraId="726B9C81" w14:textId="77777777" w:rsidR="00CF19ED" w:rsidRPr="007F23AD" w:rsidRDefault="00CF19ED" w:rsidP="006B21BF">
            <w:pPr>
              <w:spacing w:line="360" w:lineRule="auto"/>
              <w:jc w:val="center"/>
              <w:rPr>
                <w:rFonts w:ascii="Calibri" w:hAnsi="Calibri" w:cs="Calibri"/>
                <w:color w:val="000000" w:themeColor="text1"/>
                <w:kern w:val="0"/>
                <w:sz w:val="22"/>
                <w:szCs w:val="22"/>
                <w:lang w:val="en-GB" w:eastAsia="en-US"/>
              </w:rPr>
            </w:pPr>
            <w:r w:rsidRPr="007F23AD">
              <w:rPr>
                <w:rFonts w:ascii="Calibri" w:hAnsi="Calibri" w:cs="Calibri"/>
                <w:color w:val="000000" w:themeColor="text1"/>
                <w:kern w:val="0"/>
                <w:sz w:val="22"/>
                <w:szCs w:val="22"/>
                <w:lang w:val="en-GB" w:eastAsia="en-US"/>
              </w:rPr>
              <w:t>Likely to be a major or key link in the supply chain</w:t>
            </w:r>
          </w:p>
        </w:tc>
      </w:tr>
      <w:tr w:rsidR="007F23AD" w:rsidRPr="007F23AD" w14:paraId="772553D1" w14:textId="77777777">
        <w:tc>
          <w:tcPr>
            <w:tcW w:w="1643" w:type="dxa"/>
            <w:tcBorders>
              <w:top w:val="single" w:sz="4" w:space="0" w:color="auto"/>
              <w:bottom w:val="single" w:sz="4" w:space="0" w:color="auto"/>
            </w:tcBorders>
            <w:vAlign w:val="center"/>
          </w:tcPr>
          <w:p w14:paraId="291F8E16"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Operational Flexibility</w:t>
            </w:r>
          </w:p>
        </w:tc>
        <w:tc>
          <w:tcPr>
            <w:tcW w:w="3161" w:type="dxa"/>
            <w:tcBorders>
              <w:top w:val="single" w:sz="4" w:space="0" w:color="auto"/>
              <w:bottom w:val="single" w:sz="4" w:space="0" w:color="auto"/>
            </w:tcBorders>
            <w:vAlign w:val="center"/>
          </w:tcPr>
          <w:p w14:paraId="3A9AA61A"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High, due to smaller size and less bureaucracy.</w:t>
            </w:r>
          </w:p>
        </w:tc>
        <w:tc>
          <w:tcPr>
            <w:tcW w:w="0" w:type="auto"/>
            <w:tcBorders>
              <w:top w:val="single" w:sz="4" w:space="0" w:color="auto"/>
              <w:bottom w:val="single" w:sz="4" w:space="0" w:color="auto"/>
            </w:tcBorders>
            <w:vAlign w:val="center"/>
          </w:tcPr>
          <w:p w14:paraId="59E3118E"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Lower, due to larger size and more complex decision-making processes.</w:t>
            </w:r>
          </w:p>
        </w:tc>
      </w:tr>
      <w:tr w:rsidR="007F23AD" w:rsidRPr="007F23AD" w14:paraId="5E4376E7" w14:textId="77777777">
        <w:tc>
          <w:tcPr>
            <w:tcW w:w="1643" w:type="dxa"/>
            <w:tcBorders>
              <w:top w:val="single" w:sz="4" w:space="0" w:color="auto"/>
              <w:bottom w:val="single" w:sz="4" w:space="0" w:color="auto"/>
            </w:tcBorders>
            <w:vAlign w:val="center"/>
          </w:tcPr>
          <w:p w14:paraId="6E0D73F5"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Risk Management</w:t>
            </w:r>
          </w:p>
        </w:tc>
        <w:tc>
          <w:tcPr>
            <w:tcW w:w="3161" w:type="dxa"/>
            <w:tcBorders>
              <w:top w:val="single" w:sz="4" w:space="0" w:color="auto"/>
              <w:bottom w:val="single" w:sz="4" w:space="0" w:color="auto"/>
            </w:tcBorders>
            <w:vAlign w:val="center"/>
          </w:tcPr>
          <w:p w14:paraId="152661BD"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May have less formal risk management strategies.</w:t>
            </w:r>
          </w:p>
        </w:tc>
        <w:tc>
          <w:tcPr>
            <w:tcW w:w="0" w:type="auto"/>
            <w:tcBorders>
              <w:top w:val="single" w:sz="4" w:space="0" w:color="auto"/>
              <w:bottom w:val="single" w:sz="4" w:space="0" w:color="auto"/>
            </w:tcBorders>
            <w:vAlign w:val="center"/>
          </w:tcPr>
          <w:p w14:paraId="7C803A24"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Likely to have formalized risk management strategies in place.</w:t>
            </w:r>
          </w:p>
        </w:tc>
      </w:tr>
      <w:tr w:rsidR="00CF19ED" w:rsidRPr="007F23AD" w14:paraId="6CDB140A" w14:textId="77777777">
        <w:tc>
          <w:tcPr>
            <w:tcW w:w="1643" w:type="dxa"/>
            <w:tcBorders>
              <w:top w:val="single" w:sz="4" w:space="0" w:color="auto"/>
              <w:bottom w:val="single" w:sz="12" w:space="0" w:color="auto"/>
            </w:tcBorders>
            <w:vAlign w:val="center"/>
          </w:tcPr>
          <w:p w14:paraId="5D3577A0"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Information resources</w:t>
            </w:r>
          </w:p>
        </w:tc>
        <w:tc>
          <w:tcPr>
            <w:tcW w:w="3161" w:type="dxa"/>
            <w:tcBorders>
              <w:top w:val="single" w:sz="4" w:space="0" w:color="auto"/>
              <w:bottom w:val="single" w:sz="12" w:space="0" w:color="auto"/>
            </w:tcBorders>
            <w:vAlign w:val="center"/>
          </w:tcPr>
          <w:p w14:paraId="673B0AB1"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Single, often from other company</w:t>
            </w:r>
          </w:p>
        </w:tc>
        <w:tc>
          <w:tcPr>
            <w:tcW w:w="0" w:type="auto"/>
            <w:tcBorders>
              <w:top w:val="single" w:sz="4" w:space="0" w:color="auto"/>
              <w:bottom w:val="single" w:sz="12" w:space="0" w:color="auto"/>
            </w:tcBorders>
            <w:vAlign w:val="center"/>
          </w:tcPr>
          <w:p w14:paraId="5F1612C6" w14:textId="77777777" w:rsidR="00CF19ED" w:rsidRPr="007F23AD" w:rsidRDefault="00CF19ED" w:rsidP="006B21BF">
            <w:pPr>
              <w:spacing w:line="360" w:lineRule="auto"/>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Multiple, from government or their own sources </w:t>
            </w:r>
          </w:p>
        </w:tc>
      </w:tr>
    </w:tbl>
    <w:p w14:paraId="2B9CA2DE" w14:textId="77777777" w:rsidR="00CF19ED" w:rsidRPr="007F23AD" w:rsidRDefault="00CF19ED" w:rsidP="00CF19ED">
      <w:pPr>
        <w:spacing w:line="480" w:lineRule="auto"/>
        <w:jc w:val="both"/>
        <w:rPr>
          <w:rFonts w:ascii="Calibri" w:hAnsi="Calibri" w:cs="Calibri"/>
          <w:color w:val="000000" w:themeColor="text1"/>
          <w:sz w:val="22"/>
          <w:szCs w:val="22"/>
        </w:rPr>
      </w:pPr>
    </w:p>
    <w:p w14:paraId="4583D9B7" w14:textId="18F52ADF" w:rsidR="003C116A" w:rsidRPr="007F23AD" w:rsidRDefault="00CF7BBF" w:rsidP="00682739">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Supply chain management systems were incorporated into the construction sector aiming to enhance the overall efficiency of the supply chain and foster better collaboration between the upstream and downstream parts of the chain </w:t>
      </w:r>
      <w:r w:rsidRPr="007F23AD">
        <w:rPr>
          <w:rFonts w:ascii="Calibri" w:hAnsi="Calibri" w:cs="Calibri"/>
          <w:color w:val="000000" w:themeColor="text1"/>
          <w:sz w:val="22"/>
          <w:szCs w:val="22"/>
          <w:lang w:val="en-GB"/>
        </w:rPr>
        <w:fldChar w:fldCharType="begin">
          <w:fldData xml:space="preserve">PEVuZE5vdGU+PENpdGU+PEF1dGhvcj5HYWRkZTwvQXV0aG9yPjxZZWFyPjIwMTA8L1llYXI+PFJl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</w:fldData>
        </w:fldChar>
      </w:r>
      <w:r w:rsidR="004D41D0" w:rsidRPr="007F23AD">
        <w:rPr>
          <w:rFonts w:ascii="Calibri" w:hAnsi="Calibri" w:cs="Calibri"/>
          <w:color w:val="000000" w:themeColor="text1"/>
          <w:sz w:val="22"/>
          <w:szCs w:val="22"/>
          <w:lang w:val="en-GB"/>
        </w:rPr>
        <w:instrText xml:space="preserve"> ADDIN EN.CITE </w:instrText>
      </w:r>
      <w:r w:rsidR="004D41D0" w:rsidRPr="007F23AD">
        <w:rPr>
          <w:rFonts w:ascii="Calibri" w:hAnsi="Calibri" w:cs="Calibri"/>
          <w:color w:val="000000" w:themeColor="text1"/>
          <w:sz w:val="22"/>
          <w:szCs w:val="22"/>
          <w:lang w:val="en-GB"/>
        </w:rPr>
        <w:fldChar w:fldCharType="begin">
          <w:fldData xml:space="preserve">PEVuZE5vdGU+PENpdGU+PEF1dGhvcj5HYWRkZTwvQXV0aG9yPjxZZWFyPjIwMTA8L1llYXI+PFJl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</w:fldData>
        </w:fldChar>
      </w:r>
      <w:r w:rsidR="004D41D0" w:rsidRPr="007F23AD">
        <w:rPr>
          <w:rFonts w:ascii="Calibri" w:hAnsi="Calibri" w:cs="Calibri"/>
          <w:color w:val="000000" w:themeColor="text1"/>
          <w:sz w:val="22"/>
          <w:szCs w:val="22"/>
          <w:lang w:val="en-GB"/>
        </w:rPr>
        <w:instrText xml:space="preserve"> ADDIN EN.CITE.DATA </w:instrText>
      </w:r>
      <w:r w:rsidR="004D41D0" w:rsidRPr="007F23AD">
        <w:rPr>
          <w:rFonts w:ascii="Calibri" w:hAnsi="Calibri" w:cs="Calibri"/>
          <w:color w:val="000000" w:themeColor="text1"/>
          <w:sz w:val="22"/>
          <w:szCs w:val="22"/>
          <w:lang w:val="en-GB"/>
        </w:rPr>
      </w:r>
      <w:r w:rsidR="004D41D0"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r>
      <w:r w:rsidRPr="007F23AD">
        <w:rPr>
          <w:rFonts w:ascii="Calibri" w:hAnsi="Calibri" w:cs="Calibri"/>
          <w:color w:val="000000" w:themeColor="text1"/>
          <w:sz w:val="22"/>
          <w:szCs w:val="22"/>
          <w:lang w:val="en-GB"/>
        </w:rPr>
        <w:fldChar w:fldCharType="separate"/>
      </w:r>
      <w:r w:rsidR="006849E9" w:rsidRPr="007F23AD">
        <w:rPr>
          <w:rFonts w:ascii="Calibri" w:hAnsi="Calibri" w:cs="Calibri"/>
          <w:noProof/>
          <w:color w:val="000000" w:themeColor="text1"/>
          <w:sz w:val="22"/>
          <w:szCs w:val="22"/>
          <w:lang w:val="en-GB"/>
        </w:rPr>
        <w:t>(Khan and Burnes 2007; Gadde and Dubois 2010)</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A359CD" w:rsidRPr="007F23AD">
        <w:rPr>
          <w:rFonts w:ascii="Calibri" w:hAnsi="Calibri" w:cs="Calibri"/>
          <w:color w:val="000000" w:themeColor="text1"/>
          <w:sz w:val="22"/>
          <w:szCs w:val="22"/>
          <w:lang w:val="en-GB"/>
        </w:rPr>
        <w:t>While there is growing recognition for the important role of</w:t>
      </w:r>
      <w:r w:rsidRPr="007F23AD">
        <w:rPr>
          <w:rFonts w:ascii="Calibri" w:hAnsi="Calibri" w:cs="Calibri"/>
          <w:color w:val="000000" w:themeColor="text1"/>
          <w:sz w:val="22"/>
          <w:szCs w:val="22"/>
          <w:lang w:val="en-GB"/>
        </w:rPr>
        <w:t xml:space="preserve"> supply chain management within the construction sector</w:t>
      </w:r>
      <w:r w:rsidR="00A359CD" w:rsidRPr="007F23AD">
        <w:rPr>
          <w:rFonts w:ascii="Calibri" w:hAnsi="Calibri" w:cs="Calibri"/>
          <w:color w:val="000000" w:themeColor="text1"/>
          <w:sz w:val="22"/>
          <w:szCs w:val="22"/>
          <w:lang w:val="en-GB"/>
        </w:rPr>
        <w:t>,</w:t>
      </w:r>
      <w:r w:rsidR="002F2BD4" w:rsidRPr="007F23AD">
        <w:rPr>
          <w:rFonts w:ascii="Calibri" w:hAnsi="Calibri" w:cs="Calibri"/>
          <w:color w:val="000000" w:themeColor="text1"/>
          <w:sz w:val="22"/>
          <w:szCs w:val="22"/>
          <w:lang w:val="en-GB"/>
        </w:rPr>
        <w:t xml:space="preserve"> </w:t>
      </w:r>
      <w:r w:rsidR="00474CB8" w:rsidRPr="007F23AD">
        <w:rPr>
          <w:rFonts w:ascii="Calibri" w:hAnsi="Calibri" w:cs="Calibri"/>
          <w:color w:val="000000" w:themeColor="text1"/>
          <w:sz w:val="22"/>
          <w:szCs w:val="22"/>
          <w:lang w:val="en-GB"/>
        </w:rPr>
        <w:t>certain aspects</w:t>
      </w:r>
      <w:r w:rsidRPr="007F23AD">
        <w:rPr>
          <w:rFonts w:ascii="Calibri" w:hAnsi="Calibri" w:cs="Calibri"/>
          <w:color w:val="000000" w:themeColor="text1"/>
          <w:sz w:val="22"/>
          <w:szCs w:val="22"/>
          <w:lang w:val="en-GB"/>
        </w:rPr>
        <w:t xml:space="preserve"> might not </w:t>
      </w:r>
      <w:r w:rsidR="004228A3" w:rsidRPr="007F23AD">
        <w:rPr>
          <w:rFonts w:ascii="Calibri" w:hAnsi="Calibri" w:cs="Calibri"/>
          <w:color w:val="000000" w:themeColor="text1"/>
          <w:sz w:val="22"/>
          <w:szCs w:val="22"/>
          <w:lang w:val="en-GB"/>
        </w:rPr>
        <w:t xml:space="preserve">fully align </w:t>
      </w:r>
      <w:r w:rsidRPr="007F23AD">
        <w:rPr>
          <w:rFonts w:ascii="Calibri" w:hAnsi="Calibri" w:cs="Calibri"/>
          <w:color w:val="000000" w:themeColor="text1"/>
          <w:sz w:val="22"/>
          <w:szCs w:val="22"/>
          <w:lang w:val="en-GB"/>
        </w:rPr>
        <w:t>with SMEs.</w:t>
      </w:r>
      <w:r w:rsidR="0E79B044" w:rsidRPr="007F23AD">
        <w:rPr>
          <w:rFonts w:ascii="Calibri" w:hAnsi="Calibri" w:cs="Calibri"/>
          <w:color w:val="000000" w:themeColor="text1"/>
          <w:sz w:val="22"/>
          <w:szCs w:val="22"/>
          <w:lang w:val="en-GB"/>
        </w:rPr>
        <w:t xml:space="preserve"> </w:t>
      </w:r>
      <w:r w:rsidR="00682739" w:rsidRPr="007F23AD">
        <w:rPr>
          <w:rFonts w:ascii="Calibri" w:hAnsi="Calibri" w:cs="Calibri"/>
          <w:color w:val="000000" w:themeColor="text1"/>
          <w:sz w:val="22"/>
          <w:szCs w:val="22"/>
          <w:lang w:val="en-GB"/>
        </w:rPr>
        <w:t>The cost of implementing a management system and the lack of labour resources are major reasons for the reluctance of construction SMEs to adopt a supply chain management system</w:t>
      </w:r>
      <w:r w:rsidR="00554FE4" w:rsidRPr="007F23AD">
        <w:rPr>
          <w:rFonts w:ascii="Calibri" w:hAnsi="Calibri" w:cs="Calibri"/>
          <w:color w:val="000000" w:themeColor="text1"/>
          <w:sz w:val="22"/>
          <w:szCs w:val="22"/>
          <w:lang w:val="en-GB"/>
        </w:rPr>
        <w:t xml:space="preserve"> </w:t>
      </w:r>
      <w:r w:rsidR="00554FE4" w:rsidRPr="007F23AD">
        <w:rPr>
          <w:rFonts w:ascii="Calibri" w:hAnsi="Calibri" w:cs="Calibri"/>
          <w:color w:val="000000" w:themeColor="text1"/>
          <w:sz w:val="22"/>
          <w:szCs w:val="22"/>
          <w:lang w:val="en-GB"/>
        </w:rPr>
        <w:fldChar w:fldCharType="begin"/>
      </w:r>
      <w:r w:rsidR="009825B4" w:rsidRPr="007F23AD">
        <w:rPr>
          <w:rFonts w:ascii="Calibri" w:hAnsi="Calibri" w:cs="Calibri"/>
          <w:color w:val="000000" w:themeColor="text1"/>
          <w:sz w:val="22"/>
          <w:szCs w:val="22"/>
          <w:lang w:val="en-GB"/>
        </w:rPr>
        <w:instrText xml:space="preserve"> ADDIN EN.CITE &lt;EndNote&gt;&lt;Cite&gt;&lt;Author&gt;Vaaland&lt;/Author&gt;&lt;Year&gt;2007&lt;/Year&gt;&lt;RecNum&gt;1728&lt;/RecNum&gt;&lt;DisplayText&gt;(Vaaland and Heide 2007)&lt;/DisplayText&gt;&lt;record&gt;&lt;rec-number&gt;1728&lt;/rec-number&gt;&lt;foreign-keys&gt;&lt;key app="EN" db-id="vxw0ffesn9zzt0ewpdx5r5a3fpw92aep9re9" timestamp="1722157171" guid="7df9bb63-8ebb-41c0-91ab-6c81dae85963"&gt;1728&lt;/key&gt;&lt;/foreign-keys&gt;&lt;ref-type name="Journal Article"&gt;17&lt;/ref-type&gt;&lt;contributors&gt;&lt;authors&gt;&lt;author&gt;Vaaland, Terje I&lt;/author&gt;&lt;author&gt;Heide, Morten&lt;/author&gt;&lt;/authors&gt;&lt;/contributors&gt;&lt;titles&gt;&lt;title&gt;Can the SME survive the supply chain challenges?&lt;/title&gt;&lt;secondary-title&gt;Supply chain management: an International Journal&lt;/secondary-title&gt;&lt;/titles&gt;&lt;periodical&gt;&lt;full-title&gt;Supply Chain Management: An International Journal&lt;/full-title&gt;&lt;/periodical&gt;&lt;pages&gt;20-31&lt;/pages&gt;&lt;volume&gt;12&lt;/volume&gt;&lt;number&gt;1&lt;/number&gt;&lt;dates&gt;&lt;year&gt;2007&lt;/year&gt;&lt;/dates&gt;&lt;isbn&gt;1359-8546&lt;/isbn&gt;&lt;urls&gt;&lt;/urls&gt;&lt;/record&gt;&lt;/Cite&gt;&lt;/EndNote&gt;</w:instrText>
      </w:r>
      <w:r w:rsidR="00554FE4" w:rsidRPr="007F23AD">
        <w:rPr>
          <w:rFonts w:ascii="Calibri" w:hAnsi="Calibri" w:cs="Calibri"/>
          <w:color w:val="000000" w:themeColor="text1"/>
          <w:sz w:val="22"/>
          <w:szCs w:val="22"/>
          <w:lang w:val="en-GB"/>
        </w:rPr>
        <w:fldChar w:fldCharType="separate"/>
      </w:r>
      <w:r w:rsidR="00554FE4" w:rsidRPr="007F23AD">
        <w:rPr>
          <w:rFonts w:ascii="Calibri" w:hAnsi="Calibri" w:cs="Calibri"/>
          <w:noProof/>
          <w:color w:val="000000" w:themeColor="text1"/>
          <w:sz w:val="22"/>
          <w:szCs w:val="22"/>
          <w:lang w:val="en-GB"/>
        </w:rPr>
        <w:t>(Vaaland and Heide 2007)</w:t>
      </w:r>
      <w:r w:rsidR="00554FE4" w:rsidRPr="007F23AD">
        <w:rPr>
          <w:rFonts w:ascii="Calibri" w:hAnsi="Calibri" w:cs="Calibri"/>
          <w:color w:val="000000" w:themeColor="text1"/>
          <w:sz w:val="22"/>
          <w:szCs w:val="22"/>
          <w:lang w:val="en-GB"/>
        </w:rPr>
        <w:fldChar w:fldCharType="end"/>
      </w:r>
      <w:r w:rsidR="00682739" w:rsidRPr="007F23AD">
        <w:rPr>
          <w:rFonts w:ascii="Calibri" w:hAnsi="Calibri" w:cs="Calibri"/>
          <w:color w:val="000000" w:themeColor="text1"/>
          <w:sz w:val="22"/>
          <w:szCs w:val="22"/>
          <w:lang w:val="en-GB"/>
        </w:rPr>
        <w:t>. Additionally, the lack of flexibility due to the generic design of supply chain management systems further prevents many construction SMEs from adopting such systems. Finally, barriers to the implementation of supply chain management in SMEs also include a lack of understanding of supply chain management theories</w:t>
      </w:r>
      <w:r w:rsidR="00065A69" w:rsidRPr="007F23AD">
        <w:rPr>
          <w:rFonts w:ascii="Calibri" w:hAnsi="Calibri" w:cs="Calibri" w:hint="eastAsia"/>
          <w:color w:val="000000" w:themeColor="text1"/>
          <w:sz w:val="22"/>
          <w:szCs w:val="22"/>
          <w:lang w:val="en-GB"/>
        </w:rPr>
        <w:t xml:space="preserve"> </w:t>
      </w:r>
      <w:r w:rsidR="00065A69" w:rsidRPr="007F23AD">
        <w:rPr>
          <w:rFonts w:ascii="Calibri" w:hAnsi="Calibri" w:cs="Calibri"/>
          <w:color w:val="000000" w:themeColor="text1"/>
          <w:sz w:val="22"/>
          <w:szCs w:val="22"/>
          <w:lang w:val="en-GB"/>
        </w:rPr>
        <w:fldChar w:fldCharType="begin"/>
      </w:r>
      <w:r w:rsidR="00B202D5" w:rsidRPr="007F23AD">
        <w:rPr>
          <w:rFonts w:ascii="Calibri" w:hAnsi="Calibri" w:cs="Calibri"/>
          <w:color w:val="000000" w:themeColor="text1"/>
          <w:sz w:val="22"/>
          <w:szCs w:val="22"/>
          <w:lang w:val="en-GB"/>
        </w:rPr>
        <w:instrText xml:space="preserve"> ADDIN EN.CITE &lt;EndNote&gt;&lt;Cite&gt;&lt;Author&gt;Thakkar&lt;/Author&gt;&lt;Year&gt;2008&lt;/Year&gt;&lt;RecNum&gt;1718&lt;/RecNum&gt;&lt;DisplayText&gt;(Thakkar et al. 2008)&lt;/DisplayText&gt;&lt;record&gt;&lt;rec-number&gt;1718&lt;/rec-number&gt;&lt;foreign-keys&gt;&lt;key app="EN" db-id="vxw0ffesn9zzt0ewpdx5r5a3fpw92aep9re9" timestamp="1721834694" guid="043a4137-431a-4084-a4f0-6debfec69c2c"&gt;1718&lt;/key&gt;&lt;/foreign-keys&gt;&lt;ref-type name="Journal Article"&gt;17&lt;/ref-type&gt;&lt;contributors&gt;&lt;authors&gt;&lt;author&gt;Thakkar, Jitesh&lt;/author&gt;&lt;author&gt;Kanda, Arun&lt;/author&gt;&lt;author&gt;Deshmukh, S. G.&lt;/author&gt;&lt;/authors&gt;&lt;/contributors&gt;&lt;titles&gt;&lt;title&gt;Supply chain management in SMEs: development of constructs and propositions&lt;/title&gt;&lt;secondary-title&gt;Asia Pacific Journal of Marketing and Logistics&lt;/secondary-title&gt;&lt;/titles&gt;&lt;periodical&gt;&lt;full-title&gt;Asia Pacific Journal of Marketing and Logistics&lt;/full-title&gt;&lt;/periodical&gt;&lt;pages&gt;97-131&lt;/pages&gt;&lt;volume&gt;20&lt;/volume&gt;&lt;number&gt;1&lt;/number&gt;&lt;dates&gt;&lt;year&gt;2008&lt;/year&gt;&lt;/dates&gt;&lt;publisher&gt;Emerald Group Publishing Limited&lt;/publisher&gt;&lt;isbn&gt;1355-5855&lt;/isbn&gt;&lt;urls&gt;&lt;related-urls&gt;&lt;url&gt;https://doi.org/10.1108/13555850810844896&lt;/url&gt;&lt;/related-urls&gt;&lt;/urls&gt;&lt;electronic-resource-num&gt;10.1108/13555850810844896&lt;/electronic-resource-num&gt;&lt;access-date&gt;2024/07/24&lt;/access-date&gt;&lt;/record&gt;&lt;/Cite&gt;&lt;/EndNote&gt;</w:instrText>
      </w:r>
      <w:r w:rsidR="00065A69" w:rsidRPr="007F23AD">
        <w:rPr>
          <w:rFonts w:ascii="Calibri" w:hAnsi="Calibri" w:cs="Calibri"/>
          <w:color w:val="000000" w:themeColor="text1"/>
          <w:sz w:val="22"/>
          <w:szCs w:val="22"/>
          <w:lang w:val="en-GB"/>
        </w:rPr>
        <w:fldChar w:fldCharType="separate"/>
      </w:r>
      <w:r w:rsidR="00065A69" w:rsidRPr="007F23AD">
        <w:rPr>
          <w:rFonts w:ascii="Calibri" w:hAnsi="Calibri" w:cs="Calibri"/>
          <w:noProof/>
          <w:color w:val="000000" w:themeColor="text1"/>
          <w:sz w:val="22"/>
          <w:szCs w:val="22"/>
          <w:lang w:val="en-GB"/>
        </w:rPr>
        <w:t>(Thakkar et al. 2008)</w:t>
      </w:r>
      <w:r w:rsidR="00065A69" w:rsidRPr="007F23AD">
        <w:rPr>
          <w:rFonts w:ascii="Calibri" w:hAnsi="Calibri" w:cs="Calibri"/>
          <w:color w:val="000000" w:themeColor="text1"/>
          <w:sz w:val="22"/>
          <w:szCs w:val="22"/>
          <w:lang w:val="en-GB"/>
        </w:rPr>
        <w:fldChar w:fldCharType="end"/>
      </w:r>
      <w:r w:rsidR="00682739" w:rsidRPr="007F23AD">
        <w:rPr>
          <w:rFonts w:ascii="Calibri" w:hAnsi="Calibri" w:cs="Calibri"/>
          <w:color w:val="000000" w:themeColor="text1"/>
          <w:sz w:val="22"/>
          <w:szCs w:val="22"/>
          <w:lang w:val="en-GB"/>
        </w:rPr>
        <w:t>.</w:t>
      </w:r>
      <w:r w:rsidR="00682739" w:rsidRPr="007F23AD">
        <w:rPr>
          <w:rFonts w:ascii="Calibri" w:hAnsi="Calibri" w:cs="Calibri" w:hint="eastAsia"/>
          <w:color w:val="000000" w:themeColor="text1"/>
          <w:sz w:val="22"/>
          <w:szCs w:val="22"/>
          <w:lang w:val="en-GB"/>
        </w:rPr>
        <w:t xml:space="preserve"> </w:t>
      </w:r>
    </w:p>
    <w:p w14:paraId="456E8F3F" w14:textId="77777777" w:rsidR="003C116A" w:rsidRPr="007F23AD" w:rsidRDefault="003C116A" w:rsidP="00682739">
      <w:pPr>
        <w:spacing w:line="480" w:lineRule="auto"/>
        <w:jc w:val="both"/>
        <w:rPr>
          <w:rFonts w:ascii="Calibri" w:hAnsi="Calibri" w:cs="Calibri"/>
          <w:color w:val="000000" w:themeColor="text1"/>
          <w:sz w:val="22"/>
          <w:szCs w:val="22"/>
          <w:lang w:val="en-GB"/>
        </w:rPr>
      </w:pPr>
    </w:p>
    <w:p w14:paraId="2845B5B0" w14:textId="4CC3C57A" w:rsidR="00CF7BBF" w:rsidRPr="007F23AD" w:rsidRDefault="003C116A" w:rsidP="00682739">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T</w:t>
      </w:r>
      <w:r w:rsidR="003176AF" w:rsidRPr="007F23AD">
        <w:rPr>
          <w:rFonts w:ascii="Calibri" w:hAnsi="Calibri" w:cs="Calibri"/>
          <w:color w:val="000000" w:themeColor="text1"/>
          <w:sz w:val="22"/>
          <w:szCs w:val="22"/>
          <w:lang w:val="en-GB"/>
        </w:rPr>
        <w:t>his paper explores risks f</w:t>
      </w:r>
      <w:r w:rsidR="00FB634C" w:rsidRPr="007F23AD">
        <w:rPr>
          <w:rFonts w:ascii="Calibri" w:hAnsi="Calibri" w:cs="Calibri"/>
          <w:color w:val="000000" w:themeColor="text1"/>
          <w:sz w:val="22"/>
          <w:szCs w:val="22"/>
          <w:lang w:val="en-GB"/>
        </w:rPr>
        <w:t>or construction SMEs from multiple perspectives: m</w:t>
      </w:r>
      <w:r w:rsidR="00CF7BBF" w:rsidRPr="007F23AD">
        <w:rPr>
          <w:rFonts w:ascii="Calibri" w:hAnsi="Calibri" w:cs="Calibri"/>
          <w:color w:val="000000" w:themeColor="text1"/>
          <w:sz w:val="22"/>
          <w:szCs w:val="22"/>
          <w:lang w:val="en-GB"/>
        </w:rPr>
        <w:t>anagement</w:t>
      </w:r>
      <w:r w:rsidR="00264965" w:rsidRPr="007F23AD">
        <w:rPr>
          <w:rFonts w:ascii="Calibri" w:hAnsi="Calibri" w:cs="Calibri"/>
          <w:color w:val="000000" w:themeColor="text1"/>
          <w:sz w:val="22"/>
          <w:szCs w:val="22"/>
          <w:lang w:val="en-GB"/>
        </w:rPr>
        <w:t xml:space="preserve"> and strategy</w:t>
      </w:r>
      <w:r w:rsidR="00CF7BBF" w:rsidRPr="007F23AD">
        <w:rPr>
          <w:rFonts w:ascii="Calibri" w:hAnsi="Calibri" w:cs="Calibri"/>
          <w:color w:val="000000" w:themeColor="text1"/>
          <w:sz w:val="22"/>
          <w:szCs w:val="22"/>
          <w:lang w:val="en-GB"/>
        </w:rPr>
        <w:t>, operatio</w:t>
      </w:r>
      <w:r w:rsidR="00264965" w:rsidRPr="007F23AD">
        <w:rPr>
          <w:rFonts w:ascii="Calibri" w:hAnsi="Calibri" w:cs="Calibri"/>
          <w:color w:val="000000" w:themeColor="text1"/>
          <w:sz w:val="22"/>
          <w:szCs w:val="22"/>
          <w:lang w:val="en-GB"/>
        </w:rPr>
        <w:t>n and process</w:t>
      </w:r>
      <w:r w:rsidR="00CF7BBF" w:rsidRPr="007F23AD">
        <w:rPr>
          <w:rFonts w:ascii="Calibri" w:hAnsi="Calibri" w:cs="Calibri"/>
          <w:color w:val="000000" w:themeColor="text1"/>
          <w:sz w:val="22"/>
          <w:szCs w:val="22"/>
          <w:lang w:val="en-GB"/>
        </w:rPr>
        <w:t>, and sustainability</w:t>
      </w:r>
      <w:r w:rsidR="00521BC9" w:rsidRPr="007F23AD">
        <w:rPr>
          <w:rFonts w:ascii="Calibri" w:hAnsi="Calibri" w:cs="Calibri"/>
          <w:color w:val="000000" w:themeColor="text1"/>
          <w:sz w:val="22"/>
          <w:szCs w:val="22"/>
          <w:lang w:val="en-GB"/>
        </w:rPr>
        <w:t>.</w:t>
      </w:r>
      <w:r w:rsidR="00397DAF" w:rsidRPr="007F23AD">
        <w:rPr>
          <w:color w:val="000000" w:themeColor="text1"/>
        </w:rPr>
        <w:t xml:space="preserve"> </w:t>
      </w:r>
      <w:r w:rsidR="00397DAF" w:rsidRPr="007F23AD">
        <w:rPr>
          <w:rFonts w:ascii="Calibri" w:hAnsi="Calibri" w:cs="Calibri"/>
          <w:color w:val="000000" w:themeColor="text1"/>
          <w:sz w:val="22"/>
          <w:szCs w:val="22"/>
          <w:lang w:val="en-GB"/>
        </w:rPr>
        <w:t>These perspectives were selected due to their significant impact on the construction industry</w:t>
      </w:r>
      <w:r w:rsidR="00417BC7" w:rsidRPr="007F23AD">
        <w:rPr>
          <w:rFonts w:ascii="Calibri" w:hAnsi="Calibri" w:cs="Calibri"/>
          <w:color w:val="000000" w:themeColor="text1"/>
          <w:sz w:val="22"/>
          <w:szCs w:val="22"/>
          <w:lang w:val="en-GB"/>
        </w:rPr>
        <w:t xml:space="preserve"> literature</w:t>
      </w:r>
      <w:r w:rsidR="0037623E" w:rsidRPr="007F23AD">
        <w:rPr>
          <w:rFonts w:ascii="Calibri" w:hAnsi="Calibri" w:cs="Calibri"/>
          <w:color w:val="000000" w:themeColor="text1"/>
          <w:sz w:val="22"/>
          <w:szCs w:val="22"/>
          <w:lang w:val="en-GB"/>
        </w:rPr>
        <w:t xml:space="preserve"> </w:t>
      </w:r>
      <w:r w:rsidR="007A4B8A" w:rsidRPr="007F23AD">
        <w:rPr>
          <w:rFonts w:ascii="Calibri" w:hAnsi="Calibri" w:cs="Calibri"/>
          <w:color w:val="000000" w:themeColor="text1"/>
          <w:sz w:val="22"/>
          <w:szCs w:val="22"/>
          <w:lang w:val="en-GB"/>
        </w:rPr>
        <w:fldChar w:fldCharType="begin"/>
      </w:r>
      <w:r w:rsidR="001923A4" w:rsidRPr="007F23AD">
        <w:rPr>
          <w:rFonts w:ascii="Calibri" w:hAnsi="Calibri" w:cs="Calibri"/>
          <w:color w:val="000000" w:themeColor="text1"/>
          <w:sz w:val="22"/>
          <w:szCs w:val="22"/>
          <w:lang w:val="en-GB"/>
        </w:rPr>
        <w:instrText xml:space="preserve"> ADDIN EN.CITE &lt;EndNote&gt;&lt;Cite&gt;&lt;Author&gt;Klewitz&lt;/Author&gt;&lt;Year&gt;2014&lt;/Year&gt;&lt;RecNum&gt;1699&lt;/RecNum&gt;&lt;DisplayText&gt;(Klewitz and Hansen 2014)&lt;/DisplayText&gt;&lt;record&gt;&lt;rec-number&gt;1699&lt;/rec-number&gt;&lt;foreign-keys&gt;&lt;key app="EN" db-id="vxw0ffesn9zzt0ewpdx5r5a3fpw92aep9re9" timestamp="1721398079" guid="394c348a-78f1-4d0c-b4a2-74b221807e95"&gt;1699&lt;/key&gt;&lt;/foreign-keys&gt;&lt;ref-type name="Journal Article"&gt;17&lt;/ref-type&gt;&lt;contributors&gt;&lt;authors&gt;&lt;author&gt;Klewitz, Johanna&lt;/author&gt;&lt;author&gt;Hansen, Erik G.&lt;/author&gt;&lt;/authors&gt;&lt;/contributors&gt;&lt;titles&gt;&lt;title&gt;Sustainability-oriented innovation of SMEs: a systematic review&lt;/title&gt;&lt;secondary-title&gt;Journal of Cleaner Production&lt;/secondary-title&gt;&lt;/titles&gt;&lt;periodical&gt;&lt;full-title&gt;Journal of Cleaner Production&lt;/full-title&gt;&lt;/periodical&gt;&lt;pages&gt;57-75&lt;/pages&gt;&lt;volume&gt;65&lt;/volume&gt;&lt;keywords&gt;&lt;keyword&gt;Sustainability-oriented innovation&lt;/keyword&gt;&lt;keyword&gt;Eco-innovation&lt;/keyword&gt;&lt;keyword&gt;SMEs&lt;/keyword&gt;&lt;keyword&gt;Systematic review&lt;/keyword&gt;&lt;keyword&gt;Sustainability strategy&lt;/keyword&gt;&lt;keyword&gt;Sustainable entrepreneurship&lt;/keyword&gt;&lt;/keywords&gt;&lt;dates&gt;&lt;year&gt;2014&lt;/year&gt;&lt;pub-dates&gt;&lt;date&gt;2014/02/15/&lt;/date&gt;&lt;/pub-dates&gt;&lt;/dates&gt;&lt;isbn&gt;0959-6526&lt;/isbn&gt;&lt;urls&gt;&lt;related-urls&gt;&lt;url&gt;https://www.sciencedirect.com/science/article/pii/S0959652613004782&lt;/url&gt;&lt;/related-urls&gt;&lt;/urls&gt;&lt;electronic-resource-num&gt;https://doi.org/10.1016/j.jclepro.2013.07.017&lt;/electronic-resource-num&gt;&lt;/record&gt;&lt;/Cite&gt;&lt;/EndNote&gt;</w:instrText>
      </w:r>
      <w:r w:rsidR="007A4B8A" w:rsidRPr="007F23AD">
        <w:rPr>
          <w:rFonts w:ascii="Calibri" w:hAnsi="Calibri" w:cs="Calibri"/>
          <w:color w:val="000000" w:themeColor="text1"/>
          <w:sz w:val="22"/>
          <w:szCs w:val="22"/>
          <w:lang w:val="en-GB"/>
        </w:rPr>
        <w:fldChar w:fldCharType="separate"/>
      </w:r>
      <w:r w:rsidR="007A4B8A" w:rsidRPr="007F23AD">
        <w:rPr>
          <w:rFonts w:ascii="Calibri" w:hAnsi="Calibri" w:cs="Calibri"/>
          <w:noProof/>
          <w:color w:val="000000" w:themeColor="text1"/>
          <w:sz w:val="22"/>
          <w:szCs w:val="22"/>
          <w:lang w:val="en-GB"/>
        </w:rPr>
        <w:t>(Klewitz and Hansen 2014)</w:t>
      </w:r>
      <w:r w:rsidR="007A4B8A" w:rsidRPr="007F23AD">
        <w:rPr>
          <w:rFonts w:ascii="Calibri" w:hAnsi="Calibri" w:cs="Calibri"/>
          <w:color w:val="000000" w:themeColor="text1"/>
          <w:sz w:val="22"/>
          <w:szCs w:val="22"/>
          <w:lang w:val="en-GB"/>
        </w:rPr>
        <w:fldChar w:fldCharType="end"/>
      </w:r>
      <w:r w:rsidR="00397DAF" w:rsidRPr="007F23AD">
        <w:rPr>
          <w:rFonts w:ascii="Calibri" w:hAnsi="Calibri" w:cs="Calibri"/>
          <w:color w:val="000000" w:themeColor="text1"/>
          <w:sz w:val="22"/>
          <w:szCs w:val="22"/>
          <w:lang w:val="en-GB"/>
        </w:rPr>
        <w:t xml:space="preserve">. Specifically, management </w:t>
      </w:r>
      <w:r w:rsidR="009C496D" w:rsidRPr="007F23AD">
        <w:rPr>
          <w:rFonts w:ascii="Calibri" w:hAnsi="Calibri" w:cs="Calibri"/>
          <w:color w:val="000000" w:themeColor="text1"/>
          <w:sz w:val="22"/>
          <w:szCs w:val="22"/>
          <w:lang w:val="en-GB"/>
        </w:rPr>
        <w:t>and</w:t>
      </w:r>
      <w:r w:rsidR="00397DAF" w:rsidRPr="007F23AD">
        <w:rPr>
          <w:rFonts w:ascii="Calibri" w:hAnsi="Calibri" w:cs="Calibri"/>
          <w:color w:val="000000" w:themeColor="text1"/>
          <w:sz w:val="22"/>
          <w:szCs w:val="22"/>
        </w:rPr>
        <w:t xml:space="preserve"> </w:t>
      </w:r>
      <w:r w:rsidR="00397DAF" w:rsidRPr="007F23AD">
        <w:rPr>
          <w:rFonts w:ascii="Calibri" w:hAnsi="Calibri" w:cs="Calibri"/>
          <w:color w:val="000000" w:themeColor="text1"/>
          <w:sz w:val="22"/>
          <w:szCs w:val="22"/>
          <w:lang w:val="en-GB"/>
        </w:rPr>
        <w:t>strategy involve resource allocation within the organi</w:t>
      </w:r>
      <w:r w:rsidR="009C496D" w:rsidRPr="007F23AD">
        <w:rPr>
          <w:rFonts w:ascii="Calibri" w:hAnsi="Calibri" w:cs="Calibri"/>
          <w:color w:val="000000" w:themeColor="text1"/>
          <w:sz w:val="22"/>
          <w:szCs w:val="22"/>
          <w:lang w:val="en-GB"/>
        </w:rPr>
        <w:t>s</w:t>
      </w:r>
      <w:r w:rsidR="00397DAF" w:rsidRPr="007F23AD">
        <w:rPr>
          <w:rFonts w:ascii="Calibri" w:hAnsi="Calibri" w:cs="Calibri"/>
          <w:color w:val="000000" w:themeColor="text1"/>
          <w:sz w:val="22"/>
          <w:szCs w:val="22"/>
          <w:lang w:val="en-GB"/>
        </w:rPr>
        <w:t>ation, operations and processes</w:t>
      </w:r>
      <w:r w:rsidR="009C496D" w:rsidRPr="007F23AD">
        <w:rPr>
          <w:rFonts w:ascii="Calibri" w:hAnsi="Calibri" w:cs="Calibri"/>
          <w:color w:val="000000" w:themeColor="text1"/>
          <w:sz w:val="22"/>
          <w:szCs w:val="22"/>
          <w:lang w:val="en-GB"/>
        </w:rPr>
        <w:t>,</w:t>
      </w:r>
      <w:r w:rsidR="00397DAF" w:rsidRPr="007F23AD">
        <w:rPr>
          <w:rFonts w:ascii="Calibri" w:hAnsi="Calibri" w:cs="Calibri"/>
          <w:color w:val="000000" w:themeColor="text1"/>
          <w:sz w:val="22"/>
          <w:szCs w:val="22"/>
          <w:lang w:val="en-GB"/>
        </w:rPr>
        <w:t xml:space="preserve"> ensure efficient daily operations, and sustainability addresses current market and demands for </w:t>
      </w:r>
      <w:r w:rsidR="008022D1" w:rsidRPr="007F23AD">
        <w:rPr>
          <w:rFonts w:ascii="Calibri" w:hAnsi="Calibri" w:cs="Calibri"/>
          <w:color w:val="000000" w:themeColor="text1"/>
          <w:sz w:val="22"/>
          <w:szCs w:val="22"/>
          <w:lang w:val="en-GB"/>
        </w:rPr>
        <w:t>advanced technology</w:t>
      </w:r>
      <w:r w:rsidR="00397DAF" w:rsidRPr="007F23AD">
        <w:rPr>
          <w:rFonts w:ascii="Calibri" w:hAnsi="Calibri" w:cs="Calibri"/>
          <w:color w:val="000000" w:themeColor="text1"/>
          <w:sz w:val="22"/>
          <w:szCs w:val="22"/>
          <w:lang w:val="en-GB"/>
        </w:rPr>
        <w:t xml:space="preserve"> and environmental care.</w:t>
      </w:r>
      <w:r w:rsidR="00CF7BBF" w:rsidRPr="007F23AD">
        <w:rPr>
          <w:rFonts w:ascii="Calibri" w:hAnsi="Calibri" w:cs="Calibri"/>
          <w:color w:val="000000" w:themeColor="text1"/>
          <w:sz w:val="22"/>
          <w:szCs w:val="22"/>
          <w:lang w:val="en-GB"/>
        </w:rPr>
        <w:t xml:space="preserve"> </w:t>
      </w:r>
      <w:r w:rsidR="00521BC9" w:rsidRPr="007F23AD">
        <w:rPr>
          <w:rFonts w:ascii="Calibri" w:hAnsi="Calibri" w:cs="Calibri"/>
          <w:color w:val="000000" w:themeColor="text1"/>
          <w:sz w:val="22"/>
          <w:szCs w:val="22"/>
          <w:lang w:val="en-GB"/>
        </w:rPr>
        <w:t>We acknowledge that many of these perspectives overlap and interact, however this broad delimitation is useful in helping to structure our exploration</w:t>
      </w:r>
      <w:r w:rsidR="009E5269" w:rsidRPr="007F23AD">
        <w:rPr>
          <w:rFonts w:ascii="Calibri" w:hAnsi="Calibri" w:cs="Calibri"/>
          <w:color w:val="000000" w:themeColor="text1"/>
          <w:sz w:val="22"/>
          <w:szCs w:val="22"/>
          <w:lang w:val="en-GB"/>
        </w:rPr>
        <w:t xml:space="preserve"> of construction SMEs.</w:t>
      </w:r>
    </w:p>
    <w:p w14:paraId="7DCDF24E" w14:textId="77777777" w:rsidR="008769EF" w:rsidRPr="007F23AD" w:rsidRDefault="008769EF" w:rsidP="00FB634C">
      <w:pPr>
        <w:spacing w:line="480" w:lineRule="auto"/>
        <w:jc w:val="both"/>
        <w:rPr>
          <w:rFonts w:ascii="Calibri" w:hAnsi="Calibri" w:cs="Calibri"/>
          <w:color w:val="000000" w:themeColor="text1"/>
          <w:sz w:val="22"/>
          <w:szCs w:val="22"/>
          <w:lang w:val="en-GB"/>
        </w:rPr>
      </w:pPr>
    </w:p>
    <w:p w14:paraId="3960CECC" w14:textId="5AE58EBA" w:rsidR="005943F9" w:rsidRPr="007F23AD" w:rsidRDefault="00F66190" w:rsidP="00F66190">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From a management and strategy perspective, construction SMEs are more vulnerable to risk due to their limited resources and lack of strategic management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&lt;EndNote&gt;&lt;Cite&gt;&lt;Author&gt;Hasan&lt;/Author&gt;&lt;Year&gt;2021&lt;/Year&gt;&lt;RecNum&gt;696&lt;/RecNum&gt;&lt;IDText&gt;An Assessment of Readiness and Willingness to Adopt Digital Marketing Transformation Among SMEs&amp;apos; Entrepreneurs in Sabah: A Conceptual Model&lt;/IDText&gt;&lt;DisplayText&gt;(Hasan et al. 2021)&lt;/DisplayText&gt;&lt;record&gt;&lt;rec-number&gt;696&lt;/rec-number&gt;&lt;foreign-keys&gt;&lt;key app="EN" db-id="vxw0ffesn9zzt0ewpdx5r5a3fpw92aep9re9" timestamp="1683538060" guid="bdc1513c-4024-48cc-810c-276cfef5402f"&gt;696&lt;/key&gt;&lt;/foreign-keys&gt;&lt;ref-type name="Journal Article"&gt;17&lt;/ref-type&gt;&lt;contributors&gt;&lt;authors&gt;&lt;author&gt;Hasan, Haslinda&lt;/author&gt;&lt;author&gt;Topimin, Salmah&lt;/author&gt;&lt;author&gt;Ahmad, siti nor bayaah&lt;/author&gt;&lt;author&gt;Othman, Irma&lt;/author&gt;&lt;/authors&gt;&lt;/contributors&gt;&lt;titles&gt;&lt;title&gt;An Assessment of Readiness and Willingness to Adopt Digital Marketing Transformation Among SMEs&amp;apos; Entrepreneurs in Sabah: A Conceptual Model&lt;/title&gt;&lt;/titles&gt;&lt;pages&gt;101-110&lt;/pages&gt;&lt;volume&gt;6&lt;/volume&gt;&lt;dates&gt;&lt;year&gt;2021&lt;/year&gt;&lt;pub-dates&gt;&lt;date&gt;11/30&lt;/date&gt;&lt;/pub-dates&gt;&lt;/dates&gt;&lt;urls&gt;&lt;/urls&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(Hasan et al. 2021)</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B7178F" w:rsidRPr="007F23AD">
        <w:rPr>
          <w:rFonts w:ascii="Calibri" w:hAnsi="Calibri" w:cs="Calibri"/>
          <w:color w:val="000000" w:themeColor="text1"/>
          <w:sz w:val="22"/>
          <w:szCs w:val="22"/>
          <w:lang w:val="en-GB"/>
        </w:rPr>
        <w:lastRenderedPageBreak/>
        <w:t>M</w:t>
      </w:r>
      <w:r w:rsidRPr="007F23AD">
        <w:rPr>
          <w:rFonts w:ascii="Calibri" w:hAnsi="Calibri" w:cs="Calibri"/>
          <w:color w:val="000000" w:themeColor="text1"/>
          <w:sz w:val="22"/>
          <w:szCs w:val="22"/>
          <w:lang w:val="en-GB"/>
        </w:rPr>
        <w:t xml:space="preserve">anagement </w:t>
      </w:r>
      <w:r w:rsidR="00B7178F" w:rsidRPr="007F23AD">
        <w:rPr>
          <w:rFonts w:ascii="Calibri" w:hAnsi="Calibri" w:cs="Calibri"/>
          <w:color w:val="000000" w:themeColor="text1"/>
          <w:sz w:val="22"/>
          <w:szCs w:val="22"/>
          <w:lang w:val="en-GB"/>
        </w:rPr>
        <w:t>framework</w:t>
      </w:r>
      <w:r w:rsidR="00744D09" w:rsidRPr="007F23AD">
        <w:rPr>
          <w:rFonts w:ascii="Calibri" w:hAnsi="Calibri" w:cs="Calibri"/>
          <w:color w:val="000000" w:themeColor="text1"/>
          <w:sz w:val="22"/>
          <w:szCs w:val="22"/>
          <w:lang w:val="en-GB"/>
        </w:rPr>
        <w:t>s used by l</w:t>
      </w:r>
      <w:r w:rsidR="00B7178F" w:rsidRPr="007F23AD">
        <w:rPr>
          <w:rFonts w:ascii="Calibri" w:hAnsi="Calibri" w:cs="Calibri"/>
          <w:color w:val="000000" w:themeColor="text1"/>
          <w:sz w:val="22"/>
          <w:szCs w:val="22"/>
          <w:lang w:val="en-GB"/>
        </w:rPr>
        <w:t xml:space="preserve">arge companies </w:t>
      </w:r>
      <w:r w:rsidRPr="007F23AD">
        <w:rPr>
          <w:rFonts w:ascii="Calibri" w:hAnsi="Calibri" w:cs="Calibri"/>
          <w:color w:val="000000" w:themeColor="text1"/>
          <w:sz w:val="22"/>
          <w:szCs w:val="22"/>
          <w:lang w:val="en-GB"/>
        </w:rPr>
        <w:t xml:space="preserve">are frequently not suited for SMEs, given their constrained </w:t>
      </w:r>
      <w:r w:rsidR="00284592" w:rsidRPr="007F23AD">
        <w:rPr>
          <w:rFonts w:ascii="Calibri" w:hAnsi="Calibri" w:cs="Calibri"/>
          <w:color w:val="000000" w:themeColor="text1"/>
          <w:sz w:val="22"/>
          <w:szCs w:val="22"/>
          <w:lang w:val="en-GB"/>
        </w:rPr>
        <w:t>management</w:t>
      </w:r>
      <w:r w:rsidRPr="007F23AD">
        <w:rPr>
          <w:rFonts w:ascii="Calibri" w:hAnsi="Calibri" w:cs="Calibri"/>
          <w:color w:val="000000" w:themeColor="text1"/>
          <w:sz w:val="22"/>
          <w:szCs w:val="22"/>
          <w:lang w:val="en-GB"/>
        </w:rPr>
        <w:t xml:space="preserve"> </w:t>
      </w:r>
      <w:r w:rsidR="00284592" w:rsidRPr="007F23AD">
        <w:rPr>
          <w:rFonts w:ascii="Calibri" w:hAnsi="Calibri" w:cs="Calibri"/>
          <w:color w:val="000000" w:themeColor="text1"/>
          <w:sz w:val="22"/>
          <w:szCs w:val="22"/>
          <w:lang w:val="en-GB"/>
        </w:rPr>
        <w:t xml:space="preserve">skills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&lt;EndNote&gt;&lt;Cite&gt;&lt;Author&gt;Pereira&lt;/Author&gt;&lt;Year&gt;2015&lt;/Year&gt;&lt;RecNum&gt;690&lt;/RecNum&gt;&lt;IDText&gt;A Risk Diagnosing Methodology Web-Based Platform for Micro, Small and Medium Businesses: Remarks and Enhancements&lt;/IDText&gt;&lt;DisplayText&gt;(Pereira et al. 2015)&lt;/DisplayText&gt;&lt;record&gt;&lt;rec-number&gt;690&lt;/rec-number&gt;&lt;foreign-keys&gt;&lt;key app="EN" db-id="vxw0ffesn9zzt0ewpdx5r5a3fpw92aep9re9" timestamp="1683538058" guid="87019ef6-f2bd-4561-a05d-cad5fae28201"&gt;690&lt;/key&gt;&lt;/foreign-keys&gt;&lt;ref-type name="Book"&gt;6&lt;/ref-type&gt;&lt;contributors&gt;&lt;authors&gt;&lt;author&gt;Pereira, Luis&lt;/author&gt;&lt;author&gt;Tenera, Alexandra&lt;/author&gt;&lt;author&gt;Bispo, João&lt;/author&gt;&lt;author&gt;Wemans, João&lt;/author&gt;&lt;/authors&gt;&lt;/contributors&gt;&lt;titles&gt;&lt;title&gt;A Risk Diagnosing Methodology Web-Based Platform for Micro, Small and Medium Businesses: Remarks and Enhancements&lt;/title&gt;&lt;alt-title&gt;Communications in Computer and Information Science&lt;/alt-title&gt;&lt;/titles&gt;&lt;pages&gt;340-356&lt;/pages&gt;&lt;volume&gt;454&lt;/volume&gt;&lt;dates&gt;&lt;year&gt;2015&lt;/year&gt;&lt;/dates&gt;&lt;isbn&gt;3662465493, 9783662465493&lt;/isbn&gt;&lt;urls&gt;&lt;/urls&gt;&lt;electronic-resource-num&gt;10.1007/978-3-662-46549-3_22&lt;/electronic-resource-num&gt;&lt;/record&gt;&lt;/Cite&gt;&lt;/EndNote&gt;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(Pereira et al. 2015)</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Workers at SMEs often take on multiple roles, which may limit their ability to conduct thorough risk management analyses </w:t>
      </w:r>
      <w:r w:rsidR="002F4AA1"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&lt;EndNote&gt;&lt;Cite&gt;&lt;Author&gt;van de Vrande&lt;/Author&gt;&lt;Year&gt;2009&lt;/Year&gt;&lt;RecNum&gt;900&lt;/RecNum&gt;&lt;IDText&gt;Open innovation in SMEs: Trends, motives and management challenges&lt;/IDText&gt;&lt;DisplayText&gt;(van de Vrande et al. 2009)&lt;/DisplayText&gt;&lt;record&gt;&lt;rec-number&gt;900&lt;/rec-number&gt;&lt;foreign-keys&gt;&lt;key app="EN" db-id="vxw0ffesn9zzt0ewpdx5r5a3fpw92aep9re9" timestamp="1684834096" guid="b9d4720a-3241-4bf5-a8ec-9b54efee4497"&gt;900&lt;/key&gt;&lt;/foreign-keys&gt;&lt;ref-type name="Journal Article"&gt;17&lt;/ref-type&gt;&lt;contributors&gt;&lt;authors&gt;&lt;author&gt;van de Vrande, Vareska&lt;/author&gt;&lt;author&gt;de Jong, Jeroen P. J.&lt;/author&gt;&lt;author&gt;Vanhaverbeke, Wim&lt;/author&gt;&lt;author&gt;de Rochemont, Maurice&lt;/author&gt;&lt;/authors&gt;&lt;/contributors&gt;&lt;titles&gt;&lt;title&gt;Open innovation in SMEs: Trends, motives and management challenges&lt;/title&gt;&lt;secondary-title&gt;Technovation&lt;/secondary-title&gt;&lt;/titles&gt;&lt;periodical&gt;&lt;full-title&gt;Technovation&lt;/full-title&gt;&lt;/periodical&gt;&lt;pages&gt;423-437&lt;/pages&gt;&lt;volume&gt;29&lt;/volume&gt;&lt;number&gt;6&lt;/number&gt;&lt;keywords&gt;&lt;keyword&gt;Open innovation&lt;/keyword&gt;&lt;keyword&gt;SMEs&lt;/keyword&gt;&lt;keyword&gt;Technology markets&lt;/keyword&gt;&lt;keyword&gt;Incidence&lt;/keyword&gt;&lt;keyword&gt;Perceived trend&lt;/keyword&gt;&lt;keyword&gt;Motives&lt;/keyword&gt;&lt;keyword&gt;Managerial challenges&lt;/keyword&gt;&lt;/keywords&gt;&lt;dates&gt;&lt;year&gt;2009&lt;/year&gt;&lt;pub-dates&gt;&lt;date&gt;2009/06/01/&lt;/date&gt;&lt;/pub-dates&gt;&lt;/dates&gt;&lt;isbn&gt;0166-4972&lt;/isbn&gt;&lt;urls&gt;&lt;related-urls&gt;&lt;url&gt;https://www.sciencedirect.com/science/article/pii/S0166497208001314&lt;/url&gt;&lt;/related-urls&gt;&lt;/urls&gt;&lt;electronic-resource-num&gt;https://doi.org/10.1016/j.technovation.2008.10.001&lt;/electronic-resource-num&gt;&lt;/record&gt;&lt;/Cite&gt;&lt;/EndNote&gt;</w:instrText>
      </w:r>
      <w:r w:rsidR="002F4AA1" w:rsidRPr="007F23AD">
        <w:rPr>
          <w:rFonts w:ascii="Calibri" w:hAnsi="Calibri" w:cs="Calibri"/>
          <w:color w:val="000000" w:themeColor="text1"/>
          <w:sz w:val="22"/>
          <w:szCs w:val="22"/>
          <w:lang w:val="en-GB"/>
        </w:rPr>
        <w:fldChar w:fldCharType="separate"/>
      </w:r>
      <w:r w:rsidR="002F4AA1" w:rsidRPr="007F23AD">
        <w:rPr>
          <w:rFonts w:ascii="Calibri" w:hAnsi="Calibri" w:cs="Calibri"/>
          <w:noProof/>
          <w:color w:val="000000" w:themeColor="text1"/>
          <w:sz w:val="22"/>
          <w:szCs w:val="22"/>
          <w:lang w:val="en-GB"/>
        </w:rPr>
        <w:t>(van de Vrande et al. 2009)</w:t>
      </w:r>
      <w:r w:rsidR="002F4AA1" w:rsidRPr="007F23AD">
        <w:rPr>
          <w:rFonts w:ascii="Calibri" w:hAnsi="Calibri" w:cs="Calibri"/>
          <w:color w:val="000000" w:themeColor="text1"/>
          <w:sz w:val="22"/>
          <w:szCs w:val="22"/>
          <w:lang w:val="en-GB"/>
        </w:rPr>
        <w:fldChar w:fldCharType="end"/>
      </w:r>
      <w:r w:rsidR="002F4AA1" w:rsidRPr="007F23AD">
        <w:rPr>
          <w:rFonts w:ascii="Calibri" w:hAnsi="Calibri" w:cs="Calibri"/>
          <w:color w:val="000000" w:themeColor="text1"/>
          <w:sz w:val="22"/>
          <w:szCs w:val="22"/>
          <w:lang w:val="en-GB"/>
        </w:rPr>
        <w:t>; i</w:t>
      </w:r>
      <w:r w:rsidRPr="007F23AD">
        <w:rPr>
          <w:rFonts w:ascii="Calibri" w:hAnsi="Calibri" w:cs="Calibri"/>
          <w:color w:val="000000" w:themeColor="text1"/>
          <w:sz w:val="22"/>
          <w:szCs w:val="22"/>
          <w:lang w:val="en-GB"/>
        </w:rPr>
        <w:t xml:space="preserve">n many SMEs, a single individual often manages and owns the company </w:t>
      </w:r>
      <w:r w:rsidRPr="007F23AD">
        <w:rPr>
          <w:rFonts w:ascii="Calibri" w:hAnsi="Calibri" w:cs="Calibri"/>
          <w:color w:val="000000" w:themeColor="text1"/>
          <w:sz w:val="22"/>
          <w:szCs w:val="22"/>
          <w:lang w:val="en-GB"/>
        </w:rPr>
        <w:fldChar w:fldCharType="begin"/>
      </w:r>
      <w:r w:rsidR="00D55F18" w:rsidRPr="007F23AD">
        <w:rPr>
          <w:rFonts w:ascii="Calibri" w:hAnsi="Calibri" w:cs="Calibri"/>
          <w:color w:val="000000" w:themeColor="text1"/>
          <w:sz w:val="22"/>
          <w:szCs w:val="22"/>
          <w:lang w:val="en-GB"/>
        </w:rPr>
        <w:instrText xml:space="preserve"> ADDIN EN.CITE &lt;EndNote&gt;&lt;Cite&gt;&lt;Author&gt;Britzelmaier&lt;/Author&gt;&lt;Year&gt;2015&lt;/Year&gt;&lt;RecNum&gt;0&lt;/RecNum&gt;&lt;IDText&gt;Risk management in German small and medium–sized enterprises&lt;/IDText&gt;&lt;DisplayText&gt;(Britzelmaier et al. 2015)&lt;/DisplayText&gt;&lt;record&gt;&lt;rec-number&gt;25&lt;/rec-number&gt;&lt;foreign-keys&gt;&lt;key app="EN" db-id="pzdwvt0zxepzzqe2zdmp5zajvd0tv5sdtt2w" timestamp="1701253332"&gt;25&lt;/key&gt;&lt;/foreign-keys&gt;&lt;ref-type name="Journal Article"&gt;17&lt;/ref-type&gt;&lt;contributors&gt;&lt;authors&gt;&lt;author&gt;Britzelmaier, B.&lt;/author&gt;&lt;author&gt;Ha€berle, M.&lt;/author&gt;&lt;author&gt; &amp;amp; Landwehr, M.&lt;/author&gt;&lt;/authors&gt;&lt;/contributors&gt;&lt;titles&gt;&lt;title&gt;Risk management in German small and medium–sized enterprises&lt;/title&gt;&lt;secondary-title&gt;International Journal of Entrepreneurship and Small Business&lt;/secondary-title&gt;&lt;/titles&gt;&lt;periodical&gt;&lt;full-title&gt;International Journal of Entrepreneurship and Small Business&lt;/full-title&gt;&lt;/periodical&gt;&lt;pages&gt;548-571&lt;/pages&gt;&lt;volume&gt;24&lt;/volume&gt;&lt;number&gt;4&lt;/number&gt;&lt;keywords&gt;&lt;keyword&gt;Germany,risk management,small and medium–sized enterprises,SMEs,risk identification,risk assessment,risk control,corporate governance,accounting standards&lt;/keyword&gt;&lt;/keywords&gt;&lt;dates&gt;&lt;year&gt;2015&lt;/year&gt;&lt;/dates&gt;&lt;urls&gt;&lt;related-urls&gt;&lt;url&gt;https://www.inderscienceonline.com/doi/abs/10.1504/IJESB.2015.068642&lt;/url&gt;&lt;/related-urls&gt;&lt;/urls&gt;&lt;electronic-resource-num&gt;10.1504/ijesb.2015.068642&lt;/electronic-resource-num&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(Britzelmaier et al. 2015)</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This might lead to weak risk management or even strategic risks. Empirical evidence shows that 50% of SMEs fail before their fifth year of existence </w:t>
      </w:r>
      <w:r w:rsidRPr="007F23AD">
        <w:rPr>
          <w:rFonts w:ascii="Calibri" w:hAnsi="Calibri" w:cs="Calibri"/>
          <w:color w:val="000000" w:themeColor="text1"/>
          <w:sz w:val="22"/>
          <w:szCs w:val="22"/>
          <w:lang w:val="en-GB"/>
        </w:rPr>
        <w:fldChar w:fldCharType="begin"/>
      </w:r>
      <w:r w:rsidR="00D55F18" w:rsidRPr="007F23AD">
        <w:rPr>
          <w:rFonts w:ascii="Calibri" w:hAnsi="Calibri" w:cs="Calibri"/>
          <w:color w:val="000000" w:themeColor="text1"/>
          <w:sz w:val="22"/>
          <w:szCs w:val="22"/>
          <w:lang w:val="en-GB"/>
        </w:rPr>
        <w:instrText xml:space="preserve"> ADDIN EN.CITE &lt;EndNote&gt;&lt;Cite&gt;&lt;Author&gt;Crovini&lt;/Author&gt;&lt;Year&gt;2021&lt;/Year&gt;&lt;RecNum&gt;0&lt;/RecNum&gt;&lt;IDText&gt;How to reconsider risk management in SMEs? An Advanced, Reasoned and Organised Literature Review&lt;/IDText&gt;&lt;DisplayText&gt;(Crovini et al. 2021)&lt;/DisplayText&gt;&lt;record&gt;&lt;rec-number&gt;26&lt;/rec-number&gt;&lt;foreign-keys&gt;&lt;key app="EN" db-id="pzdwvt0zxepzzqe2zdmp5zajvd0tv5sdtt2w" timestamp="1701253332"&gt;26&lt;/key&gt;&lt;/foreign-keys&gt;&lt;ref-type name="Journal Article"&gt;17&lt;/ref-type&gt;&lt;contributors&gt;&lt;authors&gt;&lt;author&gt;Crovini, Chiara&lt;/author&gt;&lt;author&gt;Ossola, Giovanni&lt;/author&gt;&lt;author&gt;Britzelmaier, Bernd&lt;/author&gt;&lt;/authors&gt;&lt;/contributors&gt;&lt;titles&gt;&lt;title&gt;How to reconsider risk management in SMEs? An Advanced, Reasoned and Organised Literature Review&lt;/title&gt;&lt;secondary-title&gt;European Management Journal&lt;/secondary-title&gt;&lt;/titles&gt;&lt;periodical&gt;&lt;full-title&gt;European Management Journal&lt;/full-title&gt;&lt;/periodical&gt;&lt;pages&gt;118-134&lt;/pages&gt;&lt;volume&gt;39&lt;/volume&gt;&lt;number&gt;1&lt;/number&gt;&lt;keywords&gt;&lt;keyword&gt;Risk management&lt;/keyword&gt;&lt;keyword&gt;SMEs&lt;/keyword&gt;&lt;keyword&gt;ARO&lt;/keyword&gt;&lt;keyword&gt;Literature review&lt;/keyword&gt;&lt;keyword&gt;Decision making&lt;/keyword&gt;&lt;keyword&gt;Risk approach&lt;/keyword&gt;&lt;/keywords&gt;&lt;dates&gt;&lt;year&gt;2021&lt;/year&gt;&lt;pub-dates&gt;&lt;date&gt;2021/02/01/&lt;/date&gt;&lt;/pub-dates&gt;&lt;/dates&gt;&lt;isbn&gt;0263-2373&lt;/isbn&gt;&lt;urls&gt;&lt;related-urls&gt;&lt;url&gt;https://www.sciencedirect.com/science/article/pii/S0263237320301742&lt;/url&gt;&lt;/related-urls&gt;&lt;/urls&gt;&lt;electronic-resource-num&gt;https://doi.org/10.1016/j.emj.2020.11.002&lt;/electronic-resource-num&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(Crovini et al. 2021)</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These studies underscore the necessity for management systems that holistically manage supply chain risks within construction SMEs.</w:t>
      </w:r>
    </w:p>
    <w:p w14:paraId="07C0A7BD" w14:textId="3E9A1D25" w:rsidR="005943F9" w:rsidRPr="007F23AD" w:rsidRDefault="005943F9" w:rsidP="00F66190">
      <w:pPr>
        <w:spacing w:line="480" w:lineRule="auto"/>
        <w:jc w:val="both"/>
        <w:rPr>
          <w:rFonts w:ascii="Calibri" w:hAnsi="Calibri" w:cs="Calibri"/>
          <w:color w:val="000000" w:themeColor="text1"/>
          <w:sz w:val="22"/>
          <w:szCs w:val="22"/>
          <w:lang w:val="en-GB"/>
        </w:rPr>
      </w:pPr>
    </w:p>
    <w:p w14:paraId="55A314DE" w14:textId="1F6E13B7" w:rsidR="005943F9" w:rsidRPr="007F23AD" w:rsidRDefault="005943F9" w:rsidP="00F66190">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SMEs in the construction industry, often crucial subcontractors in the building process, face unique operational challenges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&lt;EndNote&gt;&lt;Cite&gt;&lt;Author&gt;Björnfot&lt;/Author&gt;&lt;Year&gt;2012&lt;/Year&gt;&lt;RecNum&gt;720&lt;/RecNum&gt;&lt;IDText&gt;Extent and effect of horizontal supply chain collaboration among construction SME&lt;/IDText&gt;&lt;DisplayText&gt;(Björnfot and Torjussen 2012)&lt;/DisplayText&gt;&lt;record&gt;&lt;rec-number&gt;720&lt;/rec-number&gt;&lt;foreign-keys&gt;&lt;key app="EN" db-id="vxw0ffesn9zzt0ewpdx5r5a3fpw92aep9re9" timestamp="1683538099" guid="7f78cada-7682-46ac-9d13-cad73c036a82"&gt;720&lt;/key&gt;&lt;/foreign-keys&gt;&lt;ref-type name="Journal Article"&gt;17&lt;/ref-type&gt;&lt;contributors&gt;&lt;authors&gt;&lt;author&gt;Björnfot, Anders&lt;/author&gt;&lt;author&gt;Torjussen, Liv&lt;/author&gt;&lt;/authors&gt;&lt;/contributors&gt;&lt;titles&gt;&lt;title&gt;Extent and effect of horizontal supply chain collaboration among construction SME&lt;/title&gt;&lt;secondary-title&gt;Journal of Engineering, Project, and Production Management&lt;/secondary-title&gt;&lt;/titles&gt;&lt;periodical&gt;&lt;full-title&gt;Journal of Engineering, Project, and Production Management&lt;/full-title&gt;&lt;/periodical&gt;&lt;pages&gt;47-55&lt;/pages&gt;&lt;volume&gt;2&lt;/volume&gt;&lt;number&gt;1&lt;/number&gt;&lt;dates&gt;&lt;year&gt;2012&lt;/year&gt;&lt;/dates&gt;&lt;urls&gt;&lt;/urls&gt;&lt;/record&gt;&lt;/Cite&gt;&lt;/EndNote&gt;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(Björnfot and Torjussen 2012)</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Financial constraints, largely due to reliance on limited funding sources such as banks or personal networks, frequently restrict their operational flexibility </w:t>
      </w:r>
      <w:r w:rsidRPr="007F23AD">
        <w:rPr>
          <w:rFonts w:ascii="Calibri" w:hAnsi="Calibri" w:cs="Calibri"/>
          <w:color w:val="000000" w:themeColor="text1"/>
          <w:sz w:val="22"/>
          <w:szCs w:val="22"/>
          <w:lang w:val="en-GB"/>
        </w:rPr>
        <w:fldChar w:fldCharType="begin"/>
      </w:r>
      <w:r w:rsidRPr="007F23AD">
        <w:rPr>
          <w:rFonts w:ascii="Calibri" w:hAnsi="Calibri" w:cs="Calibri"/>
          <w:color w:val="000000" w:themeColor="text1"/>
          <w:sz w:val="22"/>
          <w:szCs w:val="22"/>
          <w:lang w:val="en-GB"/>
        </w:rPr>
        <w:instrText xml:space="preserve"> ADDIN EN.CITE &lt;EndNote&gt;&lt;Cite&gt;&lt;Author&gt;Kamal&lt;/Author&gt;&lt;Year&gt;2014&lt;/Year&gt;&lt;RecNum&gt;0&lt;/RecNum&gt;&lt;IDText&gt;Key Characteristics of Rural Construction SMEs&lt;/IDText&gt;&lt;DisplayText&gt;(Kamal and Flanagan 2014)&lt;/DisplayText&gt;&lt;record&gt;&lt;rec-number&gt;27&lt;/rec-number&gt;&lt;foreign-keys&gt;&lt;key app="EN" db-id="pzdwvt0zxepzzqe2zdmp5zajvd0tv5sdtt2w" timestamp="1701253332"&gt;27&lt;/key&gt;&lt;/foreign-keys&gt;&lt;ref-type name="Journal Article"&gt;17&lt;/ref-type&gt;&lt;contributors&gt;&lt;authors&gt;&lt;author&gt;Kamal, Ernawati Mustafa&lt;/author&gt;&lt;author&gt;Flanagan, Roger&lt;/author&gt;&lt;/authors&gt;&lt;/contributors&gt;&lt;titles&gt;&lt;title&gt;Key Characteristics of Rural Construction SMEs&lt;/title&gt;&lt;secondary-title&gt;Journal of Construction in Developing Countries&lt;/secondary-title&gt;&lt;/titles&gt;&lt;periodical&gt;&lt;full-title&gt;Journal of Construction in Developing Countries&lt;/full-title&gt;&lt;/periodical&gt;&lt;volume&gt;19&lt;/volume&gt;&lt;number&gt;2&lt;/number&gt;&lt;dates&gt;&lt;year&gt;2014&lt;/year&gt;&lt;/dates&gt;&lt;isbn&gt;1823-6499&lt;/isbn&gt;&lt;urls&gt;&lt;/urls&gt;&lt;/record&gt;&lt;/Cite&gt;&lt;/EndNote&gt;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(Kamal and Flanagan 2014)</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w:t>
      </w:r>
      <w:r w:rsidR="00D42FF8" w:rsidRPr="007F23AD">
        <w:rPr>
          <w:rFonts w:ascii="Calibri" w:hAnsi="Calibri" w:cs="Calibri"/>
          <w:color w:val="000000" w:themeColor="text1"/>
          <w:sz w:val="22"/>
          <w:szCs w:val="22"/>
          <w:lang w:val="en-GB"/>
        </w:rPr>
        <w:t xml:space="preserve"> </w:t>
      </w:r>
      <w:r w:rsidR="002600DE" w:rsidRPr="007F23AD">
        <w:rPr>
          <w:rFonts w:ascii="Calibri" w:hAnsi="Calibri" w:cs="Calibri"/>
          <w:color w:val="000000" w:themeColor="text1"/>
          <w:sz w:val="22"/>
          <w:szCs w:val="22"/>
          <w:lang w:val="en-GB"/>
        </w:rPr>
        <w:t>Fundamentally, SMEs can seldom leverage the financial opportunities that are available to larger companies.</w:t>
      </w:r>
      <w:r w:rsidR="00D42FF8"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 xml:space="preserve">This financial bottleneck can impede the adoption of new technologies and slow the response to technological advancements in the sector. </w:t>
      </w:r>
      <w:r w:rsidR="00A255E5" w:rsidRPr="007F23AD">
        <w:rPr>
          <w:rFonts w:ascii="Calibri" w:hAnsi="Calibri" w:cs="Calibri"/>
          <w:color w:val="000000" w:themeColor="text1"/>
          <w:sz w:val="22"/>
          <w:szCs w:val="22"/>
          <w:lang w:val="en-GB"/>
        </w:rPr>
        <w:t>Beyond technology, funding constraints significantly impact da</w:t>
      </w:r>
      <w:r w:rsidR="00786377" w:rsidRPr="007F23AD">
        <w:rPr>
          <w:rFonts w:ascii="Calibri" w:hAnsi="Calibri" w:cs="Calibri"/>
          <w:color w:val="000000" w:themeColor="text1"/>
          <w:sz w:val="22"/>
          <w:szCs w:val="22"/>
          <w:lang w:val="en-GB"/>
        </w:rPr>
        <w:t>y</w:t>
      </w:r>
      <w:r w:rsidR="00A255E5" w:rsidRPr="007F23AD">
        <w:rPr>
          <w:rFonts w:ascii="Calibri" w:hAnsi="Calibri" w:cs="Calibri"/>
          <w:color w:val="000000" w:themeColor="text1"/>
          <w:sz w:val="22"/>
          <w:szCs w:val="22"/>
          <w:lang w:val="en-GB"/>
        </w:rPr>
        <w:t xml:space="preserve">-to-day operations, project bidding, and long-term strategic planning </w:t>
      </w:r>
      <w:r w:rsidR="00A255E5" w:rsidRPr="007F23AD">
        <w:rPr>
          <w:rFonts w:ascii="Calibri" w:hAnsi="Calibri" w:cs="Calibri"/>
          <w:color w:val="000000" w:themeColor="text1"/>
          <w:sz w:val="22"/>
          <w:szCs w:val="22"/>
          <w:lang w:val="en-GB"/>
        </w:rPr>
        <w:fldChar w:fldCharType="begin"/>
      </w:r>
      <w:r w:rsidR="00EB4280" w:rsidRPr="007F23AD">
        <w:rPr>
          <w:rFonts w:ascii="Calibri" w:hAnsi="Calibri" w:cs="Calibri"/>
          <w:color w:val="000000" w:themeColor="text1"/>
          <w:sz w:val="22"/>
          <w:szCs w:val="22"/>
          <w:lang w:val="en-GB"/>
        </w:rPr>
        <w:instrText xml:space="preserve"> ADDIN EN.CITE &lt;EndNote&gt;&lt;Cite&gt;&lt;Author&gt;Cooke&lt;/Author&gt;&lt;Year&gt;2013&lt;/Year&gt;&lt;RecNum&gt;1507&lt;/RecNum&gt;&lt;DisplayText&gt;(Cooke and Williams 2013)&lt;/DisplayText&gt;&lt;record&gt;&lt;rec-number&gt;1507&lt;/rec-number&gt;&lt;foreign-keys&gt;&lt;key app="EN" db-id="vxw0ffesn9zzt0ewpdx5r5a3fpw92aep9re9" timestamp="1718470320" guid="f57b725a-904c-4452-83c1-5cb8bc848e83"&gt;1507&lt;/key&gt;&lt;/foreign-keys&gt;&lt;ref-type name="Book"&gt;6&lt;/ref-type&gt;&lt;contributors&gt;&lt;authors&gt;&lt;author&gt;Cooke, Brian&lt;/author&gt;&lt;author&gt;Williams, Peter&lt;/author&gt;&lt;/authors&gt;&lt;/contributors&gt;&lt;titles&gt;&lt;title&gt;Construction planning, programming and control&lt;/title&gt;&lt;/titles&gt;&lt;dates&gt;&lt;year&gt;2013&lt;/year&gt;&lt;/dates&gt;&lt;publisher&gt;John Wiley &amp;amp; Sons&lt;/publisher&gt;&lt;isbn&gt;1118658671&lt;/isbn&gt;&lt;urls&gt;&lt;/urls&gt;&lt;/record&gt;&lt;/Cite&gt;&lt;/EndNote&gt;</w:instrText>
      </w:r>
      <w:r w:rsidR="00A255E5" w:rsidRPr="007F23AD">
        <w:rPr>
          <w:rFonts w:ascii="Calibri" w:hAnsi="Calibri" w:cs="Calibri"/>
          <w:color w:val="000000" w:themeColor="text1"/>
          <w:sz w:val="22"/>
          <w:szCs w:val="22"/>
          <w:lang w:val="en-GB"/>
        </w:rPr>
        <w:fldChar w:fldCharType="separate"/>
      </w:r>
      <w:r w:rsidR="00A255E5" w:rsidRPr="007F23AD">
        <w:rPr>
          <w:rFonts w:ascii="Calibri" w:hAnsi="Calibri" w:cs="Calibri"/>
          <w:noProof/>
          <w:color w:val="000000" w:themeColor="text1"/>
          <w:sz w:val="22"/>
          <w:szCs w:val="22"/>
          <w:lang w:val="en-GB"/>
        </w:rPr>
        <w:t>(Cooke and Williams 2013)</w:t>
      </w:r>
      <w:r w:rsidR="00A255E5" w:rsidRPr="007F23AD">
        <w:rPr>
          <w:rFonts w:ascii="Calibri" w:hAnsi="Calibri" w:cs="Calibri"/>
          <w:color w:val="000000" w:themeColor="text1"/>
          <w:sz w:val="22"/>
          <w:szCs w:val="22"/>
          <w:lang w:val="en-GB"/>
        </w:rPr>
        <w:fldChar w:fldCharType="end"/>
      </w:r>
      <w:r w:rsidR="00A255E5" w:rsidRPr="007F23AD">
        <w:rPr>
          <w:rFonts w:ascii="Calibri" w:hAnsi="Calibri" w:cs="Calibri"/>
          <w:color w:val="000000" w:themeColor="text1"/>
          <w:sz w:val="22"/>
          <w:szCs w:val="22"/>
          <w:lang w:val="en-GB"/>
        </w:rPr>
        <w:t>. Impacts on day-to-day operations include overstretched leasing of project equipment and personnel hiring. In project bidding, financial constraints can lead to cash flow pressures and competitive pricing challenges, which may hinder project wins and subsequently affect long-term strategic planning.</w:t>
      </w:r>
      <w:r w:rsidR="00D42FF8" w:rsidRPr="007F23AD">
        <w:rPr>
          <w:rFonts w:ascii="Calibri" w:hAnsi="Calibri" w:cs="Calibri"/>
          <w:color w:val="000000" w:themeColor="text1"/>
          <w:sz w:val="22"/>
          <w:szCs w:val="22"/>
          <w:lang w:val="en-GB"/>
        </w:rPr>
        <w:t xml:space="preserve"> </w:t>
      </w:r>
      <w:r w:rsidR="000648C9" w:rsidRPr="007F23AD">
        <w:rPr>
          <w:rFonts w:ascii="Calibri" w:hAnsi="Calibri" w:cs="Calibri"/>
          <w:color w:val="000000" w:themeColor="text1"/>
          <w:sz w:val="22"/>
          <w:szCs w:val="22"/>
          <w:lang w:val="en-GB"/>
        </w:rPr>
        <w:t>Whilst there are challenges that may not be felt by larger organisations, other SMEs are less well equipped to absorb such difficulties.</w:t>
      </w:r>
      <w:r w:rsidR="00D42FF8" w:rsidRPr="007F23AD">
        <w:rPr>
          <w:rFonts w:ascii="Calibri" w:hAnsi="Calibri" w:cs="Calibri"/>
          <w:color w:val="000000" w:themeColor="text1"/>
          <w:sz w:val="22"/>
          <w:szCs w:val="22"/>
          <w:lang w:val="en-GB"/>
        </w:rPr>
        <w:t xml:space="preserve"> </w:t>
      </w:r>
      <w:r w:rsidR="00A255E5" w:rsidRPr="007F23AD">
        <w:rPr>
          <w:rFonts w:ascii="Calibri" w:hAnsi="Calibri" w:cs="Calibri" w:hint="eastAsia"/>
          <w:color w:val="000000" w:themeColor="text1"/>
          <w:sz w:val="22"/>
          <w:szCs w:val="22"/>
          <w:lang w:val="en-GB"/>
        </w:rPr>
        <w:t xml:space="preserve"> </w:t>
      </w:r>
      <w:r w:rsidRPr="007F23AD">
        <w:rPr>
          <w:rFonts w:ascii="Calibri" w:hAnsi="Calibri" w:cs="Calibri"/>
          <w:color w:val="000000" w:themeColor="text1"/>
          <w:sz w:val="22"/>
          <w:szCs w:val="22"/>
          <w:lang w:val="en-GB"/>
        </w:rPr>
        <w:t xml:space="preserve">Recent studies have highlighted the necessity of robust operational risk processes within these enterprises. For example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 AuthorYear="1"&gt;&lt;Author&gt;Hsu&lt;/Author&gt;&lt;Year&gt;2019&lt;/Year&gt;&lt;RecNum&gt;724&lt;/RecNum&gt;&lt;DisplayText&gt;Hsu et al. (2019)&lt;/DisplayText&gt;&lt;record&gt;&lt;rec-number&gt;724&lt;/rec-number&gt;&lt;foreign-keys&gt;&lt;key app="EN" db-id="vxw0ffesn9zzt0ewpdx5r5a3fpw92aep9re9" timestamp="1683538099" guid="94cb8fbb-921d-46fb-85fd-133792dff507"&gt;724&lt;/key&gt;&lt;/foreign-keys&gt;&lt;ref-type name="Journal Article"&gt;17&lt;/ref-type&gt;&lt;contributors&gt;&lt;authors&gt;&lt;author&gt;Hsu, Pei-Yuan&lt;/author&gt;&lt;author&gt;Aurisicchio, Marco&lt;/author&gt;&lt;author&gt;Angeloudis, Panagiotis&lt;/author&gt;&lt;/authors&gt;&lt;/contributors&gt;&lt;titles&gt;&lt;title&gt;Risk-averse supply chain for modular construction projects&lt;/title&gt;&lt;secondary-title&gt;Automation in Construction&lt;/secondary-title&gt;&lt;/titles&gt;&lt;periodical&gt;&lt;full-title&gt;Automation in Construction&lt;/full-title&gt;&lt;/periodical&gt;&lt;pages&gt;102898&lt;/pages&gt;&lt;volume&gt;106&lt;/volume&gt;&lt;dates&gt;&lt;year&gt;2019&lt;/year&gt;&lt;pub-dates&gt;&lt;date&gt;09/02&lt;/date&gt;&lt;/pub-dates&gt;&lt;/dates&gt;&lt;urls&gt;&lt;/urls&gt;&lt;electronic-resource-num&gt;10.1016/j.autcon.2019.102898&lt;/electronic-resource-num&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Hsu et al. (2019)</w:t>
      </w:r>
      <w:r w:rsidRPr="007F23AD">
        <w:rPr>
          <w:rFonts w:ascii="Calibri" w:hAnsi="Calibri" w:cs="Calibri"/>
          <w:color w:val="000000" w:themeColor="text1"/>
          <w:sz w:val="22"/>
          <w:szCs w:val="22"/>
          <w:lang w:val="en-GB"/>
        </w:rPr>
        <w:fldChar w:fldCharType="end"/>
      </w:r>
      <w:r w:rsidR="00D02327"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 xml:space="preserve">introduced a mathematical model that outperforms traditional methods in designing risk-averse logistics for modular construction </w:t>
      </w:r>
      <w:r w:rsidRPr="007F23AD">
        <w:rPr>
          <w:rFonts w:ascii="Calibri" w:hAnsi="Calibri" w:cs="Calibri"/>
          <w:color w:val="000000" w:themeColor="text1"/>
          <w:sz w:val="22"/>
          <w:szCs w:val="22"/>
          <w:lang w:val="en-GB"/>
        </w:rPr>
        <w:lastRenderedPageBreak/>
        <w:t>projects. Yet, such research typically focuses on common risks, leaving a gap in understanding the nuances of more complex or interrelated risks that SMEs might encounter.</w:t>
      </w:r>
      <w:r w:rsidR="006D5CC4" w:rsidRPr="007F23AD">
        <w:rPr>
          <w:rFonts w:ascii="Calibri" w:hAnsi="Calibri" w:cs="Calibri"/>
          <w:color w:val="000000" w:themeColor="text1"/>
          <w:sz w:val="22"/>
          <w:szCs w:val="22"/>
          <w:lang w:val="en-GB"/>
        </w:rPr>
        <w:t xml:space="preserve"> </w:t>
      </w:r>
    </w:p>
    <w:p w14:paraId="219D2732" w14:textId="77777777" w:rsidR="00F66190" w:rsidRPr="007F23AD" w:rsidRDefault="00F66190" w:rsidP="00F66190">
      <w:pPr>
        <w:spacing w:line="480" w:lineRule="auto"/>
        <w:jc w:val="both"/>
        <w:rPr>
          <w:rFonts w:ascii="Calibri" w:hAnsi="Calibri" w:cs="Calibri"/>
          <w:color w:val="000000" w:themeColor="text1"/>
          <w:sz w:val="22"/>
          <w:szCs w:val="22"/>
          <w:lang w:val="en-GB"/>
        </w:rPr>
      </w:pPr>
    </w:p>
    <w:p w14:paraId="051DC843" w14:textId="4CA003A4" w:rsidR="003B2C86" w:rsidRPr="007F23AD" w:rsidRDefault="00F66190" w:rsidP="00F66190">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From a technology and environmental perspective, SME growth can be inhibited by strict regulations or the advent of emerging technologies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&lt;EndNote&gt;&lt;Cite&gt;&lt;Author&gt;Rezazadeh&lt;/Author&gt;&lt;Year&gt;2017&lt;/Year&gt;&lt;RecNum&gt;927&lt;/RecNum&gt;&lt;IDText&gt;The contribution of business model innovation to collaborative entrepreneurship between SMEs: a review and avenues for further research&lt;/IDText&gt;&lt;DisplayText&gt;(Rezazadeh 2017)&lt;/DisplayText&gt;&lt;record&gt;&lt;rec-number&gt;927&lt;/rec-number&gt;&lt;foreign-keys&gt;&lt;key app="EN" db-id="vxw0ffesn9zzt0ewpdx5r5a3fpw92aep9re9" timestamp="1685005317" guid="c97283b0-c974-4c27-a58a-48fe9756a9cf"&gt;927&lt;/key&gt;&lt;/foreign-keys&gt;&lt;ref-type name="Journal Article"&gt;17&lt;/ref-type&gt;&lt;contributors&gt;&lt;authors&gt;&lt;author&gt;Rezazadeh, Arash&lt;/author&gt;&lt;/authors&gt;&lt;/contributors&gt;&lt;titles&gt;&lt;title&gt;The contribution of business model innovation to collaborative entrepreneurship between SMEs: a review and avenues for further research&lt;/title&gt;&lt;secondary-title&gt;International Journal of Business and Globalisation&lt;/secondary-title&gt;&lt;/titles&gt;&lt;periodical&gt;&lt;full-title&gt;International Journal of Business and Globalisation&lt;/full-title&gt;&lt;/periodical&gt;&lt;pages&gt;112-129&lt;/pages&gt;&lt;volume&gt;18&lt;/volume&gt;&lt;number&gt;1&lt;/number&gt;&lt;dates&gt;&lt;year&gt;2017&lt;/year&gt;&lt;/dates&gt;&lt;isbn&gt;1753-3627&lt;/isbn&gt;&lt;urls&gt;&lt;/urls&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(Rezazadeh 2017)</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For instance, technology risks include requirements for new technology, skills, and staff. Without proper adoption of new technology, this could lead to decreased supply or challenges in coordinating with other companies. The introduction of advanced technologies, such as blockchain, prefabricated construction, and innovations from Industry 4.0</w:t>
      </w:r>
      <w:r w:rsidR="00D42FF8" w:rsidRPr="007F23AD">
        <w:rPr>
          <w:rFonts w:ascii="Calibri" w:hAnsi="Calibri" w:cs="Calibri"/>
          <w:color w:val="000000" w:themeColor="text1"/>
          <w:sz w:val="22"/>
          <w:szCs w:val="22"/>
          <w:lang w:val="en-GB"/>
        </w:rPr>
        <w:t xml:space="preserve"> (e.g. </w:t>
      </w:r>
      <w:r w:rsidR="00D42FF8" w:rsidRPr="007F23AD">
        <w:rPr>
          <w:rFonts w:ascii="Calibri" w:hAnsi="Calibri" w:cs="Calibri"/>
          <w:color w:val="000000" w:themeColor="text1"/>
          <w:sz w:val="22"/>
          <w:szCs w:val="22"/>
        </w:rPr>
        <w:t>3D printing</w:t>
      </w:r>
      <w:r w:rsidR="00D42FF8" w:rsidRPr="007F23AD">
        <w:rPr>
          <w:rFonts w:ascii="Calibri" w:hAnsi="Calibri" w:cs="Calibri"/>
          <w:color w:val="000000" w:themeColor="text1"/>
          <w:sz w:val="22"/>
          <w:szCs w:val="22"/>
          <w:lang w:val="en-GB"/>
        </w:rPr>
        <w:t>)</w:t>
      </w:r>
      <w:r w:rsidRPr="007F23AD">
        <w:rPr>
          <w:rFonts w:ascii="Calibri" w:hAnsi="Calibri" w:cs="Calibri"/>
          <w:color w:val="000000" w:themeColor="text1"/>
          <w:sz w:val="22"/>
          <w:szCs w:val="22"/>
          <w:lang w:val="en-GB"/>
        </w:rPr>
        <w:t xml:space="preserve">, presents significant sustainability challenges for SMEs </w:t>
      </w:r>
      <w:r w:rsidRPr="007F23AD">
        <w:rPr>
          <w:rFonts w:ascii="Calibri" w:eastAsia="DengXian" w:hAnsi="Calibri" w:cs="Calibri"/>
          <w:noProof/>
          <w:color w:val="000000" w:themeColor="text1"/>
          <w:sz w:val="22"/>
          <w:szCs w:val="22"/>
          <w:lang w:val="en-GB"/>
        </w:rPr>
        <w:fldChar w:fldCharType="begin">
          <w:fldData xml:space="preserve">PEVuZE5vdGU+PENpdGU+PEF1dGhvcj5NYW5zb3VyPC9BdXRob3I+PFllYXI+MjAyMTwvWWVhcj48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==
</w:fldData>
        </w:fldChar>
      </w:r>
      <w:r w:rsidR="00780CCF" w:rsidRPr="007F23AD">
        <w:rPr>
          <w:rFonts w:ascii="Calibri" w:eastAsia="DengXian" w:hAnsi="Calibri" w:cs="Calibri"/>
          <w:noProof/>
          <w:color w:val="000000" w:themeColor="text1"/>
          <w:sz w:val="22"/>
          <w:szCs w:val="22"/>
          <w:lang w:val="en-GB"/>
        </w:rPr>
        <w:instrText xml:space="preserve"> ADDIN EN.CITE </w:instrText>
      </w:r>
      <w:r w:rsidR="00780CCF" w:rsidRPr="007F23AD">
        <w:rPr>
          <w:rFonts w:ascii="Calibri" w:eastAsia="DengXian" w:hAnsi="Calibri" w:cs="Calibri"/>
          <w:noProof/>
          <w:color w:val="000000" w:themeColor="text1"/>
          <w:sz w:val="22"/>
          <w:szCs w:val="22"/>
          <w:lang w:val="en-GB"/>
        </w:rPr>
        <w:fldChar w:fldCharType="begin">
          <w:fldData xml:space="preserve">PEVuZE5vdGU+PENpdGU+PEF1dGhvcj5NYW5zb3VyPC9BdXRob3I+PFllYXI+MjAyMTwvWWVhcj48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==
</w:fldData>
        </w:fldChar>
      </w:r>
      <w:r w:rsidR="00780CCF" w:rsidRPr="007F23AD">
        <w:rPr>
          <w:rFonts w:ascii="Calibri" w:eastAsia="DengXian" w:hAnsi="Calibri" w:cs="Calibri"/>
          <w:noProof/>
          <w:color w:val="000000" w:themeColor="text1"/>
          <w:sz w:val="22"/>
          <w:szCs w:val="22"/>
          <w:lang w:val="en-GB"/>
        </w:rPr>
        <w:instrText xml:space="preserve"> ADDIN EN.CITE.DATA </w:instrText>
      </w:r>
      <w:r w:rsidR="00780CCF" w:rsidRPr="007F23AD">
        <w:rPr>
          <w:rFonts w:ascii="Calibri" w:eastAsia="DengXian" w:hAnsi="Calibri" w:cs="Calibri"/>
          <w:noProof/>
          <w:color w:val="000000" w:themeColor="text1"/>
          <w:sz w:val="22"/>
          <w:szCs w:val="22"/>
          <w:lang w:val="en-GB"/>
        </w:rPr>
      </w:r>
      <w:r w:rsidR="00780CCF" w:rsidRPr="007F23AD">
        <w:rPr>
          <w:rFonts w:ascii="Calibri" w:eastAsia="DengXian" w:hAnsi="Calibri" w:cs="Calibri"/>
          <w:noProof/>
          <w:color w:val="000000" w:themeColor="text1"/>
          <w:sz w:val="22"/>
          <w:szCs w:val="22"/>
          <w:lang w:val="en-GB"/>
        </w:rPr>
        <w:fldChar w:fldCharType="end"/>
      </w:r>
      <w:r w:rsidRPr="007F23AD">
        <w:rPr>
          <w:rFonts w:ascii="Calibri" w:eastAsia="DengXian" w:hAnsi="Calibri" w:cs="Calibri"/>
          <w:noProof/>
          <w:color w:val="000000" w:themeColor="text1"/>
          <w:sz w:val="22"/>
          <w:szCs w:val="22"/>
          <w:lang w:val="en-GB"/>
        </w:rPr>
      </w:r>
      <w:r w:rsidRPr="007F23AD">
        <w:rPr>
          <w:rFonts w:ascii="Calibri" w:eastAsia="DengXian" w:hAnsi="Calibri" w:cs="Calibri"/>
          <w:noProof/>
          <w:color w:val="000000" w:themeColor="text1"/>
          <w:sz w:val="22"/>
          <w:szCs w:val="22"/>
          <w:lang w:val="en-GB"/>
        </w:rPr>
        <w:fldChar w:fldCharType="separate"/>
      </w:r>
      <w:r w:rsidR="000F4B66" w:rsidRPr="007F23AD">
        <w:rPr>
          <w:rFonts w:ascii="Calibri" w:eastAsia="DengXian" w:hAnsi="Calibri" w:cs="Calibri"/>
          <w:noProof/>
          <w:color w:val="000000" w:themeColor="text1"/>
          <w:sz w:val="22"/>
          <w:szCs w:val="22"/>
          <w:lang w:val="en-GB"/>
        </w:rPr>
        <w:t>(Mansour et al. 2021; Kayikci et al. 2022; Lu et al. 2023)</w:t>
      </w:r>
      <w:r w:rsidRPr="007F23AD">
        <w:rPr>
          <w:rFonts w:ascii="Calibri" w:eastAsia="DengXian" w:hAnsi="Calibri" w:cs="Calibri"/>
          <w:noProof/>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F140BA" w:rsidRPr="007F23AD">
        <w:rPr>
          <w:rFonts w:ascii="Calibri" w:hAnsi="Calibri" w:cs="Calibri"/>
          <w:color w:val="000000" w:themeColor="text1"/>
          <w:sz w:val="22"/>
          <w:szCs w:val="22"/>
          <w:lang w:val="en-GB"/>
        </w:rPr>
        <w:t>A well-known case is an apartment building in Germany, designed and constructed using 3D printers</w:t>
      </w:r>
      <w:r w:rsidR="00A23D4E" w:rsidRPr="007F23AD">
        <w:rPr>
          <w:rFonts w:ascii="Calibri" w:hAnsi="Calibri" w:cs="Calibri"/>
          <w:color w:val="000000" w:themeColor="text1"/>
          <w:sz w:val="22"/>
          <w:szCs w:val="22"/>
          <w:lang w:val="en-GB"/>
        </w:rPr>
        <w:t xml:space="preserve"> </w:t>
      </w:r>
      <w:r w:rsidR="00A23D4E" w:rsidRPr="007F23AD">
        <w:rPr>
          <w:rFonts w:ascii="Calibri" w:hAnsi="Calibri" w:cs="Calibri"/>
          <w:color w:val="000000" w:themeColor="text1"/>
          <w:sz w:val="22"/>
          <w:szCs w:val="22"/>
          <w:lang w:val="en-GB"/>
        </w:rPr>
        <w:fldChar w:fldCharType="begin"/>
      </w:r>
      <w:r w:rsidR="00D80647" w:rsidRPr="007F23AD">
        <w:rPr>
          <w:rFonts w:ascii="Calibri" w:hAnsi="Calibri" w:cs="Calibri"/>
          <w:color w:val="000000" w:themeColor="text1"/>
          <w:sz w:val="22"/>
          <w:szCs w:val="22"/>
          <w:lang w:val="en-GB"/>
        </w:rPr>
        <w:instrText xml:space="preserve"> ADDIN EN.CITE &lt;EndNote&gt;&lt;Cite&gt;&lt;Author&gt;Youssef&lt;/Author&gt;&lt;Year&gt;2023&lt;/Year&gt;&lt;RecNum&gt;1736&lt;/RecNum&gt;&lt;DisplayText&gt;(Youssef and Abbas 2023)&lt;/DisplayText&gt;&lt;record&gt;&lt;rec-number&gt;1736&lt;/rec-number&gt;&lt;foreign-keys&gt;&lt;key app="EN" db-id="vxw0ffesn9zzt0ewpdx5r5a3fpw92aep9re9" timestamp="1722433919" guid="7333da44-2ae6-415b-8d77-878b8268e1c8"&gt;1736&lt;/key&gt;&lt;/foreign-keys&gt;&lt;ref-type name="Journal Article"&gt;17&lt;/ref-type&gt;&lt;contributors&gt;&lt;authors&gt;&lt;author&gt;Youssef, Maged&lt;/author&gt;&lt;author&gt;Abbas, Lena&lt;/author&gt;&lt;/authors&gt;&lt;/contributors&gt;&lt;titles&gt;&lt;title&gt;Applying 3d printing technology in constructing sustainable houses&lt;/title&gt;&lt;secondary-title&gt;Architecture and Planning Journal (APJ)&lt;/secondary-title&gt;&lt;/titles&gt;&lt;periodical&gt;&lt;full-title&gt;Architecture and Planning Journal (APJ)&lt;/full-title&gt;&lt;/periodical&gt;&lt;pages&gt;4&lt;/pages&gt;&lt;volume&gt;29&lt;/volume&gt;&lt;number&gt;1&lt;/number&gt;&lt;dates&gt;&lt;year&gt;2023&lt;/year&gt;&lt;/dates&gt;&lt;isbn&gt;2789-8547&lt;/isbn&gt;&lt;urls&gt;&lt;/urls&gt;&lt;/record&gt;&lt;/Cite&gt;&lt;/EndNote&gt;</w:instrText>
      </w:r>
      <w:r w:rsidR="00A23D4E" w:rsidRPr="007F23AD">
        <w:rPr>
          <w:rFonts w:ascii="Calibri" w:hAnsi="Calibri" w:cs="Calibri"/>
          <w:color w:val="000000" w:themeColor="text1"/>
          <w:sz w:val="22"/>
          <w:szCs w:val="22"/>
          <w:lang w:val="en-GB"/>
        </w:rPr>
        <w:fldChar w:fldCharType="separate"/>
      </w:r>
      <w:r w:rsidR="00A23D4E" w:rsidRPr="007F23AD">
        <w:rPr>
          <w:rFonts w:ascii="Calibri" w:hAnsi="Calibri" w:cs="Calibri"/>
          <w:noProof/>
          <w:color w:val="000000" w:themeColor="text1"/>
          <w:sz w:val="22"/>
          <w:szCs w:val="22"/>
          <w:lang w:val="en-GB"/>
        </w:rPr>
        <w:t>(Youssef and Abbas 2023)</w:t>
      </w:r>
      <w:r w:rsidR="00A23D4E" w:rsidRPr="007F23AD">
        <w:rPr>
          <w:rFonts w:ascii="Calibri" w:hAnsi="Calibri" w:cs="Calibri"/>
          <w:color w:val="000000" w:themeColor="text1"/>
          <w:sz w:val="22"/>
          <w:szCs w:val="22"/>
          <w:lang w:val="en-GB"/>
        </w:rPr>
        <w:fldChar w:fldCharType="end"/>
      </w:r>
      <w:r w:rsidR="00F610C8" w:rsidRPr="007F23AD">
        <w:rPr>
          <w:rFonts w:ascii="Calibri" w:hAnsi="Calibri" w:cs="Calibri"/>
          <w:color w:val="000000" w:themeColor="text1"/>
          <w:sz w:val="22"/>
          <w:szCs w:val="22"/>
          <w:lang w:val="en-GB"/>
        </w:rPr>
        <w:t>.</w:t>
      </w:r>
      <w:r w:rsidR="00B40CB2" w:rsidRPr="007F23AD">
        <w:rPr>
          <w:rFonts w:ascii="Calibri" w:hAnsi="Calibri" w:cs="Calibri"/>
          <w:color w:val="000000" w:themeColor="text1"/>
          <w:sz w:val="22"/>
          <w:szCs w:val="22"/>
          <w:lang w:val="en-GB"/>
        </w:rPr>
        <w:t xml:space="preserve"> </w:t>
      </w:r>
      <w:r w:rsidR="009C496D" w:rsidRPr="007F23AD">
        <w:rPr>
          <w:rFonts w:ascii="Calibri" w:hAnsi="Calibri" w:cs="Calibri"/>
          <w:color w:val="000000" w:themeColor="text1"/>
          <w:sz w:val="22"/>
          <w:szCs w:val="22"/>
          <w:lang w:val="en-GB"/>
        </w:rPr>
        <w:t>D</w:t>
      </w:r>
      <w:r w:rsidR="00F140BA" w:rsidRPr="007F23AD">
        <w:rPr>
          <w:rFonts w:ascii="Calibri" w:hAnsi="Calibri" w:cs="Calibri"/>
          <w:color w:val="000000" w:themeColor="text1"/>
          <w:sz w:val="22"/>
          <w:szCs w:val="22"/>
          <w:lang w:val="en-GB"/>
        </w:rPr>
        <w:t xml:space="preserve">ue to the high technical standards of 3D printing, finding workers skilled in both 3D printing and construction is a major challenge for construction SMEs, which tend to favour larger construction companies. </w:t>
      </w:r>
      <w:r w:rsidR="00B54A1E" w:rsidRPr="007F23AD">
        <w:rPr>
          <w:rFonts w:ascii="Calibri" w:hAnsi="Calibri" w:cs="Calibri"/>
          <w:color w:val="000000" w:themeColor="text1"/>
          <w:sz w:val="22"/>
          <w:szCs w:val="22"/>
          <w:lang w:val="en-GB"/>
        </w:rPr>
        <w:t>The specific nature of this work tends to attract skilled workers to larger companies. Additionally, it is well known that many 3D printing workflows differ significantly from traditional construction processes</w:t>
      </w:r>
      <w:r w:rsidR="00D32564" w:rsidRPr="007F23AD">
        <w:rPr>
          <w:rFonts w:ascii="Calibri" w:hAnsi="Calibri" w:cs="Calibri"/>
          <w:color w:val="000000" w:themeColor="text1"/>
          <w:sz w:val="22"/>
          <w:szCs w:val="22"/>
          <w:lang w:val="en-GB"/>
        </w:rPr>
        <w:t xml:space="preserve"> </w:t>
      </w:r>
      <w:r w:rsidR="00D32564" w:rsidRPr="007F23AD">
        <w:rPr>
          <w:rFonts w:ascii="Calibri" w:hAnsi="Calibri" w:cs="Calibri"/>
          <w:color w:val="000000" w:themeColor="text1"/>
          <w:sz w:val="22"/>
          <w:szCs w:val="22"/>
          <w:lang w:val="en-GB"/>
        </w:rPr>
        <w:fldChar w:fldCharType="begin"/>
      </w:r>
      <w:r w:rsidR="00D32564" w:rsidRPr="007F23AD">
        <w:rPr>
          <w:rFonts w:ascii="Calibri" w:hAnsi="Calibri" w:cs="Calibri"/>
          <w:color w:val="000000" w:themeColor="text1"/>
          <w:sz w:val="22"/>
          <w:szCs w:val="22"/>
          <w:lang w:val="en-GB"/>
        </w:rPr>
        <w:instrText xml:space="preserve"> ADDIN EN.CITE &lt;EndNote&gt;&lt;Cite&gt;&lt;Author&gt;Johns&lt;/Author&gt;&lt;Year&gt;2024&lt;/Year&gt;&lt;RecNum&gt;1730&lt;/RecNum&gt;&lt;DisplayText&gt;(Johns et al. 2024)&lt;/DisplayText&gt;&lt;record&gt;&lt;rec-number&gt;1730&lt;/rec-number&gt;&lt;foreign-keys&gt;&lt;key app="EN" db-id="vxw0ffesn9zzt0ewpdx5r5a3fpw92aep9re9" timestamp="1722342323" guid="020bba43-f268-437d-ace4-442cdd327b8d"&gt;1730&lt;/key&gt;&lt;/foreign-keys&gt;&lt;ref-type name="Book Section"&gt;5&lt;/ref-type&gt;&lt;contributors&gt;&lt;authors&gt;&lt;author&gt;Johns, Jennifer&lt;/author&gt;&lt;author&gt;Eyers, Daniel&lt;/author&gt;&lt;author&gt;Lupton, Rick&lt;/author&gt;&lt;author&gt;Syntetos, Aris&lt;/author&gt;&lt;author&gt;Robins, Jessica&lt;/author&gt;&lt;/authors&gt;&lt;/contributors&gt;&lt;titles&gt;&lt;title&gt;Additive manufacturing and circular economies&lt;/title&gt;&lt;secondary-title&gt;Circular Economy for the Built Environment&lt;/secondary-title&gt;&lt;/titles&gt;&lt;pages&gt;250-267&lt;/pages&gt;&lt;dates&gt;&lt;year&gt;2024&lt;/year&gt;&lt;/dates&gt;&lt;publisher&gt;Routledge&lt;/publisher&gt;&lt;isbn&gt;9781003450023&lt;/isbn&gt;&lt;urls&gt;&lt;/urls&gt;&lt;/record&gt;&lt;/Cite&gt;&lt;/EndNote&gt;</w:instrText>
      </w:r>
      <w:r w:rsidR="00D32564" w:rsidRPr="007F23AD">
        <w:rPr>
          <w:rFonts w:ascii="Calibri" w:hAnsi="Calibri" w:cs="Calibri"/>
          <w:color w:val="000000" w:themeColor="text1"/>
          <w:sz w:val="22"/>
          <w:szCs w:val="22"/>
          <w:lang w:val="en-GB"/>
        </w:rPr>
        <w:fldChar w:fldCharType="separate"/>
      </w:r>
      <w:r w:rsidR="00D32564" w:rsidRPr="007F23AD">
        <w:rPr>
          <w:rFonts w:ascii="Calibri" w:hAnsi="Calibri" w:cs="Calibri"/>
          <w:noProof/>
          <w:color w:val="000000" w:themeColor="text1"/>
          <w:sz w:val="22"/>
          <w:szCs w:val="22"/>
          <w:lang w:val="en-GB"/>
        </w:rPr>
        <w:t>(Johns et al. 2024)</w:t>
      </w:r>
      <w:r w:rsidR="00D32564" w:rsidRPr="007F23AD">
        <w:rPr>
          <w:rFonts w:ascii="Calibri" w:hAnsi="Calibri" w:cs="Calibri"/>
          <w:color w:val="000000" w:themeColor="text1"/>
          <w:sz w:val="22"/>
          <w:szCs w:val="22"/>
          <w:lang w:val="en-GB"/>
        </w:rPr>
        <w:fldChar w:fldCharType="end"/>
      </w:r>
      <w:r w:rsidR="00D42FF8" w:rsidRPr="007F23AD">
        <w:rPr>
          <w:rFonts w:ascii="Calibri" w:hAnsi="Calibri" w:cs="Calibri"/>
          <w:color w:val="000000" w:themeColor="text1"/>
          <w:sz w:val="22"/>
          <w:szCs w:val="22"/>
          <w:lang w:val="en-GB"/>
        </w:rPr>
        <w:t>,</w:t>
      </w:r>
      <w:r w:rsidR="006474A8" w:rsidRPr="007F23AD">
        <w:rPr>
          <w:color w:val="000000" w:themeColor="text1"/>
          <w:lang w:val="en-GB"/>
        </w:rPr>
        <w:t xml:space="preserve"> </w:t>
      </w:r>
      <w:r w:rsidR="00271082" w:rsidRPr="007F23AD">
        <w:rPr>
          <w:rFonts w:ascii="Calibri" w:hAnsi="Calibri" w:cs="Calibri"/>
          <w:color w:val="000000" w:themeColor="text1"/>
          <w:sz w:val="22"/>
          <w:szCs w:val="22"/>
          <w:lang w:val="en-GB"/>
        </w:rPr>
        <w:t>which smaller organisations may struggle with.</w:t>
      </w:r>
    </w:p>
    <w:p w14:paraId="0B8F7437" w14:textId="77777777" w:rsidR="003B2C86" w:rsidRPr="007F23AD" w:rsidRDefault="003B2C86" w:rsidP="00F66190">
      <w:pPr>
        <w:spacing w:line="480" w:lineRule="auto"/>
        <w:jc w:val="both"/>
        <w:rPr>
          <w:rFonts w:ascii="Calibri" w:hAnsi="Calibri" w:cs="Calibri"/>
          <w:color w:val="000000" w:themeColor="text1"/>
          <w:sz w:val="22"/>
          <w:szCs w:val="22"/>
          <w:lang w:val="en-GB"/>
        </w:rPr>
      </w:pPr>
    </w:p>
    <w:p w14:paraId="24F55AD8" w14:textId="6298660A" w:rsidR="00F66190" w:rsidRPr="007F23AD" w:rsidRDefault="007553E5" w:rsidP="00F66190">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rPr>
        <w:t xml:space="preserve">Environmental </w:t>
      </w:r>
      <w:r w:rsidR="00F66190" w:rsidRPr="007F23AD">
        <w:rPr>
          <w:rFonts w:ascii="Calibri" w:hAnsi="Calibri" w:cs="Calibri"/>
          <w:color w:val="000000" w:themeColor="text1"/>
          <w:sz w:val="22"/>
          <w:szCs w:val="22"/>
          <w:lang w:val="en-GB"/>
        </w:rPr>
        <w:t xml:space="preserve">risks and technological innovations are important for supply chain sustainability, impacting corporate strategic planning, operational efficiency, and environmental and social impacts. Specifically, supply chains are vulnerable to natural disasters, theft, extreme weather, cyber-attacks, and unexpected quality issues, which can lead to delays in raw material delivery and schedule </w:t>
      </w:r>
      <w:r w:rsidR="00C90E4E" w:rsidRPr="007F23AD">
        <w:rPr>
          <w:rFonts w:ascii="Calibri" w:hAnsi="Calibri" w:cs="Calibri"/>
          <w:color w:val="000000" w:themeColor="text1"/>
          <w:sz w:val="22"/>
          <w:szCs w:val="22"/>
          <w:lang w:val="en-GB"/>
        </w:rPr>
        <w:t>delays</w:t>
      </w:r>
      <w:r w:rsidR="00F66190" w:rsidRPr="007F23AD">
        <w:rPr>
          <w:rFonts w:ascii="Calibri" w:hAnsi="Calibri" w:cs="Calibri"/>
          <w:color w:val="000000" w:themeColor="text1"/>
          <w:sz w:val="22"/>
          <w:szCs w:val="22"/>
          <w:lang w:val="en-GB"/>
        </w:rPr>
        <w:t xml:space="preserve"> </w:t>
      </w:r>
      <w:r w:rsidR="00F66190"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&lt;EndNote&gt;&lt;Cite&gt;&lt;Author&gt;Hasan&lt;/Author&gt;&lt;Year&gt;2021&lt;/Year&gt;&lt;RecNum&gt;696&lt;/RecNum&gt;&lt;IDText&gt;An Assessment of Readiness and Willingness to Adopt Digital Marketing Transformation Among SMEs&amp;apos; Entrepreneurs in Sabah: A Conceptual Model&lt;/IDText&gt;&lt;DisplayText&gt;(Hasan et al. 2021)&lt;/DisplayText&gt;&lt;record&gt;&lt;rec-number&gt;696&lt;/rec-number&gt;&lt;foreign-keys&gt;&lt;key app="EN" db-id="vxw0ffesn9zzt0ewpdx5r5a3fpw92aep9re9" timestamp="1683538060" guid="bdc1513c-4024-48cc-810c-276cfef5402f"&gt;696&lt;/key&gt;&lt;/foreign-keys&gt;&lt;ref-type name="Journal Article"&gt;17&lt;/ref-type&gt;&lt;contributors&gt;&lt;authors&gt;&lt;author&gt;Hasan, Haslinda&lt;/author&gt;&lt;author&gt;Topimin, Salmah&lt;/author&gt;&lt;author&gt;Ahmad, siti nor bayaah&lt;/author&gt;&lt;author&gt;Othman, Irma&lt;/author&gt;&lt;/authors&gt;&lt;/contributors&gt;&lt;titles&gt;&lt;title&gt;An Assessment of Readiness and Willingness to Adopt Digital Marketing Transformation Among SMEs&amp;apos; Entrepreneurs in Sabah: A Conceptual Model&lt;/title&gt;&lt;/titles&gt;&lt;pages&gt;101-110&lt;/pages&gt;&lt;volume&gt;6&lt;/volume&gt;&lt;dates&gt;&lt;year&gt;2021&lt;/year&gt;&lt;pub-dates&gt;&lt;date&gt;11/30&lt;/date&gt;&lt;/pub-dates&gt;&lt;/dates&gt;&lt;urls&gt;&lt;/urls&gt;&lt;/record&gt;&lt;/Cite&gt;&lt;/EndNote&gt;</w:instrText>
      </w:r>
      <w:r w:rsidR="00F66190" w:rsidRPr="007F23AD">
        <w:rPr>
          <w:rFonts w:ascii="Calibri" w:hAnsi="Calibri" w:cs="Calibri"/>
          <w:color w:val="000000" w:themeColor="text1"/>
          <w:sz w:val="22"/>
          <w:szCs w:val="22"/>
          <w:lang w:val="en-GB"/>
        </w:rPr>
        <w:fldChar w:fldCharType="separate"/>
      </w:r>
      <w:r w:rsidR="00F66190" w:rsidRPr="007F23AD">
        <w:rPr>
          <w:rFonts w:ascii="Calibri" w:hAnsi="Calibri" w:cs="Calibri"/>
          <w:noProof/>
          <w:color w:val="000000" w:themeColor="text1"/>
          <w:sz w:val="22"/>
          <w:szCs w:val="22"/>
          <w:lang w:val="en-GB"/>
        </w:rPr>
        <w:t>(Hasan et al. 2021)</w:t>
      </w:r>
      <w:r w:rsidR="00F66190" w:rsidRPr="007F23AD">
        <w:rPr>
          <w:rFonts w:ascii="Calibri" w:hAnsi="Calibri" w:cs="Calibri"/>
          <w:color w:val="000000" w:themeColor="text1"/>
          <w:sz w:val="22"/>
          <w:szCs w:val="22"/>
          <w:lang w:val="en-GB"/>
        </w:rPr>
        <w:fldChar w:fldCharType="end"/>
      </w:r>
      <w:r w:rsidR="00F66190" w:rsidRPr="007F23AD">
        <w:rPr>
          <w:rFonts w:ascii="Calibri" w:hAnsi="Calibri" w:cs="Calibri"/>
          <w:color w:val="000000" w:themeColor="text1"/>
          <w:sz w:val="22"/>
          <w:szCs w:val="22"/>
          <w:lang w:val="en-GB"/>
        </w:rPr>
        <w:t xml:space="preserve">.  </w:t>
      </w:r>
    </w:p>
    <w:p w14:paraId="29551634" w14:textId="77777777" w:rsidR="00CF7BBF" w:rsidRPr="007F23AD" w:rsidRDefault="00CF7BBF" w:rsidP="00CF7BBF">
      <w:pPr>
        <w:spacing w:line="480" w:lineRule="auto"/>
        <w:jc w:val="both"/>
        <w:rPr>
          <w:rFonts w:ascii="Calibri" w:hAnsi="Calibri" w:cs="Calibri"/>
          <w:color w:val="000000" w:themeColor="text1"/>
          <w:sz w:val="22"/>
          <w:szCs w:val="22"/>
          <w:lang w:val="en-GB"/>
        </w:rPr>
      </w:pPr>
    </w:p>
    <w:p w14:paraId="40419E76" w14:textId="6873E5BB" w:rsidR="00CF7BBF" w:rsidRPr="007F23AD" w:rsidRDefault="00CF7BBF" w:rsidP="00CF7BBF">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These recent studies demonstrate the ongoing efforts to optimize risk management processes for construction SMEs, as well as the potential for new techniques and approaches to improve </w:t>
      </w:r>
      <w:r w:rsidRPr="007F23AD">
        <w:rPr>
          <w:rFonts w:ascii="Calibri" w:hAnsi="Calibri" w:cs="Calibri"/>
          <w:color w:val="000000" w:themeColor="text1"/>
          <w:sz w:val="22"/>
          <w:szCs w:val="22"/>
          <w:lang w:val="en-GB"/>
        </w:rPr>
        <w:lastRenderedPageBreak/>
        <w:t>supply chain risk management in this context</w:t>
      </w:r>
      <w:r w:rsidR="00C857ED" w:rsidRPr="007F23AD">
        <w:rPr>
          <w:rFonts w:ascii="Calibri" w:hAnsi="Calibri" w:cs="Calibri"/>
          <w:color w:val="000000" w:themeColor="text1"/>
          <w:sz w:val="22"/>
          <w:szCs w:val="22"/>
          <w:lang w:val="en-GB"/>
        </w:rPr>
        <w:t>.</w:t>
      </w:r>
      <w:r w:rsidRPr="007F23AD">
        <w:rPr>
          <w:rFonts w:ascii="Calibri" w:hAnsi="Calibri" w:cs="Calibri"/>
          <w:color w:val="000000" w:themeColor="text1"/>
          <w:sz w:val="22"/>
          <w:szCs w:val="22"/>
          <w:lang w:val="en-GB"/>
        </w:rPr>
        <w:t xml:space="preserve"> </w:t>
      </w:r>
      <w:r w:rsidR="00265319" w:rsidRPr="007F23AD">
        <w:rPr>
          <w:rFonts w:ascii="Calibri" w:hAnsi="Calibri" w:cs="Calibri"/>
          <w:color w:val="000000" w:themeColor="text1"/>
          <w:sz w:val="22"/>
          <w:szCs w:val="22"/>
          <w:lang w:val="en-GB"/>
        </w:rPr>
        <w:t>However,</w:t>
      </w:r>
      <w:r w:rsidRPr="007F23AD">
        <w:rPr>
          <w:rFonts w:ascii="Calibri" w:hAnsi="Calibri" w:cs="Calibri"/>
          <w:color w:val="000000" w:themeColor="text1"/>
          <w:sz w:val="22"/>
          <w:szCs w:val="22"/>
          <w:lang w:val="en-GB"/>
        </w:rPr>
        <w:t xml:space="preserve"> the existing literature on supply chain risk within construction SMEs is not only scant but also fragmented. As discussed in this section, the characteristics of construction SMEs are quite different from those of larger construction company, and consequently, their sources of supply chain risk differ as well. </w:t>
      </w:r>
      <w:r w:rsidR="00D3681F" w:rsidRPr="007F23AD">
        <w:rPr>
          <w:rFonts w:ascii="Calibri" w:hAnsi="Calibri" w:cs="Calibri"/>
          <w:color w:val="000000" w:themeColor="text1"/>
          <w:sz w:val="22"/>
          <w:szCs w:val="22"/>
          <w:lang w:val="en-GB"/>
        </w:rPr>
        <w:t xml:space="preserve">Therefore, </w:t>
      </w:r>
      <w:r w:rsidR="000576AE" w:rsidRPr="007F23AD">
        <w:rPr>
          <w:rFonts w:ascii="Calibri" w:hAnsi="Calibri" w:cs="Calibri"/>
          <w:color w:val="000000" w:themeColor="text1"/>
          <w:sz w:val="22"/>
          <w:szCs w:val="22"/>
          <w:lang w:val="en-GB"/>
        </w:rPr>
        <w:t>there is a need to</w:t>
      </w:r>
      <w:r w:rsidRPr="007F23AD">
        <w:rPr>
          <w:rFonts w:ascii="Calibri" w:hAnsi="Calibri" w:cs="Calibri"/>
          <w:color w:val="000000" w:themeColor="text1"/>
          <w:sz w:val="22"/>
          <w:szCs w:val="22"/>
          <w:lang w:val="en-GB"/>
        </w:rPr>
        <w:t xml:space="preserve"> consolidate the disparate supply chain risks encountered by construction SMEs to establish a foundation for future risk management research in this area.</w:t>
      </w:r>
    </w:p>
    <w:p w14:paraId="30C3F88C" w14:textId="77777777" w:rsidR="00CF19ED" w:rsidRPr="007F23AD" w:rsidRDefault="00CF19ED" w:rsidP="00C3226C">
      <w:pPr>
        <w:spacing w:line="480" w:lineRule="auto"/>
        <w:jc w:val="both"/>
        <w:rPr>
          <w:rFonts w:ascii="Calibri" w:hAnsi="Calibri" w:cs="Calibri"/>
          <w:color w:val="000000" w:themeColor="text1"/>
          <w:sz w:val="22"/>
          <w:szCs w:val="22"/>
          <w:lang w:val="en-GB"/>
        </w:rPr>
      </w:pPr>
    </w:p>
    <w:p w14:paraId="34EA6392" w14:textId="494681D6" w:rsidR="004311A1" w:rsidRPr="007F23AD" w:rsidRDefault="004311A1" w:rsidP="00C3226C">
      <w:pPr>
        <w:pStyle w:val="a3"/>
        <w:numPr>
          <w:ilvl w:val="0"/>
          <w:numId w:val="2"/>
        </w:num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 xml:space="preserve">Research design </w:t>
      </w:r>
    </w:p>
    <w:p w14:paraId="21D7854F" w14:textId="181C835A" w:rsidR="009F2650" w:rsidRPr="007F23AD" w:rsidRDefault="004F6BBA"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Given the dispersed and multidisciplinary nature of the existing literature pertaining to supply chain risks in construction SMEs, a structured literature review was employed as an effective means to consolidate and summari</w:t>
      </w:r>
      <w:r w:rsidR="0028670E" w:rsidRPr="007F23AD">
        <w:rPr>
          <w:rFonts w:ascii="Calibri" w:hAnsi="Calibri" w:cs="Calibri"/>
          <w:color w:val="000000" w:themeColor="text1"/>
          <w:sz w:val="22"/>
          <w:szCs w:val="22"/>
          <w:lang w:val="en-GB"/>
        </w:rPr>
        <w:t>s</w:t>
      </w:r>
      <w:r w:rsidRPr="007F23AD">
        <w:rPr>
          <w:rFonts w:ascii="Calibri" w:hAnsi="Calibri" w:cs="Calibri"/>
          <w:color w:val="000000" w:themeColor="text1"/>
          <w:sz w:val="22"/>
          <w:szCs w:val="22"/>
          <w:lang w:val="en-GB"/>
        </w:rPr>
        <w:t>e these diverse sources of information.</w:t>
      </w:r>
      <w:r w:rsidR="00D471FF" w:rsidRPr="007F23AD">
        <w:rPr>
          <w:rFonts w:ascii="Calibri" w:hAnsi="Calibri" w:cs="Calibri"/>
          <w:color w:val="000000" w:themeColor="text1"/>
          <w:sz w:val="22"/>
          <w:szCs w:val="22"/>
          <w:lang w:val="en-GB"/>
        </w:rPr>
        <w:t xml:space="preserve"> </w:t>
      </w:r>
      <w:r w:rsidR="00F00362" w:rsidRPr="007F23AD">
        <w:rPr>
          <w:rFonts w:ascii="Calibri" w:hAnsi="Calibri" w:cs="Calibri"/>
          <w:color w:val="000000" w:themeColor="text1"/>
          <w:sz w:val="22"/>
          <w:szCs w:val="22"/>
          <w:lang w:val="en-GB"/>
        </w:rPr>
        <w:t>This paper</w:t>
      </w:r>
      <w:r w:rsidR="0098581B" w:rsidRPr="007F23AD">
        <w:rPr>
          <w:rFonts w:ascii="Calibri" w:hAnsi="Calibri" w:cs="Calibri"/>
          <w:color w:val="000000" w:themeColor="text1"/>
          <w:sz w:val="22"/>
          <w:szCs w:val="22"/>
          <w:lang w:val="en-GB"/>
        </w:rPr>
        <w:t xml:space="preserve"> employs</w:t>
      </w:r>
      <w:r w:rsidR="00536F24" w:rsidRPr="007F23AD">
        <w:rPr>
          <w:rFonts w:ascii="Calibri" w:hAnsi="Calibri" w:cs="Calibri"/>
          <w:color w:val="000000" w:themeColor="text1"/>
          <w:sz w:val="22"/>
          <w:szCs w:val="22"/>
          <w:lang w:val="en-GB"/>
        </w:rPr>
        <w:t xml:space="preserve"> t</w:t>
      </w:r>
      <w:r w:rsidR="00470430" w:rsidRPr="007F23AD">
        <w:rPr>
          <w:rFonts w:ascii="Calibri" w:hAnsi="Calibri" w:cs="Calibri"/>
          <w:color w:val="000000" w:themeColor="text1"/>
          <w:sz w:val="22"/>
          <w:szCs w:val="22"/>
          <w:lang w:val="en-GB"/>
        </w:rPr>
        <w:t xml:space="preserve">he procedures of Burgess et al. </w:t>
      </w:r>
      <w:r w:rsidR="00470430" w:rsidRPr="007F23AD">
        <w:rPr>
          <w:rFonts w:ascii="Calibri" w:hAnsi="Calibri" w:cs="Calibri"/>
          <w:color w:val="000000" w:themeColor="text1"/>
          <w:sz w:val="22"/>
          <w:szCs w:val="22"/>
          <w:lang w:val="en-GB"/>
        </w:rPr>
        <w:fldChar w:fldCharType="begin"/>
      </w:r>
      <w:r w:rsidR="00D55F18" w:rsidRPr="007F23AD">
        <w:rPr>
          <w:rFonts w:ascii="Calibri" w:hAnsi="Calibri" w:cs="Calibri"/>
          <w:color w:val="000000" w:themeColor="text1"/>
          <w:sz w:val="22"/>
          <w:szCs w:val="22"/>
          <w:lang w:val="en-GB"/>
        </w:rPr>
        <w:instrText xml:space="preserve"> ADDIN EN.CITE &lt;EndNote&gt;&lt;Cite ExcludeAuth="1"&gt;&lt;Author&gt;Burgess&lt;/Author&gt;&lt;Year&gt;2006&lt;/Year&gt;&lt;RecNum&gt;0&lt;/RecNum&gt;&lt;IDText&gt;Supply chain management: a structured literature review and implications for future research&lt;/IDText&gt;&lt;DisplayText&gt;(2006)&lt;/DisplayText&gt;&lt;record&gt;&lt;rec-number&gt;35&lt;/rec-number&gt;&lt;foreign-keys&gt;&lt;key app="EN" db-id="pzdwvt0zxepzzqe2zdmp5zajvd0tv5sdtt2w" timestamp="1701253332"&gt;35&lt;/key&gt;&lt;/foreign-keys&gt;&lt;ref-type name="Journal Article"&gt;17&lt;/ref-type&gt;&lt;contributors&gt;&lt;authors&gt;&lt;author&gt;Burgess, Kevin&lt;/author&gt;&lt;author&gt;Singh, Prakash J.&lt;/author&gt;&lt;author&gt;Koroglu, Rana&lt;/author&gt;&lt;/authors&gt;&lt;/contributors&gt;&lt;titles&gt;&lt;title&gt;Supply chain management: a structured literature review and implications for future research&lt;/title&gt;&lt;secondary-title&gt;International Journal of Operations &amp;amp; Production Management&lt;/secondary-title&gt;&lt;/titles&gt;&lt;periodical&gt;&lt;full-title&gt;International Journal of Operations &amp;amp; Production Management&lt;/full-title&gt;&lt;/periodical&gt;&lt;pages&gt;703-729&lt;/pages&gt;&lt;volume&gt;26&lt;/volume&gt;&lt;number&gt;7&lt;/number&gt;&lt;dates&gt;&lt;year&gt;2006&lt;/year&gt;&lt;/dates&gt;&lt;publisher&gt;Emerald Group Publishing Limited&lt;/publisher&gt;&lt;isbn&gt;0144-3577&lt;/isbn&gt;&lt;urls&gt;&lt;related-urls&gt;&lt;url&gt;https://doi.org/10.1108/01443570610672202&lt;/url&gt;&lt;/related-urls&gt;&lt;/urls&gt;&lt;electronic-resource-num&gt;10.1108/01443570610672202&lt;/electronic-resource-num&gt;&lt;access-date&gt;2023/02/27&lt;/access-date&gt;&lt;/record&gt;&lt;/Cite&gt;&lt;/EndNote&gt;</w:instrText>
      </w:r>
      <w:r w:rsidR="00470430" w:rsidRPr="007F23AD">
        <w:rPr>
          <w:rFonts w:ascii="Calibri" w:hAnsi="Calibri" w:cs="Calibri"/>
          <w:color w:val="000000" w:themeColor="text1"/>
          <w:sz w:val="22"/>
          <w:szCs w:val="22"/>
          <w:lang w:val="en-GB"/>
        </w:rPr>
        <w:fldChar w:fldCharType="separate"/>
      </w:r>
      <w:r w:rsidR="00470430" w:rsidRPr="007F23AD">
        <w:rPr>
          <w:rFonts w:ascii="Calibri" w:hAnsi="Calibri" w:cs="Calibri"/>
          <w:noProof/>
          <w:color w:val="000000" w:themeColor="text1"/>
          <w:sz w:val="22"/>
          <w:szCs w:val="22"/>
          <w:lang w:val="en-GB"/>
        </w:rPr>
        <w:t>(2006)</w:t>
      </w:r>
      <w:r w:rsidR="00470430" w:rsidRPr="007F23AD">
        <w:rPr>
          <w:rFonts w:ascii="Calibri" w:hAnsi="Calibri" w:cs="Calibri"/>
          <w:color w:val="000000" w:themeColor="text1"/>
          <w:sz w:val="22"/>
          <w:szCs w:val="22"/>
          <w:lang w:val="en-GB"/>
        </w:rPr>
        <w:fldChar w:fldCharType="end"/>
      </w:r>
      <w:r w:rsidR="006D4D4F" w:rsidRPr="007F23AD">
        <w:rPr>
          <w:rFonts w:ascii="Calibri" w:hAnsi="Calibri" w:cs="Calibri"/>
          <w:color w:val="000000" w:themeColor="text1"/>
          <w:sz w:val="22"/>
          <w:szCs w:val="22"/>
          <w:lang w:val="en-GB"/>
        </w:rPr>
        <w:t>,</w:t>
      </w:r>
      <w:r w:rsidR="00470430" w:rsidRPr="007F23AD">
        <w:rPr>
          <w:rFonts w:ascii="Calibri" w:hAnsi="Calibri" w:cs="Calibri"/>
          <w:color w:val="000000" w:themeColor="text1"/>
          <w:sz w:val="22"/>
          <w:szCs w:val="22"/>
          <w:lang w:val="en-GB"/>
        </w:rPr>
        <w:t xml:space="preserve"> </w:t>
      </w:r>
      <w:r w:rsidR="00470430" w:rsidRPr="007F23AD">
        <w:rPr>
          <w:rFonts w:ascii="Calibri" w:hAnsi="Calibri" w:cs="Calibri"/>
          <w:noProof/>
          <w:color w:val="000000" w:themeColor="text1"/>
          <w:sz w:val="22"/>
          <w:szCs w:val="22"/>
          <w:lang w:val="en-GB"/>
        </w:rPr>
        <w:t xml:space="preserve">Seuring and Müller </w:t>
      </w:r>
      <w:r w:rsidR="00470430" w:rsidRPr="007F23AD">
        <w:rPr>
          <w:rFonts w:ascii="Calibri" w:hAnsi="Calibri" w:cs="Calibri"/>
          <w:noProof/>
          <w:color w:val="000000" w:themeColor="text1"/>
          <w:sz w:val="22"/>
          <w:szCs w:val="22"/>
          <w:lang w:val="en-GB"/>
        </w:rPr>
        <w:fldChar w:fldCharType="begin"/>
      </w:r>
      <w:r w:rsidR="00922C2B" w:rsidRPr="007F23AD">
        <w:rPr>
          <w:rFonts w:ascii="Calibri" w:hAnsi="Calibri" w:cs="Calibri"/>
          <w:noProof/>
          <w:color w:val="000000" w:themeColor="text1"/>
          <w:sz w:val="22"/>
          <w:szCs w:val="22"/>
          <w:lang w:val="en-GB"/>
        </w:rPr>
        <w:instrText xml:space="preserve"> ADDIN EN.CITE &lt;EndNote&gt;&lt;Cite ExcludeAuth="1"&gt;&lt;Author&gt;Seuring&lt;/Author&gt;&lt;Year&gt;2008&lt;/Year&gt;&lt;RecNum&gt;729&lt;/RecNum&gt;&lt;IDText&gt;From a literature review to a conceptual framework for sustainable supply chain management&lt;/IDText&gt;&lt;DisplayText&gt;(2008)&lt;/DisplayText&gt;&lt;record&gt;&lt;rec-number&gt;729&lt;/rec-number&gt;&lt;foreign-keys&gt;&lt;key app="EN" db-id="vxw0ffesn9zzt0ewpdx5r5a3fpw92aep9re9" timestamp="1683538099" guid="1d719c68-6f12-4958-a94a-983d3b448add"&gt;729&lt;/key&gt;&lt;/foreign-keys&gt;&lt;ref-type name="Journal Article"&gt;17&lt;/ref-type&gt;&lt;contributors&gt;&lt;authors&gt;&lt;author&gt;Seuring, Stefan&lt;/author&gt;&lt;author&gt;Müller, Martin&lt;/author&gt;&lt;/authors&gt;&lt;/contributors&gt;&lt;titles&gt;&lt;title&gt;From a literature review to a conceptual framework for sustainable supply chain management&lt;/title&gt;&lt;secondary-title&gt;Journal of Cleaner Production&lt;/secondary-title&gt;&lt;/titles&gt;&lt;periodical&gt;&lt;full-title&gt;Journal of Cleaner Production&lt;/full-title&gt;&lt;/periodical&gt;&lt;pages&gt;1699-1710&lt;/pages&gt;&lt;volume&gt;16&lt;/volume&gt;&lt;number&gt;15&lt;/number&gt;&lt;keywords&gt;&lt;keyword&gt;Supply chain management&lt;/keyword&gt;&lt;keyword&gt;Sustainability&lt;/keyword&gt;&lt;keyword&gt;Sustainable supply chains&lt;/keyword&gt;&lt;keyword&gt;Literature review&lt;/keyword&gt;&lt;keyword&gt;Conceptual framework&lt;/keyword&gt;&lt;keyword&gt;Environmental and social standards&lt;/keyword&gt;&lt;/keywords&gt;&lt;dates&gt;&lt;year&gt;2008&lt;/year&gt;&lt;pub-dates&gt;&lt;date&gt;2008/10/01/&lt;/date&gt;&lt;/pub-dates&gt;&lt;/dates&gt;&lt;isbn&gt;0959-6526&lt;/isbn&gt;&lt;urls&gt;&lt;related-urls&gt;&lt;url&gt;https://www.sciencedirect.com/science/article/pii/S095965260800111X&lt;/url&gt;&lt;/related-urls&gt;&lt;/urls&gt;&lt;electronic-resource-num&gt;https://doi.org/10.1016/j.jclepro.2008.04.020&lt;/electronic-resource-num&gt;&lt;/record&gt;&lt;/Cite&gt;&lt;/EndNote&gt;</w:instrText>
      </w:r>
      <w:r w:rsidR="00470430" w:rsidRPr="007F23AD">
        <w:rPr>
          <w:rFonts w:ascii="Calibri" w:hAnsi="Calibri" w:cs="Calibri"/>
          <w:noProof/>
          <w:color w:val="000000" w:themeColor="text1"/>
          <w:sz w:val="22"/>
          <w:szCs w:val="22"/>
          <w:lang w:val="en-GB"/>
        </w:rPr>
        <w:fldChar w:fldCharType="separate"/>
      </w:r>
      <w:r w:rsidR="00470430" w:rsidRPr="007F23AD">
        <w:rPr>
          <w:rFonts w:ascii="Calibri" w:hAnsi="Calibri" w:cs="Calibri"/>
          <w:noProof/>
          <w:color w:val="000000" w:themeColor="text1"/>
          <w:sz w:val="22"/>
          <w:szCs w:val="22"/>
          <w:lang w:val="en-GB"/>
        </w:rPr>
        <w:t>(2008)</w:t>
      </w:r>
      <w:r w:rsidR="00470430" w:rsidRPr="007F23AD">
        <w:rPr>
          <w:rFonts w:ascii="Calibri" w:hAnsi="Calibri" w:cs="Calibri"/>
          <w:noProof/>
          <w:color w:val="000000" w:themeColor="text1"/>
          <w:sz w:val="22"/>
          <w:szCs w:val="22"/>
          <w:lang w:val="en-GB"/>
        </w:rPr>
        <w:fldChar w:fldCharType="end"/>
      </w:r>
      <w:r w:rsidR="00B93ADC" w:rsidRPr="007F23AD">
        <w:rPr>
          <w:rFonts w:ascii="Calibri" w:hAnsi="Calibri" w:cs="Calibri"/>
          <w:noProof/>
          <w:color w:val="000000" w:themeColor="text1"/>
          <w:sz w:val="22"/>
          <w:szCs w:val="22"/>
          <w:lang w:val="en-GB"/>
        </w:rPr>
        <w:t>,</w:t>
      </w:r>
      <w:r w:rsidR="00470430" w:rsidRPr="007F23AD">
        <w:rPr>
          <w:rFonts w:ascii="Calibri" w:hAnsi="Calibri" w:cs="Calibri"/>
          <w:noProof/>
          <w:color w:val="000000" w:themeColor="text1"/>
          <w:sz w:val="22"/>
          <w:szCs w:val="22"/>
          <w:lang w:val="en-GB"/>
        </w:rPr>
        <w:t xml:space="preserve"> and</w:t>
      </w:r>
      <w:r w:rsidR="00470430" w:rsidRPr="007F23AD">
        <w:rPr>
          <w:rFonts w:ascii="Calibri" w:hAnsi="Calibri" w:cs="Calibri"/>
          <w:color w:val="000000" w:themeColor="text1"/>
          <w:sz w:val="22"/>
          <w:szCs w:val="22"/>
          <w:lang w:val="en-GB"/>
        </w:rPr>
        <w:t xml:space="preserve"> </w:t>
      </w:r>
      <w:r w:rsidR="00470430" w:rsidRPr="007F23AD">
        <w:rPr>
          <w:rFonts w:ascii="Calibri" w:hAnsi="Calibri" w:cs="Calibri"/>
          <w:noProof/>
          <w:color w:val="000000" w:themeColor="text1"/>
          <w:sz w:val="22"/>
          <w:szCs w:val="22"/>
          <w:lang w:val="en-GB"/>
        </w:rPr>
        <w:t xml:space="preserve">Farooque et al. </w:t>
      </w:r>
      <w:r w:rsidR="00470430" w:rsidRPr="007F23AD">
        <w:rPr>
          <w:rFonts w:ascii="Calibri" w:hAnsi="Calibri" w:cs="Calibri"/>
          <w:noProof/>
          <w:color w:val="000000" w:themeColor="text1"/>
          <w:sz w:val="22"/>
          <w:szCs w:val="22"/>
          <w:lang w:val="en-GB"/>
        </w:rPr>
        <w:fldChar w:fldCharType="begin"/>
      </w:r>
      <w:r w:rsidR="00922C2B" w:rsidRPr="007F23AD">
        <w:rPr>
          <w:rFonts w:ascii="Calibri" w:hAnsi="Calibri" w:cs="Calibri"/>
          <w:noProof/>
          <w:color w:val="000000" w:themeColor="text1"/>
          <w:sz w:val="22"/>
          <w:szCs w:val="22"/>
          <w:lang w:val="en-GB"/>
        </w:rPr>
        <w:instrText xml:space="preserve"> ADDIN EN.CITE &lt;EndNote&gt;&lt;Cite ExcludeAuth="1"&gt;&lt;Author&gt;Farooque&lt;/Author&gt;&lt;Year&gt;2019&lt;/Year&gt;&lt;RecNum&gt;727&lt;/RecNum&gt;&lt;IDText&gt;Circular supply chain management: A definition and structured literature review&lt;/IDText&gt;&lt;DisplayText&gt;(2019)&lt;/DisplayText&gt;&lt;record&gt;&lt;rec-number&gt;727&lt;/rec-number&gt;&lt;foreign-keys&gt;&lt;key app="EN" db-id="vxw0ffesn9zzt0ewpdx5r5a3fpw92aep9re9" timestamp="1683538099" guid="1bc0b416-4a98-4b6e-a089-91ca73b45650"&gt;727&lt;/key&gt;&lt;/foreign-keys&gt;&lt;ref-type name="Journal Article"&gt;17&lt;/ref-type&gt;&lt;contributors&gt;&lt;authors&gt;&lt;author&gt;Farooque, Muhammad&lt;/author&gt;&lt;author&gt;Zhang, Abraham&lt;/author&gt;&lt;author&gt;Thürer, Matthias&lt;/author&gt;&lt;author&gt;Qu, Ting&lt;/author&gt;&lt;author&gt;Huisingh, Donald&lt;/author&gt;&lt;/authors&gt;&lt;/contributors&gt;&lt;titles&gt;&lt;title&gt;Circular supply chain management: A definition and structured literature review&lt;/title&gt;&lt;secondary-title&gt;Journal of Cleaner Production&lt;/secondary-title&gt;&lt;/titles&gt;&lt;periodical&gt;&lt;full-title&gt;Journal of Cleaner Production&lt;/full-title&gt;&lt;/periodical&gt;&lt;pages&gt;882-900&lt;/pages&gt;&lt;volume&gt;228&lt;/volume&gt;&lt;keywords&gt;&lt;keyword&gt;Supply chain management&lt;/keyword&gt;&lt;keyword&gt;Circular economy&lt;/keyword&gt;&lt;keyword&gt;Circular supply chain&lt;/keyword&gt;&lt;keyword&gt;Circular supply chain management&lt;/keyword&gt;&lt;keyword&gt;Sustainable supply chain&lt;/keyword&gt;&lt;keyword&gt;Sustainability&lt;/keyword&gt;&lt;/keywords&gt;&lt;dates&gt;&lt;year&gt;2019&lt;/year&gt;&lt;pub-dates&gt;&lt;date&gt;2019/08/10/&lt;/date&gt;&lt;/pub-dates&gt;&lt;/dates&gt;&lt;isbn&gt;0959-6526&lt;/isbn&gt;&lt;urls&gt;&lt;related-urls&gt;&lt;url&gt;https://www.sciencedirect.com/science/article/pii/S0959652619314003&lt;/url&gt;&lt;/related-urls&gt;&lt;/urls&gt;&lt;electronic-resource-num&gt;https://doi.org/10.1016/j.jclepro.2019.04.303&lt;/electronic-resource-num&gt;&lt;/record&gt;&lt;/Cite&gt;&lt;/EndNote&gt;</w:instrText>
      </w:r>
      <w:r w:rsidR="00470430" w:rsidRPr="007F23AD">
        <w:rPr>
          <w:rFonts w:ascii="Calibri" w:hAnsi="Calibri" w:cs="Calibri"/>
          <w:noProof/>
          <w:color w:val="000000" w:themeColor="text1"/>
          <w:sz w:val="22"/>
          <w:szCs w:val="22"/>
          <w:lang w:val="en-GB"/>
        </w:rPr>
        <w:fldChar w:fldCharType="separate"/>
      </w:r>
      <w:r w:rsidR="00470430" w:rsidRPr="007F23AD">
        <w:rPr>
          <w:rFonts w:ascii="Calibri" w:hAnsi="Calibri" w:cs="Calibri"/>
          <w:noProof/>
          <w:color w:val="000000" w:themeColor="text1"/>
          <w:sz w:val="22"/>
          <w:szCs w:val="22"/>
          <w:lang w:val="en-GB"/>
        </w:rPr>
        <w:t>(2019)</w:t>
      </w:r>
      <w:r w:rsidR="00470430" w:rsidRPr="007F23AD">
        <w:rPr>
          <w:rFonts w:ascii="Calibri" w:hAnsi="Calibri" w:cs="Calibri"/>
          <w:noProof/>
          <w:color w:val="000000" w:themeColor="text1"/>
          <w:sz w:val="22"/>
          <w:szCs w:val="22"/>
          <w:lang w:val="en-GB"/>
        </w:rPr>
        <w:fldChar w:fldCharType="end"/>
      </w:r>
      <w:r w:rsidR="004C613F" w:rsidRPr="007F23AD">
        <w:rPr>
          <w:rFonts w:ascii="Calibri" w:hAnsi="Calibri" w:cs="Calibri"/>
          <w:noProof/>
          <w:color w:val="000000" w:themeColor="text1"/>
          <w:sz w:val="22"/>
          <w:szCs w:val="22"/>
          <w:lang w:val="en-GB"/>
        </w:rPr>
        <w:t xml:space="preserve"> to </w:t>
      </w:r>
      <w:r w:rsidR="006D4D4F" w:rsidRPr="007F23AD">
        <w:rPr>
          <w:rFonts w:ascii="Calibri" w:hAnsi="Calibri" w:cs="Calibri"/>
          <w:noProof/>
          <w:color w:val="000000" w:themeColor="text1"/>
          <w:sz w:val="22"/>
          <w:szCs w:val="22"/>
          <w:lang w:val="en-GB"/>
        </w:rPr>
        <w:t xml:space="preserve">inform the </w:t>
      </w:r>
      <w:r w:rsidR="004C613F" w:rsidRPr="007F23AD">
        <w:rPr>
          <w:rFonts w:ascii="Calibri" w:hAnsi="Calibri" w:cs="Calibri"/>
          <w:noProof/>
          <w:color w:val="000000" w:themeColor="text1"/>
          <w:sz w:val="22"/>
          <w:szCs w:val="22"/>
          <w:lang w:val="en-GB"/>
        </w:rPr>
        <w:t xml:space="preserve">structured review </w:t>
      </w:r>
      <w:r w:rsidR="006D4D4F" w:rsidRPr="007F23AD">
        <w:rPr>
          <w:rFonts w:ascii="Calibri" w:hAnsi="Calibri" w:cs="Calibri"/>
          <w:noProof/>
          <w:color w:val="000000" w:themeColor="text1"/>
          <w:sz w:val="22"/>
          <w:szCs w:val="22"/>
          <w:lang w:val="en-GB"/>
        </w:rPr>
        <w:t>process</w:t>
      </w:r>
      <w:r w:rsidR="004C613F" w:rsidRPr="007F23AD">
        <w:rPr>
          <w:rFonts w:ascii="Calibri" w:hAnsi="Calibri" w:cs="Calibri"/>
          <w:noProof/>
          <w:color w:val="000000" w:themeColor="text1"/>
          <w:sz w:val="22"/>
          <w:szCs w:val="22"/>
          <w:lang w:val="en-GB"/>
        </w:rPr>
        <w:t xml:space="preserve">. </w:t>
      </w:r>
      <w:r w:rsidR="003E2DD6" w:rsidRPr="007F23AD">
        <w:rPr>
          <w:rFonts w:ascii="Calibri" w:hAnsi="Calibri" w:cs="Calibri"/>
          <w:color w:val="000000" w:themeColor="text1"/>
          <w:sz w:val="22"/>
          <w:szCs w:val="22"/>
          <w:lang w:val="en-GB"/>
        </w:rPr>
        <w:t>Figures 1 and 2 illustrate the main process of the structured literature review and keyword</w:t>
      </w:r>
      <w:r w:rsidR="003E2DD6" w:rsidRPr="007F23AD">
        <w:rPr>
          <w:rFonts w:ascii="Calibri" w:hAnsi="Calibri" w:cs="Calibri"/>
          <w:color w:val="000000" w:themeColor="text1"/>
          <w:sz w:val="22"/>
          <w:szCs w:val="22"/>
          <w:lang w:val="en-GB"/>
        </w:rPr>
        <w:t>s</w:t>
      </w:r>
      <w:r w:rsidR="003E2DD6" w:rsidRPr="007F23AD">
        <w:rPr>
          <w:rFonts w:ascii="Calibri" w:hAnsi="Calibri" w:cs="Calibri"/>
          <w:color w:val="000000" w:themeColor="text1"/>
          <w:sz w:val="22"/>
          <w:szCs w:val="22"/>
          <w:lang w:val="en-GB"/>
        </w:rPr>
        <w:t xml:space="preserve"> selection</w:t>
      </w:r>
      <w:r w:rsidR="005660AF" w:rsidRPr="007F23AD">
        <w:rPr>
          <w:rFonts w:ascii="Calibri" w:hAnsi="Calibri" w:cs="Calibri"/>
          <w:color w:val="000000" w:themeColor="text1"/>
          <w:sz w:val="22"/>
          <w:szCs w:val="22"/>
          <w:lang w:val="en-GB"/>
        </w:rPr>
        <w:t xml:space="preserve">. </w:t>
      </w:r>
      <w:r w:rsidR="00922C2B" w:rsidRPr="007F23AD">
        <w:rPr>
          <w:rFonts w:ascii="Calibri" w:hAnsi="Calibri" w:cs="Calibri"/>
          <w:color w:val="000000" w:themeColor="text1"/>
          <w:sz w:val="22"/>
          <w:szCs w:val="22"/>
          <w:lang w:val="en-GB"/>
        </w:rPr>
        <w:t xml:space="preserve">Database searches were conducted to find all relevant literature from 2005 through to </w:t>
      </w:r>
      <w:r w:rsidR="000A5990" w:rsidRPr="007F23AD">
        <w:rPr>
          <w:rFonts w:ascii="Calibri" w:hAnsi="Calibri" w:cs="Calibri"/>
          <w:color w:val="000000" w:themeColor="text1"/>
          <w:sz w:val="22"/>
          <w:szCs w:val="22"/>
          <w:lang w:val="en-GB"/>
        </w:rPr>
        <w:t>November</w:t>
      </w:r>
      <w:r w:rsidR="00922C2B" w:rsidRPr="007F23AD">
        <w:rPr>
          <w:rFonts w:ascii="Calibri" w:hAnsi="Calibri" w:cs="Calibri"/>
          <w:color w:val="000000" w:themeColor="text1"/>
          <w:sz w:val="22"/>
          <w:szCs w:val="22"/>
          <w:lang w:val="en-GB"/>
        </w:rPr>
        <w:t xml:space="preserve"> 202</w:t>
      </w:r>
      <w:r w:rsidR="000A5990" w:rsidRPr="007F23AD">
        <w:rPr>
          <w:rFonts w:ascii="Calibri" w:hAnsi="Calibri" w:cs="Calibri"/>
          <w:color w:val="000000" w:themeColor="text1"/>
          <w:sz w:val="22"/>
          <w:szCs w:val="22"/>
          <w:lang w:val="en-GB"/>
        </w:rPr>
        <w:t>3</w:t>
      </w:r>
      <w:r w:rsidR="00652688" w:rsidRPr="007F23AD">
        <w:rPr>
          <w:rFonts w:ascii="Calibri" w:hAnsi="Calibri" w:cs="Calibri"/>
          <w:color w:val="000000" w:themeColor="text1"/>
          <w:sz w:val="22"/>
          <w:szCs w:val="22"/>
        </w:rPr>
        <w:t>. This period was selected due to a</w:t>
      </w:r>
      <w:r w:rsidR="00D42FF8" w:rsidRPr="007F23AD">
        <w:rPr>
          <w:rFonts w:ascii="Calibri" w:hAnsi="Calibri" w:cs="Calibri"/>
          <w:color w:val="000000" w:themeColor="text1"/>
          <w:sz w:val="22"/>
          <w:szCs w:val="22"/>
        </w:rPr>
        <w:t xml:space="preserve">n emergence </w:t>
      </w:r>
      <w:r w:rsidR="00652688" w:rsidRPr="007F23AD">
        <w:rPr>
          <w:rFonts w:ascii="Calibri" w:hAnsi="Calibri" w:cs="Calibri"/>
          <w:color w:val="000000" w:themeColor="text1"/>
          <w:sz w:val="22"/>
          <w:szCs w:val="22"/>
        </w:rPr>
        <w:t>in relevant publications, reflecting heightened interest from both academia and industry</w:t>
      </w:r>
      <w:r w:rsidR="00365059" w:rsidRPr="007F23AD">
        <w:rPr>
          <w:rFonts w:ascii="Calibri" w:hAnsi="Calibri" w:cs="Calibri"/>
          <w:color w:val="000000" w:themeColor="text1"/>
          <w:sz w:val="22"/>
          <w:szCs w:val="22"/>
        </w:rPr>
        <w:t xml:space="preserve"> </w:t>
      </w:r>
      <w:r w:rsidR="00365059" w:rsidRPr="007F23AD">
        <w:rPr>
          <w:rFonts w:ascii="Calibri" w:hAnsi="Calibri" w:cs="Calibri"/>
          <w:color w:val="000000" w:themeColor="text1"/>
          <w:sz w:val="22"/>
          <w:szCs w:val="22"/>
        </w:rPr>
        <w:fldChar w:fldCharType="begin"/>
      </w:r>
      <w:r w:rsidR="00696656" w:rsidRPr="007F23AD">
        <w:rPr>
          <w:rFonts w:ascii="Calibri" w:hAnsi="Calibri" w:cs="Calibri"/>
          <w:color w:val="000000" w:themeColor="text1"/>
          <w:sz w:val="22"/>
          <w:szCs w:val="22"/>
        </w:rPr>
        <w:instrText xml:space="preserve"> ADDIN EN.CITE &lt;EndNote&gt;&lt;Cite&gt;&lt;Author&gt;Briscoe&lt;/Author&gt;&lt;Year&gt;2005&lt;/Year&gt;&lt;RecNum&gt;1615&lt;/RecNum&gt;&lt;DisplayText&gt;(Briscoe and Dainty 2005)&lt;/DisplayText&gt;&lt;record&gt;&lt;rec-number&gt;1615&lt;/rec-number&gt;&lt;foreign-keys&gt;&lt;key app="EN" db-id="vxw0ffesn9zzt0ewpdx5r5a3fpw92aep9re9" timestamp="1720449642" guid="8bbf068d-b081-4202-b100-079bde99a023"&gt;1615&lt;/key&gt;&lt;/foreign-keys&gt;&lt;ref-type name="Journal Article"&gt;17&lt;/ref-type&gt;&lt;contributors&gt;&lt;authors&gt;&lt;author&gt;Briscoe, Geoffrey&lt;/author&gt;&lt;author&gt;Dainty, Andrew&lt;/author&gt;&lt;/authors&gt;&lt;/contributors&gt;&lt;titles&gt;&lt;title&gt;Construction supply chain integration: an elusive goal?&lt;/title&gt;&lt;secondary-title&gt;Supply chain management: an international journal&lt;/secondary-title&gt;&lt;/titles&gt;&lt;periodical&gt;&lt;full-title&gt;Supply Chain Management: An International Journal&lt;/full-title&gt;&lt;/periodical&gt;&lt;pages&gt;319-326&lt;/pages&gt;&lt;volume&gt;10&lt;/volume&gt;&lt;number&gt;4&lt;/number&gt;&lt;dates&gt;&lt;year&gt;2005&lt;/year&gt;&lt;/dates&gt;&lt;isbn&gt;1359-8546&lt;/isbn&gt;&lt;urls&gt;&lt;/urls&gt;&lt;/record&gt;&lt;/Cite&gt;&lt;/EndNote&gt;</w:instrText>
      </w:r>
      <w:r w:rsidR="00365059" w:rsidRPr="007F23AD">
        <w:rPr>
          <w:rFonts w:ascii="Calibri" w:hAnsi="Calibri" w:cs="Calibri"/>
          <w:color w:val="000000" w:themeColor="text1"/>
          <w:sz w:val="22"/>
          <w:szCs w:val="22"/>
        </w:rPr>
        <w:fldChar w:fldCharType="separate"/>
      </w:r>
      <w:r w:rsidR="00365059" w:rsidRPr="007F23AD">
        <w:rPr>
          <w:rFonts w:ascii="Calibri" w:hAnsi="Calibri" w:cs="Calibri"/>
          <w:noProof/>
          <w:color w:val="000000" w:themeColor="text1"/>
          <w:sz w:val="22"/>
          <w:szCs w:val="22"/>
        </w:rPr>
        <w:t>(Briscoe and Dainty 2005)</w:t>
      </w:r>
      <w:r w:rsidR="00365059" w:rsidRPr="007F23AD">
        <w:rPr>
          <w:rFonts w:ascii="Calibri" w:hAnsi="Calibri" w:cs="Calibri"/>
          <w:color w:val="000000" w:themeColor="text1"/>
          <w:sz w:val="22"/>
          <w:szCs w:val="22"/>
        </w:rPr>
        <w:fldChar w:fldCharType="end"/>
      </w:r>
      <w:r w:rsidR="00652688" w:rsidRPr="007F23AD">
        <w:rPr>
          <w:rFonts w:ascii="Calibri" w:hAnsi="Calibri" w:cs="Calibri"/>
          <w:color w:val="000000" w:themeColor="text1"/>
          <w:sz w:val="22"/>
          <w:szCs w:val="22"/>
        </w:rPr>
        <w:t>. Additionally, the emerging technologies such as BIM and the rapid development of the construction industry have profoundly impacted traditional supply chain management models, making research during this period of great practical significance and application value</w:t>
      </w:r>
      <w:r w:rsidR="00696656" w:rsidRPr="007F23AD">
        <w:rPr>
          <w:rFonts w:ascii="Calibri" w:hAnsi="Calibri" w:cs="Calibri"/>
          <w:color w:val="000000" w:themeColor="text1"/>
          <w:sz w:val="22"/>
          <w:szCs w:val="22"/>
        </w:rPr>
        <w:t xml:space="preserve"> </w:t>
      </w:r>
      <w:r w:rsidR="00696656" w:rsidRPr="007F23AD">
        <w:rPr>
          <w:rFonts w:ascii="Calibri" w:hAnsi="Calibri" w:cs="Calibri"/>
          <w:color w:val="000000" w:themeColor="text1"/>
          <w:sz w:val="22"/>
          <w:szCs w:val="22"/>
        </w:rPr>
        <w:fldChar w:fldCharType="begin"/>
      </w:r>
      <w:r w:rsidR="00321306" w:rsidRPr="007F23AD">
        <w:rPr>
          <w:rFonts w:ascii="Calibri" w:hAnsi="Calibri" w:cs="Calibri"/>
          <w:color w:val="000000" w:themeColor="text1"/>
          <w:sz w:val="22"/>
          <w:szCs w:val="22"/>
        </w:rPr>
        <w:instrText xml:space="preserve"> ADDIN EN.CITE &lt;EndNote&gt;&lt;Cite&gt;&lt;Author&gt;Howell&lt;/Author&gt;&lt;Year&gt;2005&lt;/Year&gt;&lt;RecNum&gt;1616&lt;/RecNum&gt;&lt;DisplayText&gt;(Howell and Batcheler 2005)&lt;/DisplayText&gt;&lt;record&gt;&lt;rec-number&gt;1616&lt;/rec-number&gt;&lt;foreign-keys&gt;&lt;key app="EN" db-id="vxw0ffesn9zzt0ewpdx5r5a3fpw92aep9re9" timestamp="1720449857" guid="0bf2514e-c1ed-4661-bc79-32af8a25d641"&gt;1616&lt;/key&gt;&lt;/foreign-keys&gt;&lt;ref-type name="Journal Article"&gt;17&lt;/ref-type&gt;&lt;contributors&gt;&lt;authors&gt;&lt;author&gt;Howell, Ian&lt;/author&gt;&lt;author&gt;Batcheler, Bob&lt;/author&gt;&lt;/authors&gt;&lt;/contributors&gt;&lt;titles&gt;&lt;title&gt;Building information modeling two years later–huge potential, some success and several limitations&lt;/title&gt;&lt;secondary-title&gt;The Laiserin Letter&lt;/secondary-title&gt;&lt;/titles&gt;&lt;periodical&gt;&lt;full-title&gt;The Laiserin Letter&lt;/full-title&gt;&lt;/periodical&gt;&lt;pages&gt;3521-3528&lt;/pages&gt;&lt;volume&gt;22&lt;/volume&gt;&lt;number&gt;4&lt;/number&gt;&lt;dates&gt;&lt;year&gt;2005&lt;/year&gt;&lt;/dates&gt;&lt;urls&gt;&lt;/urls&gt;&lt;/record&gt;&lt;/Cite&gt;&lt;/EndNote&gt;</w:instrText>
      </w:r>
      <w:r w:rsidR="00696656" w:rsidRPr="007F23AD">
        <w:rPr>
          <w:rFonts w:ascii="Calibri" w:hAnsi="Calibri" w:cs="Calibri"/>
          <w:color w:val="000000" w:themeColor="text1"/>
          <w:sz w:val="22"/>
          <w:szCs w:val="22"/>
        </w:rPr>
        <w:fldChar w:fldCharType="separate"/>
      </w:r>
      <w:r w:rsidR="00696656" w:rsidRPr="007F23AD">
        <w:rPr>
          <w:rFonts w:ascii="Calibri" w:hAnsi="Calibri" w:cs="Calibri"/>
          <w:noProof/>
          <w:color w:val="000000" w:themeColor="text1"/>
          <w:sz w:val="22"/>
          <w:szCs w:val="22"/>
        </w:rPr>
        <w:t>(Howell and Batcheler 2005)</w:t>
      </w:r>
      <w:r w:rsidR="00696656" w:rsidRPr="007F23AD">
        <w:rPr>
          <w:rFonts w:ascii="Calibri" w:hAnsi="Calibri" w:cs="Calibri"/>
          <w:color w:val="000000" w:themeColor="text1"/>
          <w:sz w:val="22"/>
          <w:szCs w:val="22"/>
        </w:rPr>
        <w:fldChar w:fldCharType="end"/>
      </w:r>
      <w:r w:rsidR="00652688" w:rsidRPr="007F23AD">
        <w:rPr>
          <w:rFonts w:ascii="Calibri" w:hAnsi="Calibri" w:cs="Calibri"/>
          <w:color w:val="000000" w:themeColor="text1"/>
          <w:sz w:val="22"/>
          <w:szCs w:val="22"/>
        </w:rPr>
        <w:t>.</w:t>
      </w:r>
      <w:r w:rsidR="00922C2B" w:rsidRPr="007F23AD">
        <w:rPr>
          <w:rFonts w:ascii="Calibri" w:hAnsi="Calibri" w:cs="Calibri"/>
          <w:color w:val="000000" w:themeColor="text1"/>
          <w:sz w:val="22"/>
          <w:szCs w:val="22"/>
          <w:lang w:val="en-GB"/>
        </w:rPr>
        <w:t xml:space="preserve"> </w:t>
      </w:r>
    </w:p>
    <w:p w14:paraId="039DAA08" w14:textId="77777777" w:rsidR="00AE0F00" w:rsidRPr="007F23AD" w:rsidRDefault="00AE0F00" w:rsidP="00C3226C">
      <w:pPr>
        <w:spacing w:line="480" w:lineRule="auto"/>
        <w:jc w:val="both"/>
        <w:rPr>
          <w:rFonts w:ascii="Calibri" w:hAnsi="Calibri" w:cs="Calibri"/>
          <w:color w:val="000000" w:themeColor="text1"/>
          <w:sz w:val="22"/>
          <w:szCs w:val="22"/>
          <w:lang w:val="en-GB"/>
        </w:rPr>
      </w:pPr>
    </w:p>
    <w:p w14:paraId="0443D608" w14:textId="3532D5EE" w:rsidR="006B7F0B" w:rsidRPr="007F23AD" w:rsidRDefault="00AC78D9" w:rsidP="5D05CA5E">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We first </w:t>
      </w:r>
      <w:r w:rsidR="006B7F0B" w:rsidRPr="007F23AD">
        <w:rPr>
          <w:rFonts w:ascii="Calibri" w:hAnsi="Calibri" w:cs="Calibri"/>
          <w:color w:val="000000" w:themeColor="text1"/>
          <w:sz w:val="22"/>
          <w:szCs w:val="22"/>
          <w:lang w:val="en-GB"/>
        </w:rPr>
        <w:t xml:space="preserve">conducted </w:t>
      </w:r>
      <w:r w:rsidRPr="007F23AD">
        <w:rPr>
          <w:rFonts w:ascii="Calibri" w:hAnsi="Calibri" w:cs="Calibri"/>
          <w:color w:val="000000" w:themeColor="text1"/>
          <w:sz w:val="22"/>
          <w:szCs w:val="22"/>
          <w:lang w:val="en-GB"/>
        </w:rPr>
        <w:t xml:space="preserve">a </w:t>
      </w:r>
      <w:r w:rsidR="002A2861" w:rsidRPr="007F23AD">
        <w:rPr>
          <w:rFonts w:ascii="Calibri" w:hAnsi="Calibri" w:cs="Calibri"/>
          <w:color w:val="000000" w:themeColor="text1"/>
          <w:sz w:val="22"/>
          <w:szCs w:val="22"/>
          <w:lang w:val="en-GB"/>
        </w:rPr>
        <w:t xml:space="preserve">pilot study </w:t>
      </w:r>
      <w:r w:rsidRPr="007F23AD">
        <w:rPr>
          <w:rFonts w:ascii="Calibri" w:hAnsi="Calibri" w:cs="Calibri"/>
          <w:color w:val="000000" w:themeColor="text1"/>
          <w:sz w:val="22"/>
          <w:szCs w:val="22"/>
          <w:lang w:val="en-GB"/>
        </w:rPr>
        <w:t>using</w:t>
      </w:r>
      <w:r w:rsidR="002A2861" w:rsidRPr="007F23AD">
        <w:rPr>
          <w:rFonts w:ascii="Calibri" w:hAnsi="Calibri" w:cs="Calibri"/>
          <w:color w:val="000000" w:themeColor="text1"/>
          <w:sz w:val="22"/>
          <w:szCs w:val="22"/>
          <w:lang w:val="en-GB"/>
        </w:rPr>
        <w:t xml:space="preserve"> </w:t>
      </w:r>
      <w:r w:rsidR="006B7F0B" w:rsidRPr="007F23AD">
        <w:rPr>
          <w:rFonts w:ascii="Calibri" w:hAnsi="Calibri" w:cs="Calibri"/>
          <w:color w:val="000000" w:themeColor="text1"/>
          <w:sz w:val="22"/>
          <w:szCs w:val="22"/>
          <w:lang w:val="en-GB"/>
        </w:rPr>
        <w:t>keyword searches on Google Scholar, Scopus, Science Direct and Emerald</w:t>
      </w:r>
      <w:r w:rsidRPr="007F23AD">
        <w:rPr>
          <w:rFonts w:ascii="Calibri" w:hAnsi="Calibri" w:cs="Calibri"/>
          <w:color w:val="000000" w:themeColor="text1"/>
          <w:sz w:val="22"/>
          <w:szCs w:val="22"/>
          <w:lang w:val="en-GB"/>
        </w:rPr>
        <w:t xml:space="preserve"> databases</w:t>
      </w:r>
      <w:r w:rsidR="006B7F0B"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 xml:space="preserve">We chose these as they </w:t>
      </w:r>
      <w:r w:rsidR="002A1358" w:rsidRPr="007F23AD">
        <w:rPr>
          <w:rFonts w:ascii="Calibri" w:hAnsi="Calibri" w:cs="Calibri"/>
          <w:color w:val="000000" w:themeColor="text1"/>
          <w:sz w:val="22"/>
          <w:szCs w:val="22"/>
          <w:lang w:val="en-GB"/>
        </w:rPr>
        <w:t xml:space="preserve">contain multidisciplinary research from around the world, </w:t>
      </w:r>
      <w:r w:rsidR="003A46C5" w:rsidRPr="007F23AD">
        <w:rPr>
          <w:rFonts w:ascii="Calibri" w:hAnsi="Calibri" w:cs="Calibri"/>
          <w:color w:val="000000" w:themeColor="text1"/>
          <w:sz w:val="22"/>
          <w:szCs w:val="22"/>
          <w:lang w:val="en-GB"/>
        </w:rPr>
        <w:t xml:space="preserve">including various types of </w:t>
      </w:r>
      <w:r w:rsidR="002B599F" w:rsidRPr="007F23AD">
        <w:rPr>
          <w:rFonts w:ascii="Calibri" w:hAnsi="Calibri" w:cs="Calibri"/>
          <w:color w:val="000000" w:themeColor="text1"/>
          <w:sz w:val="22"/>
          <w:szCs w:val="22"/>
          <w:lang w:val="en-GB"/>
        </w:rPr>
        <w:t>articles</w:t>
      </w:r>
      <w:r w:rsidR="003A46C5" w:rsidRPr="007F23AD">
        <w:rPr>
          <w:rFonts w:ascii="Calibri" w:hAnsi="Calibri" w:cs="Calibri"/>
          <w:color w:val="000000" w:themeColor="text1"/>
          <w:sz w:val="22"/>
          <w:szCs w:val="22"/>
          <w:lang w:val="en-GB"/>
        </w:rPr>
        <w:t>.</w:t>
      </w:r>
      <w:r w:rsidR="001818FE" w:rsidRPr="007F23AD">
        <w:rPr>
          <w:rFonts w:ascii="Calibri" w:hAnsi="Calibri" w:cs="Calibri"/>
          <w:color w:val="000000" w:themeColor="text1"/>
          <w:sz w:val="22"/>
          <w:szCs w:val="22"/>
          <w:lang w:val="en-GB"/>
        </w:rPr>
        <w:t xml:space="preserve"> </w:t>
      </w:r>
      <w:r w:rsidR="00443550" w:rsidRPr="007F23AD">
        <w:rPr>
          <w:rFonts w:ascii="Calibri" w:hAnsi="Calibri" w:cs="Calibri"/>
          <w:color w:val="000000" w:themeColor="text1"/>
          <w:sz w:val="22"/>
          <w:szCs w:val="22"/>
        </w:rPr>
        <w:t xml:space="preserve">As the focus of our study is construction SMEs, the pilot study also reviewed SME-related journals and identified a noticeable lack of risk assessment mechanisms in the existing literature. Current research on construction SMEs </w:t>
      </w:r>
      <w:r w:rsidR="00443550" w:rsidRPr="007F23AD">
        <w:rPr>
          <w:rFonts w:ascii="Calibri" w:hAnsi="Calibri" w:cs="Calibri"/>
          <w:color w:val="000000" w:themeColor="text1"/>
          <w:sz w:val="22"/>
          <w:szCs w:val="22"/>
        </w:rPr>
        <w:lastRenderedPageBreak/>
        <w:t xml:space="preserve">primarily focuses on business performance and </w:t>
      </w:r>
      <w:r w:rsidR="04F6CBB9" w:rsidRPr="007F23AD">
        <w:rPr>
          <w:rFonts w:ascii="Calibri" w:hAnsi="Calibri" w:cs="Calibri"/>
          <w:color w:val="000000" w:themeColor="text1"/>
        </w:rPr>
        <w:t xml:space="preserve">related </w:t>
      </w:r>
      <w:r w:rsidR="00F142E7" w:rsidRPr="007F23AD">
        <w:rPr>
          <w:rFonts w:ascii="Calibri" w:hAnsi="Calibri" w:cs="Calibri"/>
          <w:color w:val="000000" w:themeColor="text1"/>
        </w:rPr>
        <w:t>risks</w:t>
      </w:r>
      <w:r w:rsidR="00A215F5" w:rsidRPr="007F23AD">
        <w:rPr>
          <w:rFonts w:ascii="Calibri" w:hAnsi="Calibri" w:cs="Calibri"/>
          <w:noProof/>
          <w:color w:val="000000" w:themeColor="text1"/>
          <w:sz w:val="22"/>
          <w:szCs w:val="22"/>
        </w:rPr>
        <w:t xml:space="preserve"> </w:t>
      </w:r>
      <w:r w:rsidR="00A215F5" w:rsidRPr="007F23AD">
        <w:rPr>
          <w:rFonts w:ascii="Calibri" w:hAnsi="Calibri" w:cs="Calibri"/>
          <w:noProof/>
          <w:color w:val="000000" w:themeColor="text1"/>
          <w:sz w:val="22"/>
          <w:szCs w:val="22"/>
        </w:rPr>
        <w:fldChar w:fldCharType="begin">
          <w:fldData xml:space="preserve">PEVuZE5vdGU+PENpdGU+PEF1dGhvcj5Cb29sdGluazwvQXV0aG9yPjxZZWFyPjIwMTg8L1llYXI+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</w:fldData>
        </w:fldChar>
      </w:r>
      <w:r w:rsidR="005B671F" w:rsidRPr="007F23AD">
        <w:rPr>
          <w:rFonts w:ascii="Calibri" w:hAnsi="Calibri" w:cs="Calibri"/>
          <w:noProof/>
          <w:color w:val="000000" w:themeColor="text1"/>
          <w:sz w:val="22"/>
          <w:szCs w:val="22"/>
        </w:rPr>
        <w:instrText xml:space="preserve"> ADDIN EN.CITE </w:instrText>
      </w:r>
      <w:r w:rsidR="005B671F" w:rsidRPr="007F23AD">
        <w:rPr>
          <w:rFonts w:ascii="Calibri" w:hAnsi="Calibri" w:cs="Calibri"/>
          <w:noProof/>
          <w:color w:val="000000" w:themeColor="text1"/>
          <w:sz w:val="22"/>
          <w:szCs w:val="22"/>
        </w:rPr>
        <w:fldChar w:fldCharType="begin">
          <w:fldData xml:space="preserve">PEVuZE5vdGU+PENpdGU+PEF1dGhvcj5Cb29sdGluazwvQXV0aG9yPjxZZWFyPjIwMTg8L1llYXI+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</w:fldData>
        </w:fldChar>
      </w:r>
      <w:r w:rsidR="005B671F" w:rsidRPr="007F23AD">
        <w:rPr>
          <w:rFonts w:ascii="Calibri" w:hAnsi="Calibri" w:cs="Calibri"/>
          <w:noProof/>
          <w:color w:val="000000" w:themeColor="text1"/>
          <w:sz w:val="22"/>
          <w:szCs w:val="22"/>
        </w:rPr>
        <w:instrText xml:space="preserve"> ADDIN EN.CITE.DATA </w:instrText>
      </w:r>
      <w:r w:rsidR="005B671F" w:rsidRPr="007F23AD">
        <w:rPr>
          <w:rFonts w:ascii="Calibri" w:hAnsi="Calibri" w:cs="Calibri"/>
          <w:noProof/>
          <w:color w:val="000000" w:themeColor="text1"/>
          <w:sz w:val="22"/>
          <w:szCs w:val="22"/>
        </w:rPr>
      </w:r>
      <w:r w:rsidR="005B671F" w:rsidRPr="007F23AD">
        <w:rPr>
          <w:rFonts w:ascii="Calibri" w:hAnsi="Calibri" w:cs="Calibri"/>
          <w:noProof/>
          <w:color w:val="000000" w:themeColor="text1"/>
          <w:sz w:val="22"/>
          <w:szCs w:val="22"/>
        </w:rPr>
        <w:fldChar w:fldCharType="end"/>
      </w:r>
      <w:r w:rsidR="00A215F5" w:rsidRPr="007F23AD">
        <w:rPr>
          <w:rFonts w:ascii="Calibri" w:hAnsi="Calibri" w:cs="Calibri"/>
          <w:noProof/>
          <w:color w:val="000000" w:themeColor="text1"/>
          <w:sz w:val="22"/>
          <w:szCs w:val="22"/>
        </w:rPr>
      </w:r>
      <w:r w:rsidR="00A215F5" w:rsidRPr="007F23AD">
        <w:rPr>
          <w:rFonts w:ascii="Calibri" w:hAnsi="Calibri" w:cs="Calibri"/>
          <w:noProof/>
          <w:color w:val="000000" w:themeColor="text1"/>
          <w:sz w:val="22"/>
          <w:szCs w:val="22"/>
        </w:rPr>
        <w:fldChar w:fldCharType="separate"/>
      </w:r>
      <w:r w:rsidR="005B671F" w:rsidRPr="007F23AD">
        <w:rPr>
          <w:rFonts w:ascii="Calibri" w:hAnsi="Calibri" w:cs="Calibri"/>
          <w:noProof/>
          <w:color w:val="000000" w:themeColor="text1"/>
          <w:sz w:val="22"/>
          <w:szCs w:val="22"/>
        </w:rPr>
        <w:t>(</w:t>
      </w:r>
      <w:r w:rsidR="3F79C563" w:rsidRPr="007F23AD">
        <w:rPr>
          <w:rFonts w:ascii="Calibri" w:hAnsi="Calibri" w:cs="Calibri"/>
          <w:noProof/>
          <w:color w:val="000000" w:themeColor="text1"/>
          <w:sz w:val="22"/>
          <w:szCs w:val="22"/>
        </w:rPr>
        <w:t xml:space="preserve">e.g. </w:t>
      </w:r>
      <w:r w:rsidR="005B671F" w:rsidRPr="007F23AD">
        <w:rPr>
          <w:rFonts w:ascii="Calibri" w:hAnsi="Calibri" w:cs="Calibri"/>
          <w:noProof/>
          <w:color w:val="000000" w:themeColor="text1"/>
          <w:sz w:val="22"/>
          <w:szCs w:val="22"/>
        </w:rPr>
        <w:t>Booltink and Saka-Helmhout 2018; Eze et al. 2020)</w:t>
      </w:r>
      <w:r w:rsidR="00A215F5" w:rsidRPr="007F23AD">
        <w:rPr>
          <w:rFonts w:ascii="Calibri" w:hAnsi="Calibri" w:cs="Calibri"/>
          <w:noProof/>
          <w:color w:val="000000" w:themeColor="text1"/>
          <w:sz w:val="22"/>
          <w:szCs w:val="22"/>
        </w:rPr>
        <w:fldChar w:fldCharType="end"/>
      </w:r>
      <w:r w:rsidR="67214B35" w:rsidRPr="007F23AD">
        <w:rPr>
          <w:rFonts w:ascii="Calibri" w:hAnsi="Calibri" w:cs="Calibri"/>
          <w:color w:val="000000" w:themeColor="text1"/>
          <w:sz w:val="22"/>
          <w:szCs w:val="22"/>
        </w:rPr>
        <w:t>, which differs from the focus of this study.</w:t>
      </w:r>
      <w:r w:rsidR="001818FE" w:rsidRPr="007F23AD">
        <w:rPr>
          <w:rFonts w:ascii="Calibri" w:hAnsi="Calibri" w:cs="Calibri"/>
          <w:color w:val="000000" w:themeColor="text1"/>
          <w:sz w:val="22"/>
          <w:szCs w:val="22"/>
        </w:rPr>
        <w:t xml:space="preserve"> Our exploration of different databases and the use of multiple keyword combinations helped us gain a deeper understanding of this subject area.</w:t>
      </w:r>
      <w:r w:rsidR="003A46C5" w:rsidRPr="007F23AD">
        <w:rPr>
          <w:rFonts w:ascii="Calibri" w:hAnsi="Calibri" w:cs="Calibri"/>
          <w:color w:val="000000" w:themeColor="text1"/>
          <w:sz w:val="22"/>
          <w:szCs w:val="22"/>
          <w:lang w:val="en-GB"/>
        </w:rPr>
        <w:t xml:space="preserve"> This helped us further understand the </w:t>
      </w:r>
      <w:r w:rsidR="008B02E2" w:rsidRPr="007F23AD">
        <w:rPr>
          <w:rFonts w:ascii="Calibri" w:hAnsi="Calibri" w:cs="Calibri"/>
          <w:color w:val="000000" w:themeColor="text1"/>
          <w:sz w:val="22"/>
          <w:szCs w:val="22"/>
          <w:lang w:val="en-GB"/>
        </w:rPr>
        <w:t xml:space="preserve">subject area, though did highlight that there was </w:t>
      </w:r>
      <w:proofErr w:type="spellStart"/>
      <w:r w:rsidR="008B02E2" w:rsidRPr="007F23AD">
        <w:rPr>
          <w:rFonts w:ascii="Calibri" w:hAnsi="Calibri" w:cs="Calibri"/>
          <w:color w:val="000000" w:themeColor="text1"/>
          <w:sz w:val="22"/>
          <w:szCs w:val="22"/>
          <w:lang w:val="en-GB"/>
        </w:rPr>
        <w:t>i</w:t>
      </w:r>
      <w:proofErr w:type="spellEnd"/>
      <w:r w:rsidR="008B02E2" w:rsidRPr="007F23AD">
        <w:rPr>
          <w:rFonts w:ascii="Calibri" w:hAnsi="Calibri" w:cs="Calibri"/>
          <w:color w:val="000000" w:themeColor="text1"/>
          <w:sz w:val="22"/>
          <w:szCs w:val="22"/>
          <w:lang w:val="en-GB"/>
        </w:rPr>
        <w:t xml:space="preserve">) significant variation in research quality, ii) </w:t>
      </w:r>
      <w:r w:rsidR="00444F95" w:rsidRPr="007F23AD">
        <w:rPr>
          <w:rFonts w:ascii="Calibri" w:hAnsi="Calibri" w:cs="Calibri"/>
          <w:color w:val="000000" w:themeColor="text1"/>
          <w:sz w:val="22"/>
          <w:szCs w:val="22"/>
          <w:lang w:val="en-GB"/>
        </w:rPr>
        <w:t>an extremely large number of potential studies to consider, but with iii) mostly irrelevant studies returned in our results.</w:t>
      </w:r>
      <w:r w:rsidR="006B7F0B" w:rsidRPr="007F23AD">
        <w:rPr>
          <w:rFonts w:ascii="Calibri" w:hAnsi="Calibri" w:cs="Calibri"/>
          <w:color w:val="000000" w:themeColor="text1"/>
          <w:sz w:val="22"/>
          <w:szCs w:val="22"/>
          <w:lang w:val="en-GB"/>
        </w:rPr>
        <w:t xml:space="preserve"> </w:t>
      </w:r>
      <w:r w:rsidR="00444F95" w:rsidRPr="007F23AD">
        <w:rPr>
          <w:rFonts w:ascii="Calibri" w:hAnsi="Calibri" w:cs="Calibri"/>
          <w:color w:val="000000" w:themeColor="text1"/>
          <w:sz w:val="22"/>
          <w:szCs w:val="22"/>
          <w:lang w:val="en-GB"/>
        </w:rPr>
        <w:t xml:space="preserve">To conduct a useful, relevant, and focused review we therefore followed the </w:t>
      </w:r>
      <w:r w:rsidR="003276EE" w:rsidRPr="007F23AD">
        <w:rPr>
          <w:rFonts w:ascii="Calibri" w:hAnsi="Calibri" w:cs="Calibri"/>
          <w:color w:val="000000" w:themeColor="text1"/>
          <w:sz w:val="22"/>
          <w:szCs w:val="22"/>
          <w:lang w:val="en-GB"/>
        </w:rPr>
        <w:t>procedure prescribed</w:t>
      </w:r>
      <w:r w:rsidR="00D43F2F" w:rsidRPr="007F23AD">
        <w:rPr>
          <w:rFonts w:ascii="Calibri" w:hAnsi="Calibri" w:cs="Calibri"/>
          <w:color w:val="000000" w:themeColor="text1"/>
          <w:sz w:val="22"/>
          <w:szCs w:val="22"/>
          <w:lang w:val="en-GB"/>
        </w:rPr>
        <w:t xml:space="preserve"> by</w:t>
      </w:r>
      <w:r w:rsidR="004D2453" w:rsidRPr="007F23AD">
        <w:rPr>
          <w:rFonts w:ascii="Calibri" w:hAnsi="Calibri" w:cs="Calibri"/>
          <w:color w:val="000000" w:themeColor="text1"/>
          <w:sz w:val="22"/>
          <w:szCs w:val="22"/>
          <w:lang w:val="en-GB"/>
        </w:rPr>
        <w:t xml:space="preserve"> </w:t>
      </w:r>
      <w:r w:rsidR="00E3293B" w:rsidRPr="007F23AD">
        <w:rPr>
          <w:rFonts w:ascii="Calibri" w:hAnsi="Calibri" w:cs="Calibri"/>
          <w:noProof/>
          <w:color w:val="000000" w:themeColor="text1"/>
          <w:sz w:val="22"/>
          <w:szCs w:val="22"/>
          <w:lang w:val="en-GB"/>
        </w:rPr>
        <w:fldChar w:fldCharType="begin"/>
      </w:r>
      <w:r w:rsidR="00E3293B" w:rsidRPr="007F23AD">
        <w:rPr>
          <w:rFonts w:ascii="Calibri" w:hAnsi="Calibri" w:cs="Calibri"/>
          <w:noProof/>
          <w:color w:val="000000" w:themeColor="text1"/>
          <w:sz w:val="22"/>
          <w:szCs w:val="22"/>
          <w:lang w:val="en-GB"/>
        </w:rPr>
        <w:instrText xml:space="preserve"> ADDIN EN.CITE &lt;EndNote&gt;&lt;Cite AuthorYear="1"&gt;&lt;Author&gt;Gosling&lt;/Author&gt;&lt;Year&gt;2009&lt;/Year&gt;&lt;RecNum&gt;308&lt;/RecNum&gt;&lt;DisplayText&gt;Gosling and Naim (2009)&lt;/DisplayText&gt;&lt;record&gt;&lt;rec-number&gt;308&lt;/rec-number&gt;&lt;foreign-keys&gt;&lt;key app="EN" db-id="vxw0ffesn9zzt0ewpdx5r5a3fpw92aep9re9" timestamp="1683537976" guid="9ece3df2-70c4-45a1-bb98-db336bb4f11a"&gt;308&lt;/key&gt;&lt;/foreign-keys&gt;&lt;ref-type name="Journal Article"&gt;17&lt;/ref-type&gt;&lt;contributors&gt;&lt;authors&gt;&lt;author&gt;Gosling, Jonathan&lt;/author&gt;&lt;author&gt;Naim, Mohamed M.&lt;/author&gt;&lt;/authors&gt;&lt;/contributors&gt;&lt;titles&gt;&lt;title&gt;Engineer-to-order supply chain management: A literature review and research agenda&lt;/title&gt;&lt;secondary-title&gt;International Journal of Production Economics&lt;/secondary-title&gt;&lt;/titles&gt;&lt;periodical&gt;&lt;full-title&gt;International Journal of Production Economics&lt;/full-title&gt;&lt;/periodical&gt;&lt;pages&gt;741-754&lt;/pages&gt;&lt;volume&gt;122&lt;/volume&gt;&lt;number&gt;2&lt;/number&gt;&lt;keywords&gt;&lt;keyword&gt;Engineer-to-order&lt;/keyword&gt;&lt;keyword&gt;Project&lt;/keyword&gt;&lt;keyword&gt;One-of-a-kind&lt;/keyword&gt;&lt;keyword&gt;Supply chain&lt;/keyword&gt;&lt;keyword&gt;Literature review&lt;/keyword&gt;&lt;/keywords&gt;&lt;dates&gt;&lt;year&gt;2009&lt;/year&gt;&lt;pub-dates&gt;&lt;date&gt;2009/12/01/&lt;/date&gt;&lt;/pub-dates&gt;&lt;/dates&gt;&lt;isbn&gt;0925-5273&lt;/isbn&gt;&lt;urls&gt;&lt;related-urls&gt;&lt;url&gt;https://www.sciencedirect.com/science/article/pii/S0925527309002394&lt;/url&gt;&lt;/related-urls&gt;&lt;/urls&gt;&lt;electronic-resource-num&gt;https://doi.org/10.1016/j.ijpe.2009.07.002&lt;/electronic-resource-num&gt;&lt;/record&gt;&lt;/Cite&gt;&lt;/EndNote&gt;</w:instrText>
      </w:r>
      <w:r w:rsidR="00E3293B" w:rsidRPr="007F23AD">
        <w:rPr>
          <w:rFonts w:ascii="Calibri" w:hAnsi="Calibri" w:cs="Calibri"/>
          <w:noProof/>
          <w:color w:val="000000" w:themeColor="text1"/>
          <w:sz w:val="22"/>
          <w:szCs w:val="22"/>
          <w:lang w:val="en-GB"/>
        </w:rPr>
        <w:fldChar w:fldCharType="separate"/>
      </w:r>
      <w:r w:rsidR="00E3293B" w:rsidRPr="007F23AD">
        <w:rPr>
          <w:rFonts w:ascii="Calibri" w:hAnsi="Calibri" w:cs="Calibri"/>
          <w:noProof/>
          <w:color w:val="000000" w:themeColor="text1"/>
          <w:sz w:val="22"/>
          <w:szCs w:val="22"/>
          <w:lang w:val="en-GB"/>
        </w:rPr>
        <w:t>Gosling and Naim (2009)</w:t>
      </w:r>
      <w:r w:rsidR="00E3293B" w:rsidRPr="007F23AD">
        <w:rPr>
          <w:rFonts w:ascii="Calibri" w:hAnsi="Calibri" w:cs="Calibri"/>
          <w:noProof/>
          <w:color w:val="000000" w:themeColor="text1"/>
          <w:sz w:val="22"/>
          <w:szCs w:val="22"/>
          <w:lang w:val="en-GB"/>
        </w:rPr>
        <w:fldChar w:fldCharType="end"/>
      </w:r>
      <w:r w:rsidR="00551A38" w:rsidRPr="007F23AD">
        <w:rPr>
          <w:rFonts w:ascii="Calibri" w:hAnsi="Calibri" w:cs="Calibri"/>
          <w:color w:val="000000" w:themeColor="text1"/>
          <w:sz w:val="22"/>
          <w:szCs w:val="22"/>
          <w:lang w:val="en-GB"/>
        </w:rPr>
        <w:t>,</w:t>
      </w:r>
      <w:r w:rsidR="004541D9" w:rsidRPr="007F23AD">
        <w:rPr>
          <w:rFonts w:ascii="Calibri" w:hAnsi="Calibri" w:cs="Calibri"/>
          <w:color w:val="000000" w:themeColor="text1"/>
          <w:sz w:val="22"/>
          <w:szCs w:val="22"/>
          <w:lang w:val="en-GB"/>
        </w:rPr>
        <w:t xml:space="preserve"> </w:t>
      </w:r>
      <w:r w:rsidR="005B0403" w:rsidRPr="007F23AD">
        <w:rPr>
          <w:rFonts w:ascii="Calibri" w:hAnsi="Calibri" w:cs="Calibri"/>
          <w:color w:val="000000" w:themeColor="text1"/>
          <w:sz w:val="22"/>
          <w:szCs w:val="22"/>
          <w:lang w:val="en-GB"/>
        </w:rPr>
        <w:t xml:space="preserve">who demonstrated how the Charted Association of Business School’s </w:t>
      </w:r>
      <w:r w:rsidR="006B7F0B" w:rsidRPr="007F23AD">
        <w:rPr>
          <w:rFonts w:ascii="Calibri" w:hAnsi="Calibri" w:cs="Calibri"/>
          <w:color w:val="000000" w:themeColor="text1"/>
          <w:sz w:val="22"/>
          <w:szCs w:val="22"/>
          <w:lang w:val="en-GB"/>
        </w:rPr>
        <w:t xml:space="preserve">Academic Journal Guide (AJG) </w:t>
      </w:r>
      <w:r w:rsidR="005B0403" w:rsidRPr="007F23AD">
        <w:rPr>
          <w:rFonts w:ascii="Calibri" w:hAnsi="Calibri" w:cs="Calibri"/>
          <w:color w:val="000000" w:themeColor="text1"/>
          <w:sz w:val="22"/>
          <w:szCs w:val="22"/>
          <w:lang w:val="en-GB"/>
        </w:rPr>
        <w:t xml:space="preserve">may be </w:t>
      </w:r>
      <w:r w:rsidR="006B7F0B" w:rsidRPr="007F23AD">
        <w:rPr>
          <w:rFonts w:ascii="Calibri" w:hAnsi="Calibri" w:cs="Calibri"/>
          <w:color w:val="000000" w:themeColor="text1"/>
          <w:sz w:val="22"/>
          <w:szCs w:val="22"/>
          <w:lang w:val="en-GB"/>
        </w:rPr>
        <w:t xml:space="preserve">used </w:t>
      </w:r>
      <w:r w:rsidR="005B0403" w:rsidRPr="007F23AD">
        <w:rPr>
          <w:rFonts w:ascii="Calibri" w:hAnsi="Calibri" w:cs="Calibri"/>
          <w:color w:val="000000" w:themeColor="text1"/>
          <w:sz w:val="22"/>
          <w:szCs w:val="22"/>
          <w:lang w:val="en-GB"/>
        </w:rPr>
        <w:t>as a</w:t>
      </w:r>
      <w:r w:rsidR="006B7F0B" w:rsidRPr="007F23AD">
        <w:rPr>
          <w:rFonts w:ascii="Calibri" w:hAnsi="Calibri" w:cs="Calibri"/>
          <w:color w:val="000000" w:themeColor="text1"/>
          <w:sz w:val="22"/>
          <w:szCs w:val="22"/>
          <w:lang w:val="en-GB"/>
        </w:rPr>
        <w:t xml:space="preserve">  proxy for quality and integrity of the screening process</w:t>
      </w:r>
      <w:r w:rsidR="004541D9" w:rsidRPr="007F23AD">
        <w:rPr>
          <w:rFonts w:ascii="Calibri" w:hAnsi="Calibri" w:cs="Calibri"/>
          <w:color w:val="000000" w:themeColor="text1"/>
          <w:sz w:val="22"/>
          <w:szCs w:val="22"/>
          <w:lang w:val="en-GB"/>
        </w:rPr>
        <w:t>.</w:t>
      </w:r>
      <w:r w:rsidR="006B7F0B" w:rsidRPr="007F23AD">
        <w:rPr>
          <w:rFonts w:ascii="Calibri" w:hAnsi="Calibri" w:cs="Calibri"/>
          <w:color w:val="000000" w:themeColor="text1"/>
          <w:sz w:val="22"/>
          <w:szCs w:val="22"/>
          <w:lang w:val="en-GB"/>
        </w:rPr>
        <w:t xml:space="preserve"> The AJG</w:t>
      </w:r>
      <w:r w:rsidR="00A505C4" w:rsidRPr="007F23AD">
        <w:rPr>
          <w:rFonts w:ascii="Calibri" w:hAnsi="Calibri" w:cs="Calibri"/>
          <w:color w:val="000000" w:themeColor="text1"/>
          <w:sz w:val="22"/>
          <w:szCs w:val="22"/>
          <w:lang w:val="en-GB"/>
        </w:rPr>
        <w:t>’</w:t>
      </w:r>
      <w:r w:rsidR="006B7F0B" w:rsidRPr="007F23AD">
        <w:rPr>
          <w:rFonts w:ascii="Calibri" w:hAnsi="Calibri" w:cs="Calibri"/>
          <w:color w:val="000000" w:themeColor="text1"/>
          <w:sz w:val="22"/>
          <w:szCs w:val="22"/>
          <w:lang w:val="en-GB"/>
        </w:rPr>
        <w:t xml:space="preserve">s ratings are based on the judgments of peer reviewers, </w:t>
      </w:r>
      <w:r w:rsidR="00B06417" w:rsidRPr="007F23AD">
        <w:rPr>
          <w:rFonts w:ascii="Calibri" w:hAnsi="Calibri" w:cs="Calibri"/>
          <w:color w:val="000000" w:themeColor="text1"/>
          <w:sz w:val="22"/>
          <w:szCs w:val="22"/>
          <w:lang w:val="en-GB"/>
        </w:rPr>
        <w:t>editors, and</w:t>
      </w:r>
      <w:r w:rsidR="006B7F0B" w:rsidRPr="007F23AD">
        <w:rPr>
          <w:rFonts w:ascii="Calibri" w:hAnsi="Calibri" w:cs="Calibri"/>
          <w:color w:val="000000" w:themeColor="text1"/>
          <w:sz w:val="22"/>
          <w:szCs w:val="22"/>
          <w:lang w:val="en-GB"/>
        </w:rPr>
        <w:t xml:space="preserve"> experts who evaluate hundreds of publications regarding citation-related statistics from the Association of Business Schools list</w:t>
      </w:r>
      <w:r w:rsidR="00384534" w:rsidRPr="007F23AD">
        <w:rPr>
          <w:rFonts w:ascii="Calibri" w:hAnsi="Calibri" w:cs="Calibri"/>
          <w:noProof/>
          <w:color w:val="000000" w:themeColor="text1"/>
          <w:sz w:val="22"/>
          <w:szCs w:val="22"/>
          <w:lang w:val="en-GB"/>
        </w:rPr>
        <w:t xml:space="preserve"> </w:t>
      </w:r>
      <w:r w:rsidR="00384534" w:rsidRPr="007F23AD">
        <w:rPr>
          <w:rFonts w:ascii="Calibri" w:hAnsi="Calibri" w:cs="Calibri"/>
          <w:noProof/>
          <w:color w:val="000000" w:themeColor="text1"/>
          <w:sz w:val="22"/>
          <w:szCs w:val="22"/>
          <w:lang w:val="en-GB"/>
        </w:rPr>
        <w:fldChar w:fldCharType="begin"/>
      </w:r>
      <w:r w:rsidR="00384534" w:rsidRPr="007F23AD">
        <w:rPr>
          <w:rFonts w:ascii="Calibri" w:hAnsi="Calibri" w:cs="Calibri"/>
          <w:noProof/>
          <w:color w:val="000000" w:themeColor="text1"/>
          <w:sz w:val="22"/>
          <w:szCs w:val="22"/>
          <w:lang w:val="en-GB"/>
        </w:rPr>
        <w:instrText xml:space="preserve"> ADDIN EN.CITE &lt;EndNote&gt;&lt;Cite&gt;&lt;Author&gt;ABS&lt;/Author&gt;&lt;Year&gt;2021&lt;/Year&gt;&lt;RecNum&gt;470&lt;/RecNum&gt;&lt;DisplayText&gt;(ABS 2021)&lt;/DisplayText&gt;&lt;record&gt;&lt;rec-number&gt;470&lt;/rec-number&gt;&lt;foreign-keys&gt;&lt;key app="EN" db-id="vxw0ffesn9zzt0ewpdx5r5a3fpw92aep9re9" timestamp="1683538043" guid="10bdbc6e-366c-4167-af3d-766d8eea1651"&gt;470&lt;/key&gt;&lt;/foreign-keys&gt;&lt;ref-type name="Report"&gt;27&lt;/ref-type&gt;&lt;contributors&gt;&lt;authors&gt;&lt;author&gt;ABS&lt;/author&gt;&lt;/authors&gt;&lt;/contributors&gt;&lt;titles&gt;&lt;title&gt;Academic Journal Guide&lt;/title&gt;&lt;/titles&gt;&lt;dates&gt;&lt;year&gt;2021&lt;/year&gt;&lt;/dates&gt;&lt;publisher&gt;Association of Business Schools&lt;/publisher&gt;&lt;urls&gt;&lt;related-urls&gt;&lt;url&gt;https://charteredabs.org/academic-journal-guide-2021/&lt;/url&gt;&lt;/related-urls&gt;&lt;/urls&gt;&lt;access-date&gt;16/07/2022&lt;/access-date&gt;&lt;/record&gt;&lt;/Cite&gt;&lt;/EndNote&gt;</w:instrText>
      </w:r>
      <w:r w:rsidR="00384534" w:rsidRPr="007F23AD">
        <w:rPr>
          <w:rFonts w:ascii="Calibri" w:hAnsi="Calibri" w:cs="Calibri"/>
          <w:noProof/>
          <w:color w:val="000000" w:themeColor="text1"/>
          <w:sz w:val="22"/>
          <w:szCs w:val="22"/>
          <w:lang w:val="en-GB"/>
        </w:rPr>
        <w:fldChar w:fldCharType="separate"/>
      </w:r>
      <w:r w:rsidR="00384534" w:rsidRPr="007F23AD">
        <w:rPr>
          <w:rFonts w:ascii="Calibri" w:hAnsi="Calibri" w:cs="Calibri"/>
          <w:noProof/>
          <w:color w:val="000000" w:themeColor="text1"/>
          <w:sz w:val="22"/>
          <w:szCs w:val="22"/>
          <w:lang w:val="en-GB"/>
        </w:rPr>
        <w:t>(ABS 2021)</w:t>
      </w:r>
      <w:r w:rsidR="00384534" w:rsidRPr="007F23AD">
        <w:rPr>
          <w:rFonts w:ascii="Calibri" w:hAnsi="Calibri" w:cs="Calibri"/>
          <w:noProof/>
          <w:color w:val="000000" w:themeColor="text1"/>
          <w:sz w:val="22"/>
          <w:szCs w:val="22"/>
          <w:lang w:val="en-GB"/>
        </w:rPr>
        <w:fldChar w:fldCharType="end"/>
      </w:r>
      <w:r w:rsidR="006B7F0B" w:rsidRPr="007F23AD">
        <w:rPr>
          <w:rFonts w:ascii="Calibri" w:hAnsi="Calibri" w:cs="Calibri"/>
          <w:color w:val="000000" w:themeColor="text1"/>
          <w:sz w:val="22"/>
          <w:szCs w:val="22"/>
          <w:lang w:val="en-GB"/>
        </w:rPr>
        <w:t>. Journals are ranked according to a five-point scoring system, where 4</w:t>
      </w:r>
      <w:r w:rsidR="00E66E23" w:rsidRPr="007F23AD">
        <w:rPr>
          <w:rFonts w:ascii="Calibri" w:hAnsi="Calibri" w:cs="Calibri"/>
          <w:color w:val="000000" w:themeColor="text1"/>
          <w:sz w:val="22"/>
          <w:szCs w:val="22"/>
          <w:lang w:val="en-GB"/>
        </w:rPr>
        <w:t>*</w:t>
      </w:r>
      <w:r w:rsidR="006B7F0B" w:rsidRPr="007F23AD">
        <w:rPr>
          <w:rFonts w:ascii="Calibri" w:hAnsi="Calibri" w:cs="Calibri"/>
          <w:color w:val="000000" w:themeColor="text1"/>
          <w:sz w:val="22"/>
          <w:szCs w:val="22"/>
          <w:lang w:val="en-GB"/>
        </w:rPr>
        <w:t xml:space="preserve"> is the highest and 0 is the unclassified. </w:t>
      </w:r>
    </w:p>
    <w:p w14:paraId="3F8F0A52" w14:textId="4D8673C1" w:rsidR="00B32963" w:rsidRPr="007F23AD" w:rsidRDefault="009A6909" w:rsidP="009A6909">
      <w:pPr>
        <w:spacing w:line="480" w:lineRule="auto"/>
        <w:jc w:val="center"/>
        <w:rPr>
          <w:rFonts w:ascii="Calibri" w:hAnsi="Calibri" w:cs="Calibri"/>
          <w:color w:val="000000" w:themeColor="text1"/>
          <w:sz w:val="22"/>
          <w:szCs w:val="22"/>
          <w:lang w:val="en-GB"/>
        </w:rPr>
      </w:pPr>
      <w:r w:rsidRPr="007F23AD">
        <w:rPr>
          <w:rFonts w:ascii="Calibri" w:hAnsi="Calibri" w:cs="Calibri"/>
          <w:noProof/>
          <w:color w:val="000000" w:themeColor="text1"/>
          <w:sz w:val="22"/>
          <w:szCs w:val="22"/>
          <w:lang w:val="en-GB"/>
        </w:rPr>
        <w:lastRenderedPageBreak/>
        <w:drawing>
          <wp:inline distT="0" distB="0" distL="0" distR="0" wp14:anchorId="3A139891" wp14:editId="06E24395">
            <wp:extent cx="4421444" cy="4353257"/>
            <wp:effectExtent l="0" t="0" r="0" b="3175"/>
            <wp:docPr id="1322451205" name="Picture 2" descr="A flowchar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51205" name="Picture 2" descr="A flowchart of a document&#10;&#10;Description automatically generated"/>
                    <pic:cNvPicPr/>
                  </pic:nvPicPr>
                  <pic:blipFill>
                    <a:blip r:embed="rId11"/>
                    <a:stretch>
                      <a:fillRect/>
                    </a:stretch>
                  </pic:blipFill>
                  <pic:spPr>
                    <a:xfrm>
                      <a:off x="0" y="0"/>
                      <a:ext cx="4454768" cy="4386067"/>
                    </a:xfrm>
                    <a:prstGeom prst="rect">
                      <a:avLst/>
                    </a:prstGeom>
                  </pic:spPr>
                </pic:pic>
              </a:graphicData>
            </a:graphic>
          </wp:inline>
        </w:drawing>
      </w:r>
    </w:p>
    <w:p w14:paraId="0255C447" w14:textId="41E6D904" w:rsidR="00B32963" w:rsidRPr="007F23AD" w:rsidRDefault="00B32963" w:rsidP="00C3226C">
      <w:pPr>
        <w:spacing w:line="480" w:lineRule="auto"/>
        <w:jc w:val="center"/>
        <w:rPr>
          <w:rFonts w:ascii="Calibri" w:hAnsi="Calibri" w:cs="Calibri"/>
          <w:color w:val="000000" w:themeColor="text1"/>
          <w:sz w:val="22"/>
          <w:szCs w:val="22"/>
          <w:lang w:val="en-GB"/>
        </w:rPr>
      </w:pPr>
    </w:p>
    <w:p w14:paraId="187A0AC3" w14:textId="77777777" w:rsidR="003E6EF8" w:rsidRDefault="00B32963" w:rsidP="003E6EF8">
      <w:pPr>
        <w:jc w:val="center"/>
      </w:pPr>
      <w:r w:rsidRPr="007F23AD">
        <w:rPr>
          <w:rFonts w:ascii="Calibri" w:hAnsi="Calibri" w:cs="Calibri"/>
          <w:color w:val="000000" w:themeColor="text1"/>
          <w:sz w:val="22"/>
          <w:szCs w:val="22"/>
          <w:lang w:val="en-GB"/>
        </w:rPr>
        <w:t xml:space="preserve">Figure </w:t>
      </w:r>
      <w:r w:rsidR="00737663" w:rsidRPr="007F23AD">
        <w:rPr>
          <w:rFonts w:ascii="Calibri" w:hAnsi="Calibri" w:cs="Calibri"/>
          <w:color w:val="000000" w:themeColor="text1"/>
          <w:sz w:val="22"/>
          <w:szCs w:val="22"/>
          <w:lang w:val="en-GB"/>
        </w:rPr>
        <w:t>1:</w:t>
      </w:r>
      <w:r w:rsidRPr="007F23AD">
        <w:rPr>
          <w:rFonts w:ascii="Calibri" w:hAnsi="Calibri" w:cs="Calibri"/>
          <w:color w:val="000000" w:themeColor="text1"/>
          <w:sz w:val="22"/>
          <w:szCs w:val="22"/>
          <w:lang w:val="en-GB"/>
        </w:rPr>
        <w:t xml:space="preserve"> Structured literature review process.</w:t>
      </w:r>
      <w:r w:rsidR="003E6EF8" w:rsidRPr="003E6EF8">
        <w:t xml:space="preserve"> </w:t>
      </w:r>
    </w:p>
    <w:p w14:paraId="1E9A50BF" w14:textId="509C551D" w:rsidR="005561E6"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78FA11D2" w14:textId="77777777" w:rsidR="003E6EF8" w:rsidRPr="007F23AD" w:rsidRDefault="003E6EF8" w:rsidP="003E6EF8">
      <w:pPr>
        <w:jc w:val="center"/>
        <w:rPr>
          <w:rFonts w:ascii="Calibri" w:hAnsi="Calibri" w:cs="Calibri" w:hint="eastAsia"/>
          <w:color w:val="000000" w:themeColor="text1"/>
          <w:sz w:val="22"/>
          <w:szCs w:val="22"/>
          <w:lang w:val="en-GB"/>
        </w:rPr>
      </w:pPr>
    </w:p>
    <w:p w14:paraId="791A86ED" w14:textId="6553258E" w:rsidR="000B4922" w:rsidRPr="007F23AD" w:rsidRDefault="00817F46" w:rsidP="00C3226C">
      <w:pPr>
        <w:spacing w:line="480" w:lineRule="auto"/>
        <w:jc w:val="center"/>
        <w:rPr>
          <w:rFonts w:ascii="Calibri" w:eastAsia="DengXian" w:hAnsi="Calibri" w:cs="Calibri"/>
          <w:color w:val="000000" w:themeColor="text1"/>
          <w:sz w:val="22"/>
          <w:szCs w:val="22"/>
          <w:lang w:val="en-GB"/>
        </w:rPr>
      </w:pPr>
      <w:r w:rsidRPr="007F23AD">
        <w:rPr>
          <w:rFonts w:ascii="Calibri" w:eastAsia="DengXian" w:hAnsi="Calibri" w:cs="Calibri"/>
          <w:noProof/>
          <w:color w:val="000000" w:themeColor="text1"/>
          <w:sz w:val="22"/>
          <w:szCs w:val="22"/>
          <w:lang w:val="en-GB"/>
        </w:rPr>
        <w:drawing>
          <wp:inline distT="0" distB="0" distL="0" distR="0" wp14:anchorId="722AB180" wp14:editId="09177E40">
            <wp:extent cx="5270500" cy="1059815"/>
            <wp:effectExtent l="0" t="0" r="0" b="0"/>
            <wp:docPr id="179628227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82275" name="图片 1" descr="图示&#10;&#10;描述已自动生成"/>
                    <pic:cNvPicPr/>
                  </pic:nvPicPr>
                  <pic:blipFill>
                    <a:blip r:embed="rId12"/>
                    <a:stretch>
                      <a:fillRect/>
                    </a:stretch>
                  </pic:blipFill>
                  <pic:spPr>
                    <a:xfrm>
                      <a:off x="0" y="0"/>
                      <a:ext cx="5270500" cy="1059815"/>
                    </a:xfrm>
                    <a:prstGeom prst="rect">
                      <a:avLst/>
                    </a:prstGeom>
                  </pic:spPr>
                </pic:pic>
              </a:graphicData>
            </a:graphic>
          </wp:inline>
        </w:drawing>
      </w:r>
    </w:p>
    <w:p w14:paraId="6C9F4F80" w14:textId="77777777" w:rsidR="003E6EF8" w:rsidRDefault="004C724C" w:rsidP="003E6EF8">
      <w:pPr>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Figure </w:t>
      </w:r>
      <w:r w:rsidR="004B6803" w:rsidRPr="007F23AD">
        <w:rPr>
          <w:rFonts w:ascii="Calibri" w:hAnsi="Calibri" w:cs="Calibri"/>
          <w:color w:val="000000" w:themeColor="text1"/>
          <w:sz w:val="22"/>
          <w:szCs w:val="22"/>
          <w:lang w:val="en-GB"/>
        </w:rPr>
        <w:t>2</w:t>
      </w:r>
      <w:r w:rsidRPr="007F23AD">
        <w:rPr>
          <w:rFonts w:ascii="Calibri" w:hAnsi="Calibri" w:cs="Calibri"/>
          <w:color w:val="000000" w:themeColor="text1"/>
          <w:sz w:val="22"/>
          <w:szCs w:val="22"/>
          <w:lang w:val="en-GB"/>
        </w:rPr>
        <w:t>: Keywords selection process</w:t>
      </w:r>
    </w:p>
    <w:p w14:paraId="4C012ED2" w14:textId="486F305E" w:rsidR="009159A6"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1314B3BA" w14:textId="77777777" w:rsidR="003E6EF8" w:rsidRPr="007F23AD" w:rsidRDefault="003E6EF8" w:rsidP="003E6EF8">
      <w:pPr>
        <w:jc w:val="center"/>
        <w:rPr>
          <w:rFonts w:ascii="Calibri" w:eastAsia="DengXian" w:hAnsi="Calibri" w:cs="Calibri" w:hint="eastAsia"/>
          <w:color w:val="000000" w:themeColor="text1"/>
          <w:sz w:val="22"/>
          <w:szCs w:val="22"/>
          <w:lang w:val="en-GB"/>
        </w:rPr>
      </w:pPr>
    </w:p>
    <w:p w14:paraId="0721BD37" w14:textId="6E957465" w:rsidR="00F51BBA" w:rsidRPr="007F23AD" w:rsidRDefault="00470430" w:rsidP="00C3226C">
      <w:pPr>
        <w:pStyle w:val="a3"/>
        <w:numPr>
          <w:ilvl w:val="1"/>
          <w:numId w:val="2"/>
        </w:numPr>
        <w:spacing w:line="480" w:lineRule="auto"/>
        <w:jc w:val="both"/>
        <w:rPr>
          <w:rFonts w:ascii="Calibri" w:hAnsi="Calibri" w:cs="Calibri"/>
          <w:b/>
          <w:bCs/>
          <w:i/>
          <w:iCs/>
          <w:color w:val="000000" w:themeColor="text1"/>
          <w:sz w:val="22"/>
          <w:szCs w:val="22"/>
          <w:lang w:val="en-GB"/>
        </w:rPr>
      </w:pPr>
      <w:r w:rsidRPr="007F23AD">
        <w:rPr>
          <w:rFonts w:ascii="Calibri" w:hAnsi="Calibri" w:cs="Calibri"/>
          <w:b/>
          <w:bCs/>
          <w:i/>
          <w:iCs/>
          <w:color w:val="000000" w:themeColor="text1"/>
          <w:sz w:val="22"/>
          <w:szCs w:val="22"/>
          <w:lang w:val="en-GB"/>
        </w:rPr>
        <w:t xml:space="preserve">Screening the articles </w:t>
      </w:r>
    </w:p>
    <w:p w14:paraId="6E1630B9" w14:textId="65682E44" w:rsidR="00124A3B" w:rsidRPr="007F23AD" w:rsidRDefault="00124A3B" w:rsidP="003F1BA2">
      <w:pPr>
        <w:spacing w:line="480" w:lineRule="auto"/>
        <w:jc w:val="both"/>
        <w:rPr>
          <w:rFonts w:ascii="Calibri" w:hAnsi="Calibri" w:cs="Calibri"/>
          <w:color w:val="000000" w:themeColor="text1"/>
          <w:sz w:val="22"/>
          <w:szCs w:val="22"/>
          <w:lang w:val="en-GB"/>
        </w:rPr>
      </w:pPr>
    </w:p>
    <w:p w14:paraId="5AD0631F" w14:textId="116F8C6D" w:rsidR="00C04207" w:rsidRPr="007F23AD" w:rsidRDefault="00F91521"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The screening process commenced with conducting keyword searches across 68 journals listed under the Operations and Technology Management field in the ABS list</w:t>
      </w:r>
      <w:r w:rsidR="00392436" w:rsidRPr="007F23AD">
        <w:rPr>
          <w:rFonts w:ascii="Calibri" w:hAnsi="Calibri" w:cs="Calibri"/>
          <w:color w:val="000000" w:themeColor="text1"/>
          <w:sz w:val="22"/>
          <w:szCs w:val="22"/>
          <w:lang w:val="en-GB"/>
        </w:rPr>
        <w:t>.</w:t>
      </w:r>
      <w:r w:rsidR="00BC43F9" w:rsidRPr="007F23AD">
        <w:rPr>
          <w:rFonts w:ascii="Calibri" w:hAnsi="Calibri" w:cs="Calibri"/>
          <w:color w:val="000000" w:themeColor="text1"/>
          <w:sz w:val="22"/>
          <w:szCs w:val="22"/>
          <w:lang w:val="en-GB"/>
        </w:rPr>
        <w:t xml:space="preserve"> After obtaining search results from each journal, the articles were reviewed </w:t>
      </w:r>
      <w:r w:rsidR="007525C0" w:rsidRPr="007F23AD">
        <w:rPr>
          <w:rFonts w:ascii="Calibri" w:hAnsi="Calibri" w:cs="Calibri"/>
          <w:color w:val="000000" w:themeColor="text1"/>
          <w:sz w:val="22"/>
          <w:szCs w:val="22"/>
          <w:lang w:val="en-GB"/>
        </w:rPr>
        <w:t>to determine</w:t>
      </w:r>
      <w:r w:rsidR="00BC43F9" w:rsidRPr="007F23AD">
        <w:rPr>
          <w:rFonts w:ascii="Calibri" w:hAnsi="Calibri" w:cs="Calibri"/>
          <w:color w:val="000000" w:themeColor="text1"/>
          <w:sz w:val="22"/>
          <w:szCs w:val="22"/>
          <w:lang w:val="en-GB"/>
        </w:rPr>
        <w:t xml:space="preserve"> whether they met </w:t>
      </w:r>
      <w:r w:rsidR="00BC43F9" w:rsidRPr="007F23AD">
        <w:rPr>
          <w:rFonts w:ascii="Calibri" w:hAnsi="Calibri" w:cs="Calibri"/>
          <w:color w:val="000000" w:themeColor="text1"/>
          <w:sz w:val="22"/>
          <w:szCs w:val="22"/>
          <w:lang w:val="en-GB"/>
        </w:rPr>
        <w:lastRenderedPageBreak/>
        <w:t>the inclusion criteria for the study.</w:t>
      </w:r>
      <w:r w:rsidR="00E706B6" w:rsidRPr="007F23AD">
        <w:rPr>
          <w:rFonts w:ascii="Calibri" w:hAnsi="Calibri" w:cs="Calibri"/>
          <w:color w:val="000000" w:themeColor="text1"/>
          <w:sz w:val="22"/>
          <w:szCs w:val="22"/>
          <w:lang w:val="en-GB"/>
        </w:rPr>
        <w:t xml:space="preserve"> </w:t>
      </w:r>
      <w:r w:rsidR="00BC43F9" w:rsidRPr="007F23AD">
        <w:rPr>
          <w:rFonts w:ascii="Calibri" w:hAnsi="Calibri" w:cs="Calibri"/>
          <w:color w:val="000000" w:themeColor="text1"/>
          <w:sz w:val="22"/>
          <w:szCs w:val="22"/>
          <w:lang w:val="en-GB"/>
        </w:rPr>
        <w:t xml:space="preserve">Out of the initial pool of </w:t>
      </w:r>
      <w:r w:rsidR="00BB7A93" w:rsidRPr="007F23AD">
        <w:rPr>
          <w:rFonts w:ascii="Calibri" w:hAnsi="Calibri" w:cs="Calibri"/>
          <w:color w:val="000000" w:themeColor="text1"/>
          <w:sz w:val="22"/>
          <w:szCs w:val="22"/>
          <w:lang w:val="en-GB"/>
        </w:rPr>
        <w:t>1</w:t>
      </w:r>
      <w:r w:rsidR="00996FAE" w:rsidRPr="007F23AD">
        <w:rPr>
          <w:rFonts w:ascii="Calibri" w:hAnsi="Calibri" w:cs="Calibri"/>
          <w:color w:val="000000" w:themeColor="text1"/>
          <w:sz w:val="22"/>
          <w:szCs w:val="22"/>
          <w:lang w:val="en-GB"/>
        </w:rPr>
        <w:t>,</w:t>
      </w:r>
      <w:r w:rsidR="00815927" w:rsidRPr="007F23AD">
        <w:rPr>
          <w:rFonts w:ascii="Calibri" w:hAnsi="Calibri" w:cs="Calibri"/>
          <w:color w:val="000000" w:themeColor="text1"/>
          <w:sz w:val="22"/>
          <w:szCs w:val="22"/>
          <w:lang w:val="en-GB"/>
        </w:rPr>
        <w:t>142</w:t>
      </w:r>
      <w:r w:rsidR="00BB7A93" w:rsidRPr="007F23AD">
        <w:rPr>
          <w:rFonts w:ascii="Calibri" w:hAnsi="Calibri" w:cs="Calibri"/>
          <w:color w:val="000000" w:themeColor="text1"/>
          <w:sz w:val="22"/>
          <w:szCs w:val="22"/>
          <w:lang w:val="en-GB"/>
        </w:rPr>
        <w:t xml:space="preserve"> </w:t>
      </w:r>
      <w:r w:rsidR="00BC43F9" w:rsidRPr="007F23AD">
        <w:rPr>
          <w:rFonts w:ascii="Calibri" w:hAnsi="Calibri" w:cs="Calibri"/>
          <w:color w:val="000000" w:themeColor="text1"/>
          <w:sz w:val="22"/>
          <w:szCs w:val="22"/>
          <w:lang w:val="en-GB"/>
        </w:rPr>
        <w:t>articles, 230 were deemed relevant for this study.</w:t>
      </w:r>
      <w:r w:rsidR="00D72074" w:rsidRPr="007F23AD">
        <w:rPr>
          <w:rFonts w:ascii="Calibri" w:hAnsi="Calibri" w:cs="Calibri"/>
          <w:color w:val="000000" w:themeColor="text1"/>
          <w:sz w:val="22"/>
          <w:szCs w:val="22"/>
          <w:lang w:val="en-GB"/>
        </w:rPr>
        <w:t xml:space="preserve"> </w:t>
      </w:r>
    </w:p>
    <w:p w14:paraId="49A2530B" w14:textId="77777777" w:rsidR="00124A3B" w:rsidRPr="007F23AD" w:rsidRDefault="00124A3B" w:rsidP="00C3226C">
      <w:pPr>
        <w:spacing w:line="480" w:lineRule="auto"/>
        <w:jc w:val="both"/>
        <w:rPr>
          <w:rFonts w:ascii="Calibri" w:hAnsi="Calibri" w:cs="Calibri"/>
          <w:color w:val="000000" w:themeColor="text1"/>
          <w:sz w:val="22"/>
          <w:szCs w:val="22"/>
          <w:lang w:val="en-GB"/>
        </w:rPr>
      </w:pPr>
    </w:p>
    <w:p w14:paraId="7E8F2522" w14:textId="488AD99A" w:rsidR="00666404" w:rsidRPr="007F23AD" w:rsidRDefault="00C04207" w:rsidP="003F1BA2">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In the second screening process, </w:t>
      </w:r>
      <w:r w:rsidR="0075120D" w:rsidRPr="007F23AD">
        <w:rPr>
          <w:rFonts w:ascii="Calibri" w:hAnsi="Calibri" w:cs="Calibri"/>
          <w:color w:val="000000" w:themeColor="text1"/>
          <w:sz w:val="22"/>
          <w:szCs w:val="22"/>
          <w:lang w:val="en-GB"/>
        </w:rPr>
        <w:t xml:space="preserve">the </w:t>
      </w:r>
      <w:r w:rsidRPr="007F23AD">
        <w:rPr>
          <w:rFonts w:ascii="Calibri" w:hAnsi="Calibri" w:cs="Calibri"/>
          <w:color w:val="000000" w:themeColor="text1"/>
          <w:sz w:val="22"/>
          <w:szCs w:val="22"/>
          <w:lang w:val="en-GB"/>
        </w:rPr>
        <w:t xml:space="preserve">abstract and conclusion of the articles </w:t>
      </w:r>
      <w:r w:rsidR="005F2C39" w:rsidRPr="007F23AD">
        <w:rPr>
          <w:rFonts w:ascii="Calibri" w:hAnsi="Calibri" w:cs="Calibri"/>
          <w:color w:val="000000" w:themeColor="text1"/>
          <w:sz w:val="22"/>
          <w:szCs w:val="22"/>
          <w:lang w:val="en-GB"/>
        </w:rPr>
        <w:t xml:space="preserve">were checked </w:t>
      </w:r>
      <w:r w:rsidRPr="007F23AD">
        <w:rPr>
          <w:rFonts w:ascii="Calibri" w:hAnsi="Calibri" w:cs="Calibri"/>
          <w:color w:val="000000" w:themeColor="text1"/>
          <w:sz w:val="22"/>
          <w:szCs w:val="22"/>
          <w:lang w:val="en-GB"/>
        </w:rPr>
        <w:t xml:space="preserve">to identify those that proposed potential supply chain risks for construction SMEs. Ultimately, </w:t>
      </w:r>
      <w:r w:rsidR="001E7136" w:rsidRPr="007F23AD">
        <w:rPr>
          <w:rFonts w:ascii="Calibri" w:hAnsi="Calibri" w:cs="Calibri"/>
          <w:color w:val="000000" w:themeColor="text1"/>
          <w:sz w:val="22"/>
          <w:szCs w:val="22"/>
          <w:lang w:val="en-GB"/>
        </w:rPr>
        <w:t>1</w:t>
      </w:r>
      <w:r w:rsidR="005D234C" w:rsidRPr="007F23AD">
        <w:rPr>
          <w:rFonts w:ascii="Calibri" w:hAnsi="Calibri" w:cs="Calibri"/>
          <w:color w:val="000000" w:themeColor="text1"/>
          <w:sz w:val="22"/>
          <w:szCs w:val="22"/>
          <w:lang w:val="en-GB"/>
        </w:rPr>
        <w:t>06</w:t>
      </w:r>
      <w:r w:rsidRPr="007F23AD">
        <w:rPr>
          <w:rFonts w:ascii="Calibri" w:hAnsi="Calibri" w:cs="Calibri"/>
          <w:color w:val="000000" w:themeColor="text1"/>
          <w:sz w:val="22"/>
          <w:szCs w:val="22"/>
          <w:lang w:val="en-GB"/>
        </w:rPr>
        <w:t xml:space="preserve"> articles were included in the paper list</w:t>
      </w:r>
      <w:r w:rsidR="003E2DD6" w:rsidRPr="007F23AD">
        <w:rPr>
          <w:rFonts w:ascii="Calibri" w:hAnsi="Calibri" w:cs="Calibri"/>
          <w:color w:val="000000" w:themeColor="text1"/>
          <w:sz w:val="22"/>
          <w:szCs w:val="22"/>
          <w:lang w:val="en-GB"/>
        </w:rPr>
        <w:t xml:space="preserve">. </w:t>
      </w:r>
      <w:r w:rsidR="00BC43F9" w:rsidRPr="007F23AD">
        <w:rPr>
          <w:rFonts w:ascii="Calibri" w:hAnsi="Calibri" w:cs="Calibri"/>
          <w:color w:val="000000" w:themeColor="text1"/>
          <w:sz w:val="22"/>
          <w:szCs w:val="22"/>
          <w:lang w:val="en-GB"/>
        </w:rPr>
        <w:t xml:space="preserve">This is because many papers did not explicitly mention SMEs, or their research content did not align with the supply chain risks faced by SMEs in the construction industry. </w:t>
      </w:r>
      <w:r w:rsidR="003E2DD6" w:rsidRPr="007F23AD">
        <w:rPr>
          <w:rFonts w:ascii="Calibri" w:hAnsi="Calibri" w:cs="Calibri"/>
          <w:color w:val="000000" w:themeColor="text1"/>
          <w:sz w:val="22"/>
          <w:szCs w:val="22"/>
          <w:lang w:val="en-GB"/>
        </w:rPr>
        <w:t xml:space="preserve">The distribution of </w:t>
      </w:r>
      <w:r w:rsidR="00563282">
        <w:rPr>
          <w:rFonts w:ascii="Calibri" w:hAnsi="Calibri" w:cs="Calibri" w:hint="eastAsia"/>
          <w:color w:val="000000" w:themeColor="text1"/>
          <w:sz w:val="22"/>
          <w:szCs w:val="22"/>
          <w:lang w:val="en-GB"/>
        </w:rPr>
        <w:t xml:space="preserve">104 </w:t>
      </w:r>
      <w:r w:rsidR="003E2DD6" w:rsidRPr="007F23AD">
        <w:rPr>
          <w:rFonts w:ascii="Calibri" w:hAnsi="Calibri" w:cs="Calibri"/>
          <w:color w:val="000000" w:themeColor="text1"/>
          <w:sz w:val="22"/>
          <w:szCs w:val="22"/>
          <w:lang w:val="en-GB"/>
        </w:rPr>
        <w:t>articles across AJG-rated journals is shown in the appendix.</w:t>
      </w:r>
    </w:p>
    <w:p w14:paraId="6EDC2714" w14:textId="77777777" w:rsidR="00666A4C" w:rsidRPr="007F23AD" w:rsidRDefault="00666A4C" w:rsidP="00C3226C">
      <w:pPr>
        <w:spacing w:line="480" w:lineRule="auto"/>
        <w:jc w:val="both"/>
        <w:rPr>
          <w:rFonts w:ascii="Calibri" w:hAnsi="Calibri" w:cs="Calibri"/>
          <w:color w:val="000000" w:themeColor="text1"/>
          <w:sz w:val="22"/>
          <w:szCs w:val="22"/>
          <w:lang w:val="en-GB"/>
        </w:rPr>
      </w:pPr>
    </w:p>
    <w:p w14:paraId="19930890" w14:textId="782F281A" w:rsidR="00B93903" w:rsidRPr="007F23AD" w:rsidRDefault="00942CC1" w:rsidP="00C3226C">
      <w:pPr>
        <w:pStyle w:val="a3"/>
        <w:numPr>
          <w:ilvl w:val="1"/>
          <w:numId w:val="2"/>
        </w:numPr>
        <w:spacing w:line="480" w:lineRule="auto"/>
        <w:jc w:val="both"/>
        <w:rPr>
          <w:rFonts w:ascii="Calibri" w:hAnsi="Calibri" w:cs="Calibri"/>
          <w:b/>
          <w:bCs/>
          <w:i/>
          <w:iCs/>
          <w:color w:val="000000" w:themeColor="text1"/>
          <w:sz w:val="22"/>
          <w:szCs w:val="22"/>
          <w:lang w:val="en-GB"/>
        </w:rPr>
      </w:pPr>
      <w:r w:rsidRPr="007F23AD">
        <w:rPr>
          <w:rFonts w:ascii="Calibri" w:hAnsi="Calibri" w:cs="Calibri"/>
          <w:b/>
          <w:bCs/>
          <w:i/>
          <w:iCs/>
          <w:color w:val="000000" w:themeColor="text1"/>
          <w:sz w:val="22"/>
          <w:szCs w:val="22"/>
          <w:lang w:val="en-GB"/>
        </w:rPr>
        <w:t>S</w:t>
      </w:r>
      <w:r w:rsidR="008E3200" w:rsidRPr="007F23AD">
        <w:rPr>
          <w:rFonts w:ascii="Calibri" w:hAnsi="Calibri" w:cs="Calibri"/>
          <w:b/>
          <w:bCs/>
          <w:i/>
          <w:iCs/>
          <w:color w:val="000000" w:themeColor="text1"/>
          <w:sz w:val="22"/>
          <w:szCs w:val="22"/>
          <w:lang w:val="en-GB"/>
        </w:rPr>
        <w:t>ynthesis of the articles</w:t>
      </w:r>
      <w:r w:rsidR="00B93903" w:rsidRPr="007F23AD">
        <w:rPr>
          <w:rFonts w:ascii="Calibri" w:hAnsi="Calibri" w:cs="Calibri"/>
          <w:b/>
          <w:bCs/>
          <w:i/>
          <w:iCs/>
          <w:color w:val="000000" w:themeColor="text1"/>
          <w:sz w:val="22"/>
          <w:szCs w:val="22"/>
          <w:lang w:val="en-GB"/>
        </w:rPr>
        <w:t xml:space="preserve"> </w:t>
      </w:r>
    </w:p>
    <w:p w14:paraId="602F9742" w14:textId="39E9AFBF" w:rsidR="00901471" w:rsidRPr="007F23AD" w:rsidRDefault="00F217BA" w:rsidP="00696AD2">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This study uses thematic analysis to classify </w:t>
      </w:r>
      <w:r w:rsidR="00A93DE6" w:rsidRPr="007F23AD">
        <w:rPr>
          <w:rFonts w:ascii="Calibri" w:hAnsi="Calibri" w:cs="Calibri"/>
          <w:color w:val="000000" w:themeColor="text1"/>
          <w:sz w:val="22"/>
          <w:szCs w:val="22"/>
          <w:lang w:val="en-GB"/>
        </w:rPr>
        <w:t>codes</w:t>
      </w:r>
      <w:r w:rsidRPr="007F23AD">
        <w:rPr>
          <w:rFonts w:ascii="Calibri" w:hAnsi="Calibri" w:cs="Calibri"/>
          <w:color w:val="000000" w:themeColor="text1"/>
          <w:sz w:val="22"/>
          <w:szCs w:val="22"/>
          <w:lang w:val="en-GB"/>
        </w:rPr>
        <w:t xml:space="preserve"> and create </w:t>
      </w:r>
      <w:r w:rsidR="007525C0" w:rsidRPr="007F23AD">
        <w:rPr>
          <w:rFonts w:ascii="Calibri" w:hAnsi="Calibri" w:cs="Calibri"/>
          <w:color w:val="000000" w:themeColor="text1"/>
          <w:sz w:val="22"/>
          <w:szCs w:val="22"/>
          <w:lang w:val="en-GB"/>
        </w:rPr>
        <w:t>themes</w:t>
      </w:r>
      <w:r w:rsidR="00780CCF" w:rsidRPr="007F23AD">
        <w:rPr>
          <w:rFonts w:ascii="Calibri" w:hAnsi="Calibri" w:cs="Calibri"/>
          <w:color w:val="000000" w:themeColor="text1"/>
          <w:sz w:val="22"/>
          <w:szCs w:val="22"/>
          <w:lang w:val="en-GB"/>
        </w:rPr>
        <w:t xml:space="preserve">. </w:t>
      </w:r>
      <w:r w:rsidR="00696AD2" w:rsidRPr="007F23AD">
        <w:rPr>
          <w:rFonts w:ascii="Calibri" w:hAnsi="Calibri" w:cs="Calibri"/>
          <w:color w:val="000000" w:themeColor="text1"/>
          <w:sz w:val="22"/>
          <w:szCs w:val="22"/>
          <w:lang w:val="en-GB"/>
        </w:rPr>
        <w:t>For a systematic coding and generation of themes within the literature, we employed the NVivo 12 software tool. All 1</w:t>
      </w:r>
      <w:r w:rsidR="00D4469E" w:rsidRPr="007F23AD">
        <w:rPr>
          <w:rFonts w:ascii="Calibri" w:hAnsi="Calibri" w:cs="Calibri"/>
          <w:color w:val="000000" w:themeColor="text1"/>
          <w:sz w:val="22"/>
          <w:szCs w:val="22"/>
          <w:lang w:val="en-GB"/>
        </w:rPr>
        <w:t>06</w:t>
      </w:r>
      <w:r w:rsidR="00696AD2" w:rsidRPr="007F23AD">
        <w:rPr>
          <w:rFonts w:ascii="Calibri" w:hAnsi="Calibri" w:cs="Calibri"/>
          <w:color w:val="000000" w:themeColor="text1"/>
          <w:sz w:val="22"/>
          <w:szCs w:val="22"/>
          <w:lang w:val="en-GB"/>
        </w:rPr>
        <w:t xml:space="preserve"> articles were imported into the tool, and cod</w:t>
      </w:r>
      <w:r w:rsidR="00ED3FB5" w:rsidRPr="007F23AD">
        <w:rPr>
          <w:rFonts w:ascii="Calibri" w:hAnsi="Calibri" w:cs="Calibri"/>
          <w:color w:val="000000" w:themeColor="text1"/>
          <w:sz w:val="22"/>
          <w:szCs w:val="22"/>
          <w:lang w:val="en-GB"/>
        </w:rPr>
        <w:t xml:space="preserve">es were </w:t>
      </w:r>
      <w:r w:rsidR="0003551B" w:rsidRPr="007F23AD">
        <w:rPr>
          <w:rFonts w:ascii="Calibri" w:hAnsi="Calibri" w:cs="Calibri"/>
          <w:color w:val="000000" w:themeColor="text1"/>
          <w:sz w:val="22"/>
          <w:szCs w:val="22"/>
          <w:lang w:val="en-GB"/>
        </w:rPr>
        <w:t xml:space="preserve">inductively </w:t>
      </w:r>
      <w:r w:rsidR="00ED3FB5" w:rsidRPr="007F23AD">
        <w:rPr>
          <w:rFonts w:ascii="Calibri" w:hAnsi="Calibri" w:cs="Calibri"/>
          <w:color w:val="000000" w:themeColor="text1"/>
          <w:sz w:val="22"/>
          <w:szCs w:val="22"/>
          <w:lang w:val="en-GB"/>
        </w:rPr>
        <w:t>developed</w:t>
      </w:r>
      <w:r w:rsidR="003606AC" w:rsidRPr="007F23AD">
        <w:rPr>
          <w:rFonts w:ascii="Calibri" w:hAnsi="Calibri" w:cs="Calibri"/>
          <w:color w:val="000000" w:themeColor="text1"/>
          <w:sz w:val="22"/>
          <w:szCs w:val="22"/>
          <w:lang w:val="en-GB"/>
        </w:rPr>
        <w:t>.</w:t>
      </w:r>
      <w:r w:rsidR="00DE47D3" w:rsidRPr="007F23AD">
        <w:rPr>
          <w:rFonts w:ascii="Calibri" w:hAnsi="Calibri" w:cs="Calibri"/>
          <w:color w:val="000000" w:themeColor="text1"/>
          <w:sz w:val="22"/>
          <w:szCs w:val="22"/>
          <w:lang w:val="en-GB"/>
        </w:rPr>
        <w:t xml:space="preserve"> </w:t>
      </w:r>
      <w:r w:rsidR="00320A49" w:rsidRPr="007F23AD">
        <w:rPr>
          <w:rFonts w:ascii="Calibri" w:hAnsi="Calibri" w:cs="Calibri"/>
          <w:color w:val="000000" w:themeColor="text1"/>
          <w:sz w:val="22"/>
          <w:szCs w:val="22"/>
          <w:lang w:val="en-GB"/>
        </w:rPr>
        <w:t xml:space="preserve">Based on a comprehensive understanding of the article, initial codes were generated to </w:t>
      </w:r>
      <w:r w:rsidR="00B45599" w:rsidRPr="007F23AD">
        <w:rPr>
          <w:rFonts w:ascii="Calibri" w:hAnsi="Calibri" w:cs="Calibri"/>
          <w:color w:val="000000" w:themeColor="text1"/>
          <w:sz w:val="22"/>
          <w:szCs w:val="22"/>
          <w:lang w:val="en-GB"/>
        </w:rPr>
        <w:t>outline the risks</w:t>
      </w:r>
      <w:r w:rsidR="00320A49" w:rsidRPr="007F23AD">
        <w:rPr>
          <w:rFonts w:ascii="Calibri" w:hAnsi="Calibri" w:cs="Calibri"/>
          <w:color w:val="000000" w:themeColor="text1"/>
          <w:sz w:val="22"/>
          <w:szCs w:val="22"/>
          <w:lang w:val="en-GB"/>
        </w:rPr>
        <w:t>. These codes were then categori</w:t>
      </w:r>
      <w:r w:rsidR="001341CB" w:rsidRPr="007F23AD">
        <w:rPr>
          <w:rFonts w:ascii="Calibri" w:hAnsi="Calibri" w:cs="Calibri"/>
          <w:color w:val="000000" w:themeColor="text1"/>
          <w:sz w:val="22"/>
          <w:szCs w:val="22"/>
          <w:lang w:val="en-GB"/>
        </w:rPr>
        <w:t>s</w:t>
      </w:r>
      <w:r w:rsidR="00320A49" w:rsidRPr="007F23AD">
        <w:rPr>
          <w:rFonts w:ascii="Calibri" w:hAnsi="Calibri" w:cs="Calibri"/>
          <w:color w:val="000000" w:themeColor="text1"/>
          <w:sz w:val="22"/>
          <w:szCs w:val="22"/>
          <w:lang w:val="en-GB"/>
        </w:rPr>
        <w:t xml:space="preserve">ed based on their attributes and shared characteristics. </w:t>
      </w:r>
      <w:r w:rsidR="00A0038C" w:rsidRPr="007F23AD">
        <w:rPr>
          <w:rFonts w:ascii="Calibri" w:hAnsi="Calibri" w:cs="Calibri"/>
          <w:color w:val="000000" w:themeColor="text1"/>
          <w:sz w:val="22"/>
          <w:szCs w:val="22"/>
          <w:lang w:val="en-GB"/>
        </w:rPr>
        <w:t xml:space="preserve">As shown in </w:t>
      </w:r>
      <w:r w:rsidR="008C4A16" w:rsidRPr="007F23AD">
        <w:rPr>
          <w:rFonts w:ascii="Calibri" w:hAnsi="Calibri" w:cs="Calibri"/>
          <w:color w:val="000000" w:themeColor="text1"/>
          <w:sz w:val="22"/>
          <w:szCs w:val="22"/>
          <w:lang w:val="en-GB"/>
        </w:rPr>
        <w:t>f</w:t>
      </w:r>
      <w:r w:rsidR="00A0038C" w:rsidRPr="007F23AD">
        <w:rPr>
          <w:rFonts w:ascii="Calibri" w:hAnsi="Calibri" w:cs="Calibri"/>
          <w:color w:val="000000" w:themeColor="text1"/>
          <w:sz w:val="22"/>
          <w:szCs w:val="22"/>
          <w:lang w:val="en-GB"/>
        </w:rPr>
        <w:t xml:space="preserve">igure 3, </w:t>
      </w:r>
      <w:r w:rsidR="008C4A16" w:rsidRPr="007F23AD">
        <w:rPr>
          <w:rFonts w:ascii="Calibri" w:hAnsi="Calibri" w:cs="Calibri"/>
          <w:color w:val="000000" w:themeColor="text1"/>
          <w:sz w:val="22"/>
          <w:szCs w:val="22"/>
          <w:lang w:val="en-GB"/>
        </w:rPr>
        <w:t>c</w:t>
      </w:r>
      <w:r w:rsidR="00A0038C" w:rsidRPr="007F23AD">
        <w:rPr>
          <w:rFonts w:ascii="Calibri" w:hAnsi="Calibri" w:cs="Calibri"/>
          <w:color w:val="000000" w:themeColor="text1"/>
          <w:sz w:val="22"/>
          <w:szCs w:val="22"/>
          <w:lang w:val="en-GB"/>
        </w:rPr>
        <w:t xml:space="preserve">ollaboration </w:t>
      </w:r>
      <w:r w:rsidR="008C4A16"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isks, </w:t>
      </w:r>
      <w:r w:rsidR="008C4A16" w:rsidRPr="007F23AD">
        <w:rPr>
          <w:rFonts w:ascii="Calibri" w:hAnsi="Calibri" w:cs="Calibri"/>
          <w:color w:val="000000" w:themeColor="text1"/>
          <w:sz w:val="22"/>
          <w:szCs w:val="22"/>
          <w:lang w:val="en-GB"/>
        </w:rPr>
        <w:t>c</w:t>
      </w:r>
      <w:r w:rsidR="00A0038C" w:rsidRPr="007F23AD">
        <w:rPr>
          <w:rFonts w:ascii="Calibri" w:hAnsi="Calibri" w:cs="Calibri"/>
          <w:color w:val="000000" w:themeColor="text1"/>
          <w:sz w:val="22"/>
          <w:szCs w:val="22"/>
          <w:lang w:val="en-GB"/>
        </w:rPr>
        <w:t xml:space="preserve">ontractual </w:t>
      </w:r>
      <w:r w:rsidR="008C4A16"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isks, </w:t>
      </w:r>
      <w:r w:rsidR="008C4A16"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trategy </w:t>
      </w:r>
      <w:r w:rsidR="008C4A16"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isks, and </w:t>
      </w:r>
      <w:r w:rsidR="008C4A16"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takeholder </w:t>
      </w:r>
      <w:r w:rsidR="008C4A16"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isks fall under the </w:t>
      </w:r>
      <w:r w:rsidR="008C4A16" w:rsidRPr="007F23AD">
        <w:rPr>
          <w:rFonts w:ascii="Calibri" w:hAnsi="Calibri" w:cs="Calibri"/>
          <w:color w:val="000000" w:themeColor="text1"/>
          <w:sz w:val="22"/>
          <w:szCs w:val="22"/>
          <w:lang w:val="en-GB"/>
        </w:rPr>
        <w:t>m</w:t>
      </w:r>
      <w:r w:rsidR="00A0038C" w:rsidRPr="007F23AD">
        <w:rPr>
          <w:rFonts w:ascii="Calibri" w:hAnsi="Calibri" w:cs="Calibri"/>
          <w:color w:val="000000" w:themeColor="text1"/>
          <w:sz w:val="22"/>
          <w:szCs w:val="22"/>
          <w:lang w:val="en-GB"/>
        </w:rPr>
        <w:t xml:space="preserve">anagement and </w:t>
      </w:r>
      <w:r w:rsidR="004F6976"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trategy themes due to their relation to management concepts. Implementation </w:t>
      </w:r>
      <w:r w:rsidR="004F6976"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 and </w:t>
      </w:r>
      <w:r w:rsidR="004F6976"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afety Risk occur during operations, categori</w:t>
      </w:r>
      <w:r w:rsidR="004F6976"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ed under the </w:t>
      </w:r>
      <w:r w:rsidR="004F6976" w:rsidRPr="007F23AD">
        <w:rPr>
          <w:rFonts w:ascii="Calibri" w:hAnsi="Calibri" w:cs="Calibri"/>
          <w:color w:val="000000" w:themeColor="text1"/>
          <w:sz w:val="22"/>
          <w:szCs w:val="22"/>
          <w:lang w:val="en-GB"/>
        </w:rPr>
        <w:t>o</w:t>
      </w:r>
      <w:r w:rsidR="00A0038C" w:rsidRPr="007F23AD">
        <w:rPr>
          <w:rFonts w:ascii="Calibri" w:hAnsi="Calibri" w:cs="Calibri"/>
          <w:color w:val="000000" w:themeColor="text1"/>
          <w:sz w:val="22"/>
          <w:szCs w:val="22"/>
          <w:lang w:val="en-GB"/>
        </w:rPr>
        <w:t xml:space="preserve">perations and </w:t>
      </w:r>
      <w:r w:rsidR="004F6976" w:rsidRPr="007F23AD">
        <w:rPr>
          <w:rFonts w:ascii="Calibri" w:hAnsi="Calibri" w:cs="Calibri"/>
          <w:color w:val="000000" w:themeColor="text1"/>
          <w:sz w:val="22"/>
          <w:szCs w:val="22"/>
          <w:lang w:val="en-GB"/>
        </w:rPr>
        <w:t>p</w:t>
      </w:r>
      <w:r w:rsidR="00A0038C" w:rsidRPr="007F23AD">
        <w:rPr>
          <w:rFonts w:ascii="Calibri" w:hAnsi="Calibri" w:cs="Calibri"/>
          <w:color w:val="000000" w:themeColor="text1"/>
          <w:sz w:val="22"/>
          <w:szCs w:val="22"/>
          <w:lang w:val="en-GB"/>
        </w:rPr>
        <w:t xml:space="preserve">rocess theme. Technology </w:t>
      </w:r>
      <w:r w:rsidR="000F08DC"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 xml:space="preserve">isks and </w:t>
      </w:r>
      <w:r w:rsidR="000F08DC" w:rsidRPr="007F23AD">
        <w:rPr>
          <w:rFonts w:ascii="Calibri" w:hAnsi="Calibri" w:cs="Calibri"/>
          <w:color w:val="000000" w:themeColor="text1"/>
          <w:sz w:val="22"/>
          <w:szCs w:val="22"/>
          <w:lang w:val="en-GB"/>
        </w:rPr>
        <w:t>e</w:t>
      </w:r>
      <w:r w:rsidR="00A0038C" w:rsidRPr="007F23AD">
        <w:rPr>
          <w:rFonts w:ascii="Calibri" w:hAnsi="Calibri" w:cs="Calibri"/>
          <w:color w:val="000000" w:themeColor="text1"/>
          <w:sz w:val="22"/>
          <w:szCs w:val="22"/>
          <w:lang w:val="en-GB"/>
        </w:rPr>
        <w:t xml:space="preserve">nvironmental </w:t>
      </w:r>
      <w:r w:rsidR="000F08DC" w:rsidRPr="007F23AD">
        <w:rPr>
          <w:rFonts w:ascii="Calibri" w:hAnsi="Calibri" w:cs="Calibri"/>
          <w:color w:val="000000" w:themeColor="text1"/>
          <w:sz w:val="22"/>
          <w:szCs w:val="22"/>
          <w:lang w:val="en-GB"/>
        </w:rPr>
        <w:t>r</w:t>
      </w:r>
      <w:r w:rsidR="00A0038C" w:rsidRPr="007F23AD">
        <w:rPr>
          <w:rFonts w:ascii="Calibri" w:hAnsi="Calibri" w:cs="Calibri"/>
          <w:color w:val="000000" w:themeColor="text1"/>
          <w:sz w:val="22"/>
          <w:szCs w:val="22"/>
          <w:lang w:val="en-GB"/>
        </w:rPr>
        <w:t>isks impact organi</w:t>
      </w:r>
      <w:r w:rsidR="000F08DC"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ational sustainability and are classified under the </w:t>
      </w:r>
      <w:r w:rsidR="000F08DC" w:rsidRPr="007F23AD">
        <w:rPr>
          <w:rFonts w:ascii="Calibri" w:hAnsi="Calibri" w:cs="Calibri"/>
          <w:color w:val="000000" w:themeColor="text1"/>
          <w:sz w:val="22"/>
          <w:szCs w:val="22"/>
          <w:lang w:val="en-GB"/>
        </w:rPr>
        <w:t>s</w:t>
      </w:r>
      <w:r w:rsidR="00A0038C" w:rsidRPr="007F23AD">
        <w:rPr>
          <w:rFonts w:ascii="Calibri" w:hAnsi="Calibri" w:cs="Calibri"/>
          <w:color w:val="000000" w:themeColor="text1"/>
          <w:sz w:val="22"/>
          <w:szCs w:val="22"/>
          <w:lang w:val="en-GB"/>
        </w:rPr>
        <w:t xml:space="preserve">ustainability theme. The lead authors reviewed, defined, and generated the SME supply chain risk report for these themes. </w:t>
      </w:r>
      <w:r w:rsidR="00320A49" w:rsidRPr="007F23AD">
        <w:rPr>
          <w:rFonts w:ascii="Calibri" w:hAnsi="Calibri" w:cs="Calibri"/>
          <w:color w:val="000000" w:themeColor="text1"/>
          <w:sz w:val="22"/>
          <w:szCs w:val="22"/>
          <w:lang w:val="en-GB"/>
        </w:rPr>
        <w:t xml:space="preserve">These themes are ultimately </w:t>
      </w:r>
      <w:r w:rsidR="009C496D" w:rsidRPr="007F23AD">
        <w:rPr>
          <w:rFonts w:ascii="Calibri" w:hAnsi="Calibri" w:cs="Calibri"/>
          <w:color w:val="000000" w:themeColor="text1"/>
          <w:sz w:val="22"/>
          <w:szCs w:val="22"/>
          <w:lang w:val="en-GB"/>
        </w:rPr>
        <w:t>reflected</w:t>
      </w:r>
      <w:r w:rsidR="00320A49" w:rsidRPr="007F23AD">
        <w:rPr>
          <w:rFonts w:ascii="Calibri" w:hAnsi="Calibri" w:cs="Calibri"/>
          <w:color w:val="000000" w:themeColor="text1"/>
          <w:sz w:val="22"/>
          <w:szCs w:val="22"/>
          <w:lang w:val="en-GB"/>
        </w:rPr>
        <w:t xml:space="preserve"> in the SME's </w:t>
      </w:r>
      <w:r w:rsidR="000F08DC" w:rsidRPr="007F23AD">
        <w:rPr>
          <w:rFonts w:ascii="Calibri" w:hAnsi="Calibri" w:cs="Calibri"/>
          <w:color w:val="000000" w:themeColor="text1"/>
          <w:sz w:val="22"/>
          <w:szCs w:val="22"/>
          <w:lang w:val="en-GB"/>
        </w:rPr>
        <w:t>s</w:t>
      </w:r>
      <w:r w:rsidR="00320A49" w:rsidRPr="007F23AD">
        <w:rPr>
          <w:rFonts w:ascii="Calibri" w:hAnsi="Calibri" w:cs="Calibri"/>
          <w:color w:val="000000" w:themeColor="text1"/>
          <w:sz w:val="22"/>
          <w:szCs w:val="22"/>
          <w:lang w:val="en-GB"/>
        </w:rPr>
        <w:t xml:space="preserve">upply </w:t>
      </w:r>
      <w:r w:rsidR="000F08DC" w:rsidRPr="007F23AD">
        <w:rPr>
          <w:rFonts w:ascii="Calibri" w:hAnsi="Calibri" w:cs="Calibri"/>
          <w:color w:val="000000" w:themeColor="text1"/>
          <w:sz w:val="22"/>
          <w:szCs w:val="22"/>
          <w:lang w:val="en-GB"/>
        </w:rPr>
        <w:t>c</w:t>
      </w:r>
      <w:r w:rsidR="00320A49" w:rsidRPr="007F23AD">
        <w:rPr>
          <w:rFonts w:ascii="Calibri" w:hAnsi="Calibri" w:cs="Calibri"/>
          <w:color w:val="000000" w:themeColor="text1"/>
          <w:sz w:val="22"/>
          <w:szCs w:val="22"/>
          <w:lang w:val="en-GB"/>
        </w:rPr>
        <w:t xml:space="preserve">hain </w:t>
      </w:r>
      <w:r w:rsidR="000F08DC" w:rsidRPr="007F23AD">
        <w:rPr>
          <w:rFonts w:ascii="Calibri" w:hAnsi="Calibri" w:cs="Calibri"/>
          <w:color w:val="000000" w:themeColor="text1"/>
          <w:sz w:val="22"/>
          <w:szCs w:val="22"/>
          <w:lang w:val="en-GB"/>
        </w:rPr>
        <w:t>r</w:t>
      </w:r>
      <w:r w:rsidR="00320A49" w:rsidRPr="007F23AD">
        <w:rPr>
          <w:rFonts w:ascii="Calibri" w:hAnsi="Calibri" w:cs="Calibri"/>
          <w:color w:val="000000" w:themeColor="text1"/>
          <w:sz w:val="22"/>
          <w:szCs w:val="22"/>
          <w:lang w:val="en-GB"/>
        </w:rPr>
        <w:t xml:space="preserve">isk </w:t>
      </w:r>
      <w:r w:rsidR="000F08DC" w:rsidRPr="007F23AD">
        <w:rPr>
          <w:rFonts w:ascii="Calibri" w:hAnsi="Calibri" w:cs="Calibri"/>
          <w:color w:val="000000" w:themeColor="text1"/>
          <w:sz w:val="22"/>
          <w:szCs w:val="22"/>
          <w:lang w:val="en-GB"/>
        </w:rPr>
        <w:t>r</w:t>
      </w:r>
      <w:r w:rsidR="00320A49" w:rsidRPr="007F23AD">
        <w:rPr>
          <w:rFonts w:ascii="Calibri" w:hAnsi="Calibri" w:cs="Calibri"/>
          <w:color w:val="000000" w:themeColor="text1"/>
          <w:sz w:val="22"/>
          <w:szCs w:val="22"/>
          <w:lang w:val="en-GB"/>
        </w:rPr>
        <w:t>eport.</w:t>
      </w:r>
    </w:p>
    <w:p w14:paraId="29F8126C" w14:textId="77777777" w:rsidR="00901471" w:rsidRPr="007F23AD" w:rsidRDefault="00901471" w:rsidP="00696AD2">
      <w:pPr>
        <w:spacing w:line="480" w:lineRule="auto"/>
        <w:jc w:val="both"/>
        <w:rPr>
          <w:rFonts w:ascii="Calibri" w:hAnsi="Calibri" w:cs="Calibri"/>
          <w:color w:val="000000" w:themeColor="text1"/>
          <w:sz w:val="22"/>
          <w:szCs w:val="22"/>
          <w:lang w:val="en-GB"/>
        </w:rPr>
      </w:pPr>
    </w:p>
    <w:p w14:paraId="3F73AF19" w14:textId="60894F0A" w:rsidR="00955607" w:rsidRPr="007F23AD" w:rsidRDefault="000A30D4" w:rsidP="5D05CA5E">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 xml:space="preserve">During the thematic analysis, </w:t>
      </w:r>
      <w:r w:rsidR="00DD2076" w:rsidRPr="007F23AD">
        <w:rPr>
          <w:rFonts w:ascii="Calibri" w:hAnsi="Calibri" w:cs="Calibri"/>
          <w:color w:val="000000" w:themeColor="text1"/>
          <w:sz w:val="22"/>
          <w:szCs w:val="22"/>
          <w:lang w:val="en-GB"/>
        </w:rPr>
        <w:t>the authors iteratively reviewed and discussed the coding framework during fortnightly progress meetings.</w:t>
      </w:r>
      <w:r w:rsidRPr="007F23AD">
        <w:rPr>
          <w:rFonts w:ascii="Calibri" w:hAnsi="Calibri" w:cs="Calibri"/>
          <w:color w:val="000000" w:themeColor="text1"/>
          <w:sz w:val="22"/>
          <w:szCs w:val="22"/>
          <w:lang w:val="en-GB"/>
        </w:rPr>
        <w:t xml:space="preserve"> The authors shared their interpretations and </w:t>
      </w:r>
      <w:r w:rsidRPr="007F23AD">
        <w:rPr>
          <w:rFonts w:ascii="Calibri" w:hAnsi="Calibri" w:cs="Calibri"/>
          <w:color w:val="000000" w:themeColor="text1"/>
          <w:sz w:val="22"/>
          <w:szCs w:val="22"/>
          <w:lang w:val="en-GB"/>
        </w:rPr>
        <w:lastRenderedPageBreak/>
        <w:t xml:space="preserve">collaboratively decided on the inclusion and exclusion of specific codes and themes, ultimately reaching a </w:t>
      </w:r>
      <w:r w:rsidR="00835BF7" w:rsidRPr="007F23AD">
        <w:rPr>
          <w:rFonts w:ascii="Calibri" w:hAnsi="Calibri" w:cs="Calibri"/>
          <w:color w:val="000000" w:themeColor="text1"/>
          <w:sz w:val="22"/>
          <w:szCs w:val="22"/>
          <w:lang w:val="en-GB"/>
        </w:rPr>
        <w:t>consensus to</w:t>
      </w:r>
      <w:r w:rsidRPr="007F23AD">
        <w:rPr>
          <w:rFonts w:ascii="Calibri" w:hAnsi="Calibri" w:cs="Calibri"/>
          <w:color w:val="000000" w:themeColor="text1"/>
          <w:sz w:val="22"/>
          <w:szCs w:val="22"/>
          <w:lang w:val="en-GB"/>
        </w:rPr>
        <w:t xml:space="preserve"> ensure a consistent and comprehensive approach to data analysis. </w:t>
      </w:r>
      <w:r w:rsidR="00696AD2" w:rsidRPr="007F23AD">
        <w:rPr>
          <w:rFonts w:ascii="Calibri" w:hAnsi="Calibri" w:cs="Calibri"/>
          <w:color w:val="000000" w:themeColor="text1"/>
          <w:sz w:val="22"/>
          <w:szCs w:val="22"/>
          <w:lang w:val="en-GB"/>
        </w:rPr>
        <w:t>Utili</w:t>
      </w:r>
      <w:r w:rsidR="003E60DC" w:rsidRPr="007F23AD">
        <w:rPr>
          <w:rFonts w:ascii="Calibri" w:hAnsi="Calibri" w:cs="Calibri"/>
          <w:color w:val="000000" w:themeColor="text1"/>
          <w:sz w:val="22"/>
          <w:szCs w:val="22"/>
          <w:lang w:val="en-GB"/>
        </w:rPr>
        <w:t>s</w:t>
      </w:r>
      <w:r w:rsidR="00696AD2" w:rsidRPr="007F23AD">
        <w:rPr>
          <w:rFonts w:ascii="Calibri" w:hAnsi="Calibri" w:cs="Calibri"/>
          <w:color w:val="000000" w:themeColor="text1"/>
          <w:sz w:val="22"/>
          <w:szCs w:val="22"/>
          <w:lang w:val="en-GB"/>
        </w:rPr>
        <w:t xml:space="preserve">ing the six-step process of thematic analysis, this study was able to identify </w:t>
      </w:r>
      <w:r w:rsidR="00383280" w:rsidRPr="007F23AD">
        <w:rPr>
          <w:rFonts w:ascii="Calibri" w:hAnsi="Calibri" w:cs="Calibri"/>
          <w:color w:val="000000" w:themeColor="text1"/>
          <w:sz w:val="22"/>
          <w:szCs w:val="22"/>
          <w:lang w:val="en-GB"/>
        </w:rPr>
        <w:t>eight</w:t>
      </w:r>
      <w:r w:rsidR="00696AD2" w:rsidRPr="007F23AD">
        <w:rPr>
          <w:rFonts w:ascii="Calibri" w:hAnsi="Calibri" w:cs="Calibri"/>
          <w:color w:val="000000" w:themeColor="text1"/>
          <w:sz w:val="22"/>
          <w:szCs w:val="22"/>
          <w:lang w:val="en-GB"/>
        </w:rPr>
        <w:t xml:space="preserve"> significant supply chain</w:t>
      </w:r>
      <w:r w:rsidR="00383280" w:rsidRPr="007F23AD">
        <w:rPr>
          <w:rFonts w:cs="Calibri"/>
          <w:color w:val="000000" w:themeColor="text1"/>
          <w:lang w:val="en-GB"/>
        </w:rPr>
        <w:t xml:space="preserve"> </w:t>
      </w:r>
      <w:r w:rsidR="00696AD2" w:rsidRPr="007F23AD">
        <w:rPr>
          <w:rFonts w:ascii="Calibri" w:hAnsi="Calibri" w:cs="Calibri"/>
          <w:color w:val="000000" w:themeColor="text1"/>
          <w:sz w:val="22"/>
          <w:szCs w:val="22"/>
          <w:lang w:val="en-GB"/>
        </w:rPr>
        <w:t xml:space="preserve">risks within the </w:t>
      </w:r>
      <w:r w:rsidR="00AF6406" w:rsidRPr="007F23AD">
        <w:rPr>
          <w:rFonts w:ascii="Calibri" w:hAnsi="Calibri" w:cs="Calibri"/>
          <w:color w:val="000000" w:themeColor="text1"/>
          <w:sz w:val="22"/>
          <w:szCs w:val="22"/>
          <w:lang w:val="en-GB"/>
        </w:rPr>
        <w:t>three</w:t>
      </w:r>
      <w:r w:rsidR="00696AD2" w:rsidRPr="007F23AD">
        <w:rPr>
          <w:rFonts w:ascii="Calibri" w:hAnsi="Calibri" w:cs="Calibri"/>
          <w:color w:val="000000" w:themeColor="text1"/>
          <w:sz w:val="22"/>
          <w:szCs w:val="22"/>
          <w:lang w:val="en-GB"/>
        </w:rPr>
        <w:t xml:space="preserve"> </w:t>
      </w:r>
      <w:r w:rsidR="005D234C" w:rsidRPr="007F23AD">
        <w:rPr>
          <w:rFonts w:ascii="Calibri" w:hAnsi="Calibri" w:cs="Calibri"/>
          <w:color w:val="000000" w:themeColor="text1"/>
          <w:sz w:val="22"/>
          <w:szCs w:val="22"/>
          <w:lang w:val="en-GB"/>
        </w:rPr>
        <w:t>themes</w:t>
      </w:r>
      <w:r w:rsidR="00696AD2" w:rsidRPr="007F23AD">
        <w:rPr>
          <w:rFonts w:ascii="Calibri" w:hAnsi="Calibri" w:cs="Calibri"/>
          <w:color w:val="000000" w:themeColor="text1"/>
          <w:sz w:val="22"/>
          <w:szCs w:val="22"/>
          <w:lang w:val="en-GB"/>
        </w:rPr>
        <w:t xml:space="preserve"> encountered by SMEs in the construction industry, which are discussed in detail in the results section.</w:t>
      </w:r>
      <w:r w:rsidR="00835BF7" w:rsidRPr="007F23AD">
        <w:rPr>
          <w:rFonts w:ascii="Calibri" w:hAnsi="Calibri" w:cs="Calibri"/>
          <w:color w:val="000000" w:themeColor="text1"/>
          <w:sz w:val="22"/>
          <w:szCs w:val="22"/>
          <w:lang w:val="en-GB"/>
        </w:rPr>
        <w:t xml:space="preserve"> </w:t>
      </w:r>
      <w:r w:rsidR="30D5EB83" w:rsidRPr="007F23AD">
        <w:rPr>
          <w:rFonts w:ascii="Calibri" w:hAnsi="Calibri" w:cs="Calibri"/>
          <w:color w:val="000000" w:themeColor="text1"/>
          <w:sz w:val="22"/>
          <w:szCs w:val="22"/>
        </w:rPr>
        <w:t xml:space="preserve">It is </w:t>
      </w:r>
      <w:r w:rsidR="7CD09102" w:rsidRPr="007F23AD">
        <w:rPr>
          <w:rFonts w:ascii="Calibri" w:hAnsi="Calibri" w:cs="Calibri"/>
          <w:color w:val="000000" w:themeColor="text1"/>
          <w:sz w:val="22"/>
          <w:szCs w:val="22"/>
        </w:rPr>
        <w:t xml:space="preserve">notable </w:t>
      </w:r>
      <w:r w:rsidR="30D5EB83" w:rsidRPr="007F23AD">
        <w:rPr>
          <w:rFonts w:ascii="Calibri" w:hAnsi="Calibri" w:cs="Calibri"/>
          <w:color w:val="000000" w:themeColor="text1"/>
          <w:sz w:val="22"/>
          <w:szCs w:val="22"/>
        </w:rPr>
        <w:t xml:space="preserve">that the identified themes and codes in </w:t>
      </w:r>
      <w:r w:rsidR="41057B32" w:rsidRPr="007F23AD">
        <w:rPr>
          <w:rFonts w:ascii="Calibri" w:hAnsi="Calibri" w:cs="Calibri"/>
          <w:color w:val="000000" w:themeColor="text1"/>
          <w:sz w:val="22"/>
          <w:szCs w:val="22"/>
        </w:rPr>
        <w:t xml:space="preserve">phase </w:t>
      </w:r>
      <w:r w:rsidR="30D5EB83" w:rsidRPr="007F23AD">
        <w:rPr>
          <w:rFonts w:ascii="Calibri" w:hAnsi="Calibri" w:cs="Calibri"/>
          <w:color w:val="000000" w:themeColor="text1"/>
          <w:sz w:val="22"/>
          <w:szCs w:val="22"/>
        </w:rPr>
        <w:t xml:space="preserve">6 are relevant to the construction industry in general, affecting firms both large and small. In </w:t>
      </w:r>
      <w:r w:rsidR="4EFC4C3F" w:rsidRPr="007F23AD">
        <w:rPr>
          <w:rFonts w:ascii="Calibri" w:hAnsi="Calibri" w:cs="Calibri"/>
          <w:color w:val="000000" w:themeColor="text1"/>
          <w:sz w:val="22"/>
          <w:szCs w:val="22"/>
        </w:rPr>
        <w:t xml:space="preserve">our analysis </w:t>
      </w:r>
      <w:r w:rsidR="7144D387" w:rsidRPr="007F23AD">
        <w:rPr>
          <w:rFonts w:ascii="Calibri" w:hAnsi="Calibri" w:cs="Calibri"/>
          <w:color w:val="000000" w:themeColor="text1"/>
          <w:sz w:val="22"/>
          <w:szCs w:val="22"/>
        </w:rPr>
        <w:t xml:space="preserve">of the literature </w:t>
      </w:r>
      <w:r w:rsidR="4EFC4C3F" w:rsidRPr="007F23AD">
        <w:rPr>
          <w:rFonts w:ascii="Calibri" w:hAnsi="Calibri" w:cs="Calibri"/>
          <w:color w:val="000000" w:themeColor="text1"/>
          <w:sz w:val="22"/>
          <w:szCs w:val="22"/>
        </w:rPr>
        <w:t xml:space="preserve">we focus specifically on how </w:t>
      </w:r>
      <w:r w:rsidR="00835BF7" w:rsidRPr="007F23AD">
        <w:rPr>
          <w:rFonts w:ascii="Calibri" w:hAnsi="Calibri" w:cs="Calibri"/>
          <w:color w:val="000000" w:themeColor="text1"/>
          <w:sz w:val="22"/>
          <w:szCs w:val="22"/>
        </w:rPr>
        <w:t>SMEs</w:t>
      </w:r>
      <w:r w:rsidR="4EFC4C3F" w:rsidRPr="007F23AD">
        <w:rPr>
          <w:rFonts w:ascii="Calibri" w:hAnsi="Calibri" w:cs="Calibri"/>
          <w:color w:val="000000" w:themeColor="text1"/>
          <w:sz w:val="22"/>
          <w:szCs w:val="22"/>
        </w:rPr>
        <w:t xml:space="preserve"> are affected, </w:t>
      </w:r>
      <w:r w:rsidR="2D432DA6" w:rsidRPr="007F23AD">
        <w:rPr>
          <w:rFonts w:ascii="Calibri" w:hAnsi="Calibri" w:cs="Calibri"/>
          <w:color w:val="000000" w:themeColor="text1"/>
          <w:sz w:val="22"/>
          <w:szCs w:val="22"/>
        </w:rPr>
        <w:t xml:space="preserve">allowing the development of a clear understanding of the specific challenges faced by these organizations. </w:t>
      </w:r>
    </w:p>
    <w:p w14:paraId="0C3BFB7B" w14:textId="77777777" w:rsidR="00146EB8" w:rsidRPr="007F23AD" w:rsidRDefault="00146EB8" w:rsidP="00696AD2">
      <w:pPr>
        <w:spacing w:line="480" w:lineRule="auto"/>
        <w:jc w:val="both"/>
        <w:rPr>
          <w:rFonts w:ascii="Calibri" w:hAnsi="Calibri" w:cs="Calibri"/>
          <w:color w:val="000000" w:themeColor="text1"/>
          <w:sz w:val="22"/>
          <w:szCs w:val="22"/>
          <w:lang w:val="en-GB"/>
        </w:rPr>
      </w:pPr>
    </w:p>
    <w:p w14:paraId="12868715" w14:textId="11089577" w:rsidR="00E121DE" w:rsidRPr="007F23AD" w:rsidRDefault="00B72C44" w:rsidP="00C3226C">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 xml:space="preserve">This approach has been used by other researchers in the field of supply chain management </w:t>
      </w:r>
      <w:r w:rsidRPr="007F23AD">
        <w:rPr>
          <w:rFonts w:ascii="Calibri" w:hAnsi="Calibri" w:cs="Calibri"/>
          <w:color w:val="000000" w:themeColor="text1"/>
          <w:sz w:val="22"/>
          <w:szCs w:val="22"/>
          <w:lang w:val="en-GB"/>
        </w:rPr>
        <w:fldChar w:fldCharType="begin">
          <w:fldData xml:space="preserve">PEVuZE5vdGU+PENpdGU+PEF1dGhvcj5Hb3NsaW5nPC9BdXRob3I+PFllYXI+MjAwOTwvWWVhcj48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</w:fldData>
        </w:fldChar>
      </w:r>
      <w:r w:rsidR="00726588" w:rsidRPr="007F23AD">
        <w:rPr>
          <w:rFonts w:ascii="Calibri" w:hAnsi="Calibri" w:cs="Calibri"/>
          <w:color w:val="000000" w:themeColor="text1"/>
          <w:sz w:val="22"/>
          <w:szCs w:val="22"/>
          <w:lang w:val="en-GB"/>
        </w:rPr>
        <w:instrText xml:space="preserve"> ADDIN EN.CITE </w:instrText>
      </w:r>
      <w:r w:rsidR="00726588" w:rsidRPr="007F23AD">
        <w:rPr>
          <w:rFonts w:ascii="Calibri" w:hAnsi="Calibri" w:cs="Calibri"/>
          <w:color w:val="000000" w:themeColor="text1"/>
          <w:sz w:val="22"/>
          <w:szCs w:val="22"/>
          <w:lang w:val="en-GB"/>
        </w:rPr>
        <w:fldChar w:fldCharType="begin">
          <w:fldData xml:space="preserve">PEVuZE5vdGU+PENpdGU+PEF1dGhvcj5Hb3NsaW5nPC9BdXRob3I+PFllYXI+MjAwOTwvWWVhcj48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</w:fldData>
        </w:fldChar>
      </w:r>
      <w:r w:rsidR="00726588" w:rsidRPr="007F23AD">
        <w:rPr>
          <w:rFonts w:ascii="Calibri" w:hAnsi="Calibri" w:cs="Calibri"/>
          <w:color w:val="000000" w:themeColor="text1"/>
          <w:sz w:val="22"/>
          <w:szCs w:val="22"/>
          <w:lang w:val="en-GB"/>
        </w:rPr>
        <w:instrText xml:space="preserve"> ADDIN EN.CITE.DATA </w:instrText>
      </w:r>
      <w:r w:rsidR="00726588" w:rsidRPr="007F23AD">
        <w:rPr>
          <w:rFonts w:ascii="Calibri" w:hAnsi="Calibri" w:cs="Calibri"/>
          <w:color w:val="000000" w:themeColor="text1"/>
          <w:sz w:val="22"/>
          <w:szCs w:val="22"/>
          <w:lang w:val="en-GB"/>
        </w:rPr>
      </w:r>
      <w:r w:rsidR="00726588"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r>
      <w:r w:rsidRPr="007F23AD">
        <w:rPr>
          <w:rFonts w:ascii="Calibri" w:hAnsi="Calibri" w:cs="Calibri"/>
          <w:color w:val="000000" w:themeColor="text1"/>
          <w:sz w:val="22"/>
          <w:szCs w:val="22"/>
          <w:lang w:val="en-GB"/>
        </w:rPr>
        <w:fldChar w:fldCharType="separate"/>
      </w:r>
      <w:r w:rsidR="00726588" w:rsidRPr="007F23AD">
        <w:rPr>
          <w:rFonts w:ascii="Calibri" w:hAnsi="Calibri" w:cs="Calibri"/>
          <w:noProof/>
          <w:color w:val="000000" w:themeColor="text1"/>
          <w:sz w:val="22"/>
          <w:szCs w:val="22"/>
          <w:lang w:val="en-GB"/>
        </w:rPr>
        <w:t>(Gosling and Naim 2009; Aloini et al. 2012; Pham et al. 2022)</w:t>
      </w:r>
      <w:r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and is effective in highlighting the key research areas and summari</w:t>
      </w:r>
      <w:r w:rsidR="00197520" w:rsidRPr="007F23AD">
        <w:rPr>
          <w:rFonts w:ascii="Calibri" w:hAnsi="Calibri" w:cs="Calibri"/>
          <w:color w:val="000000" w:themeColor="text1"/>
          <w:sz w:val="22"/>
          <w:szCs w:val="22"/>
          <w:lang w:val="en-GB"/>
        </w:rPr>
        <w:t>s</w:t>
      </w:r>
      <w:r w:rsidRPr="007F23AD">
        <w:rPr>
          <w:rFonts w:ascii="Calibri" w:hAnsi="Calibri" w:cs="Calibri"/>
          <w:color w:val="000000" w:themeColor="text1"/>
          <w:sz w:val="22"/>
          <w:szCs w:val="22"/>
          <w:lang w:val="en-GB"/>
        </w:rPr>
        <w:t xml:space="preserve">ing knowledge topic. </w:t>
      </w:r>
      <w:r w:rsidR="005317AE" w:rsidRPr="007F23AD">
        <w:rPr>
          <w:rFonts w:ascii="Calibri" w:hAnsi="Calibri" w:cs="Calibri"/>
          <w:color w:val="000000" w:themeColor="text1"/>
          <w:sz w:val="22"/>
          <w:szCs w:val="22"/>
          <w:lang w:val="en-GB"/>
        </w:rPr>
        <w:t xml:space="preserve">In addition to thematic analysis, </w:t>
      </w:r>
      <w:r w:rsidR="001762B9" w:rsidRPr="007F23AD">
        <w:rPr>
          <w:rFonts w:ascii="Calibri" w:hAnsi="Calibri" w:cs="Calibri"/>
          <w:color w:val="000000" w:themeColor="text1"/>
          <w:sz w:val="22"/>
          <w:szCs w:val="22"/>
          <w:lang w:val="en-GB"/>
        </w:rPr>
        <w:t>descriptive</w:t>
      </w:r>
      <w:r w:rsidR="005317AE" w:rsidRPr="007F23AD">
        <w:rPr>
          <w:rFonts w:ascii="Calibri" w:hAnsi="Calibri" w:cs="Calibri"/>
          <w:color w:val="000000" w:themeColor="text1"/>
          <w:sz w:val="22"/>
          <w:szCs w:val="22"/>
          <w:lang w:val="en-GB"/>
        </w:rPr>
        <w:t xml:space="preserve"> analysis has been adopted in the research. The advantage of this approach is that it reveals recent publication trends among scholars, geographical distribution of research, and popular research methods and strategies used in the field of supply chain research</w:t>
      </w:r>
      <w:r w:rsidR="00867063" w:rsidRPr="007F23AD">
        <w:rPr>
          <w:rFonts w:ascii="Calibri" w:hAnsi="Calibri" w:cs="Calibri"/>
          <w:color w:val="000000" w:themeColor="text1"/>
          <w:sz w:val="22"/>
          <w:szCs w:val="22"/>
          <w:lang w:val="en-GB"/>
        </w:rPr>
        <w:t xml:space="preserve"> </w:t>
      </w:r>
      <w:r w:rsidR="005A78B6"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&lt;EndNote&gt;&lt;Cite&gt;&lt;Author&gt;Ansari&lt;/Author&gt;&lt;Year&gt;2017&lt;/Year&gt;&lt;RecNum&gt;1161&lt;/RecNum&gt;&lt;DisplayText&gt;(Ansari and Kant 2017)&lt;/DisplayText&gt;&lt;record&gt;&lt;rec-number&gt;1161&lt;/rec-number&gt;&lt;foreign-keys&gt;&lt;key app="EN" db-id="vxw0ffesn9zzt0ewpdx5r5a3fpw92aep9re9" timestamp="1698412921" guid="3240dd10-8a63-45d1-8c62-4f8ee26734a6"&gt;1161&lt;/key&gt;&lt;/foreign-keys&gt;&lt;ref-type name="Journal Article"&gt;17&lt;/ref-type&gt;&lt;contributors&gt;&lt;authors&gt;&lt;author&gt;Ansari, Zulfiquar N.&lt;/author&gt;&lt;author&gt;Kant, Ravi&lt;/author&gt;&lt;/authors&gt;&lt;/contributors&gt;&lt;titles&gt;&lt;title&gt;A state-of-art literature review reflecting 15 years of focus on sustainable supply chain management&lt;/title&gt;&lt;secondary-title&gt;Journal of Cleaner Production&lt;/secondary-title&gt;&lt;/titles&gt;&lt;periodical&gt;&lt;full-title&gt;Journal of Cleaner Production&lt;/full-title&gt;&lt;/periodical&gt;&lt;pages&gt;2524-2543&lt;/pages&gt;&lt;volume&gt;142&lt;/volume&gt;&lt;keywords&gt;&lt;keyword&gt;Literature review&lt;/keyword&gt;&lt;keyword&gt;Supply chain&lt;/keyword&gt;&lt;keyword&gt;Sustainable supply chain management&lt;/keyword&gt;&lt;keyword&gt;Methodology&lt;/keyword&gt;&lt;/keywords&gt;&lt;dates&gt;&lt;year&gt;2017&lt;/year&gt;&lt;pub-dates&gt;&lt;date&gt;2017/01/20/&lt;/date&gt;&lt;/pub-dates&gt;&lt;/dates&gt;&lt;isbn&gt;0959-6526&lt;/isbn&gt;&lt;urls&gt;&lt;related-urls&gt;&lt;url&gt;https://www.sciencedirect.com/science/article/pii/S0959652616318613&lt;/url&gt;&lt;/related-urls&gt;&lt;/urls&gt;&lt;electronic-resource-num&gt;https://doi.org/10.1016/j.jclepro.2016.11.023&lt;/electronic-resource-num&gt;&lt;/record&gt;&lt;/Cite&gt;&lt;/EndNote&gt;</w:instrText>
      </w:r>
      <w:r w:rsidR="005A78B6" w:rsidRPr="007F23AD">
        <w:rPr>
          <w:rFonts w:ascii="Calibri" w:hAnsi="Calibri" w:cs="Calibri"/>
          <w:color w:val="000000" w:themeColor="text1"/>
          <w:sz w:val="22"/>
          <w:szCs w:val="22"/>
          <w:lang w:val="en-GB"/>
        </w:rPr>
        <w:fldChar w:fldCharType="separate"/>
      </w:r>
      <w:r w:rsidR="005A78B6" w:rsidRPr="007F23AD">
        <w:rPr>
          <w:rFonts w:ascii="Calibri" w:hAnsi="Calibri" w:cs="Calibri"/>
          <w:noProof/>
          <w:color w:val="000000" w:themeColor="text1"/>
          <w:sz w:val="22"/>
          <w:szCs w:val="22"/>
          <w:lang w:val="en-GB"/>
        </w:rPr>
        <w:t>(Ansari and Kant 2017)</w:t>
      </w:r>
      <w:r w:rsidR="005A78B6" w:rsidRPr="007F23AD">
        <w:rPr>
          <w:rFonts w:ascii="Calibri" w:hAnsi="Calibri" w:cs="Calibri"/>
          <w:color w:val="000000" w:themeColor="text1"/>
          <w:sz w:val="22"/>
          <w:szCs w:val="22"/>
          <w:lang w:val="en-GB"/>
        </w:rPr>
        <w:fldChar w:fldCharType="end"/>
      </w:r>
      <w:r w:rsidR="005317AE"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 xml:space="preserve">Moreover, the </w:t>
      </w:r>
      <w:r w:rsidR="001822A2" w:rsidRPr="007F23AD">
        <w:rPr>
          <w:rFonts w:ascii="Calibri" w:hAnsi="Calibri" w:cs="Calibri"/>
          <w:color w:val="000000" w:themeColor="text1"/>
          <w:sz w:val="22"/>
          <w:szCs w:val="22"/>
          <w:lang w:val="en-GB"/>
        </w:rPr>
        <w:t>three</w:t>
      </w:r>
      <w:r w:rsidRPr="007F23AD">
        <w:rPr>
          <w:rFonts w:ascii="Calibri" w:hAnsi="Calibri" w:cs="Calibri"/>
          <w:color w:val="000000" w:themeColor="text1"/>
          <w:sz w:val="22"/>
          <w:szCs w:val="22"/>
          <w:lang w:val="en-GB"/>
        </w:rPr>
        <w:t xml:space="preserve"> </w:t>
      </w:r>
      <w:r w:rsidR="00B85C3E" w:rsidRPr="007F23AD">
        <w:rPr>
          <w:rFonts w:ascii="Calibri" w:hAnsi="Calibri" w:cs="Calibri"/>
          <w:color w:val="000000" w:themeColor="text1"/>
          <w:sz w:val="22"/>
          <w:szCs w:val="22"/>
          <w:lang w:val="en-GB"/>
        </w:rPr>
        <w:t>themes</w:t>
      </w:r>
      <w:r w:rsidRPr="007F23AD">
        <w:rPr>
          <w:rFonts w:ascii="Calibri" w:hAnsi="Calibri" w:cs="Calibri"/>
          <w:color w:val="000000" w:themeColor="text1"/>
          <w:sz w:val="22"/>
          <w:szCs w:val="22"/>
          <w:lang w:val="en-GB"/>
        </w:rPr>
        <w:t xml:space="preserve"> identified in this study align with the latest research trends, and few studies have comprehensively reviewed these </w:t>
      </w:r>
      <w:r w:rsidR="009B227E" w:rsidRPr="007F23AD">
        <w:rPr>
          <w:rFonts w:ascii="Calibri" w:hAnsi="Calibri" w:cs="Calibri"/>
          <w:color w:val="000000" w:themeColor="text1"/>
          <w:sz w:val="22"/>
          <w:szCs w:val="22"/>
          <w:lang w:val="en-GB"/>
        </w:rPr>
        <w:t>themes</w:t>
      </w:r>
      <w:r w:rsidRPr="007F23AD">
        <w:rPr>
          <w:rFonts w:ascii="Calibri" w:hAnsi="Calibri" w:cs="Calibri"/>
          <w:color w:val="000000" w:themeColor="text1"/>
          <w:sz w:val="22"/>
          <w:szCs w:val="22"/>
          <w:lang w:val="en-GB"/>
        </w:rPr>
        <w:t xml:space="preserve"> in the literature. </w:t>
      </w:r>
      <w:r w:rsidR="0046351E" w:rsidRPr="007F23AD">
        <w:rPr>
          <w:rFonts w:ascii="Calibri" w:hAnsi="Calibri" w:cs="Calibri"/>
          <w:color w:val="000000" w:themeColor="text1"/>
          <w:sz w:val="22"/>
          <w:szCs w:val="22"/>
          <w:lang w:val="en-GB"/>
        </w:rPr>
        <w:t>I</w:t>
      </w:r>
      <w:r w:rsidRPr="007F23AD">
        <w:rPr>
          <w:rFonts w:ascii="Calibri" w:hAnsi="Calibri" w:cs="Calibri"/>
          <w:color w:val="000000" w:themeColor="text1"/>
          <w:sz w:val="22"/>
          <w:szCs w:val="22"/>
          <w:lang w:val="en-GB"/>
        </w:rPr>
        <w:t>n the section</w:t>
      </w:r>
      <w:r w:rsidR="009B227E" w:rsidRPr="007F23AD">
        <w:rPr>
          <w:rFonts w:ascii="Calibri" w:hAnsi="Calibri" w:cs="Calibri"/>
          <w:color w:val="000000" w:themeColor="text1"/>
          <w:sz w:val="22"/>
          <w:szCs w:val="22"/>
          <w:lang w:val="en-GB"/>
        </w:rPr>
        <w:t xml:space="preserve"> 4</w:t>
      </w:r>
      <w:r w:rsidRPr="007F23AD">
        <w:rPr>
          <w:rFonts w:ascii="Calibri" w:hAnsi="Calibri" w:cs="Calibri"/>
          <w:color w:val="000000" w:themeColor="text1"/>
          <w:sz w:val="22"/>
          <w:szCs w:val="22"/>
          <w:lang w:val="en-GB"/>
        </w:rPr>
        <w:t xml:space="preserve">, we present each of these </w:t>
      </w:r>
      <w:r w:rsidR="001822A2" w:rsidRPr="007F23AD">
        <w:rPr>
          <w:rFonts w:ascii="Calibri" w:hAnsi="Calibri" w:cs="Calibri"/>
          <w:color w:val="000000" w:themeColor="text1"/>
          <w:sz w:val="22"/>
          <w:szCs w:val="22"/>
          <w:lang w:val="en-GB"/>
        </w:rPr>
        <w:t>three</w:t>
      </w:r>
      <w:r w:rsidRPr="007F23AD">
        <w:rPr>
          <w:rFonts w:ascii="Calibri" w:hAnsi="Calibri" w:cs="Calibri"/>
          <w:color w:val="000000" w:themeColor="text1"/>
          <w:sz w:val="22"/>
          <w:szCs w:val="22"/>
          <w:lang w:val="en-GB"/>
        </w:rPr>
        <w:t xml:space="preserve"> categories in detail.</w:t>
      </w:r>
    </w:p>
    <w:p w14:paraId="70892393" w14:textId="77777777" w:rsidR="00FA1A37" w:rsidRPr="007F23AD" w:rsidRDefault="00FA1A37" w:rsidP="00C3226C">
      <w:pPr>
        <w:spacing w:line="480" w:lineRule="auto"/>
        <w:jc w:val="both"/>
        <w:rPr>
          <w:rFonts w:ascii="Calibri" w:hAnsi="Calibri" w:cs="Calibri"/>
          <w:color w:val="000000" w:themeColor="text1"/>
          <w:sz w:val="22"/>
          <w:szCs w:val="22"/>
          <w:lang w:val="en-GB"/>
        </w:rPr>
      </w:pPr>
    </w:p>
    <w:p w14:paraId="013FDC1F" w14:textId="7DCFEC11" w:rsidR="00A0001F" w:rsidRPr="007F23AD" w:rsidRDefault="0082116B" w:rsidP="00C3226C">
      <w:pPr>
        <w:spacing w:line="480" w:lineRule="auto"/>
        <w:jc w:val="both"/>
        <w:rPr>
          <w:rFonts w:ascii="Calibri" w:hAnsi="Calibri" w:cs="Calibri"/>
          <w:color w:val="000000" w:themeColor="text1"/>
          <w:sz w:val="22"/>
          <w:szCs w:val="22"/>
          <w:lang w:val="en-GB"/>
        </w:rPr>
      </w:pPr>
      <w:r w:rsidRPr="007F23AD">
        <w:rPr>
          <w:rFonts w:ascii="Calibri" w:hAnsi="Calibri" w:cs="Calibri"/>
          <w:noProof/>
          <w:color w:val="000000" w:themeColor="text1"/>
          <w:sz w:val="22"/>
          <w:szCs w:val="22"/>
          <w:lang w:val="en-GB"/>
        </w:rPr>
        <w:lastRenderedPageBreak/>
        <w:drawing>
          <wp:inline distT="0" distB="0" distL="0" distR="0" wp14:anchorId="2CA038F2" wp14:editId="54F1E3FF">
            <wp:extent cx="5270500" cy="3685540"/>
            <wp:effectExtent l="0" t="0" r="0" b="0"/>
            <wp:docPr id="190550103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01037" name="图片 1" descr="图示&#10;&#10;描述已自动生成"/>
                    <pic:cNvPicPr/>
                  </pic:nvPicPr>
                  <pic:blipFill>
                    <a:blip r:embed="rId13"/>
                    <a:stretch>
                      <a:fillRect/>
                    </a:stretch>
                  </pic:blipFill>
                  <pic:spPr>
                    <a:xfrm>
                      <a:off x="0" y="0"/>
                      <a:ext cx="5270500" cy="3685540"/>
                    </a:xfrm>
                    <a:prstGeom prst="rect">
                      <a:avLst/>
                    </a:prstGeom>
                  </pic:spPr>
                </pic:pic>
              </a:graphicData>
            </a:graphic>
          </wp:inline>
        </w:drawing>
      </w:r>
    </w:p>
    <w:p w14:paraId="0D7C6D8D" w14:textId="77777777" w:rsidR="003E6EF8" w:rsidRDefault="00E121DE" w:rsidP="003E6EF8">
      <w:pPr>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Figure 3: Coding process</w:t>
      </w:r>
    </w:p>
    <w:p w14:paraId="6CFAD3B3" w14:textId="403D5F43" w:rsidR="00E121DE" w:rsidRPr="007F23AD" w:rsidRDefault="003E6EF8" w:rsidP="003E6EF8">
      <w:pPr>
        <w:jc w:val="center"/>
        <w:rPr>
          <w:rFonts w:ascii="Calibri" w:hAnsi="Calibri" w:cs="Calibri"/>
          <w:color w:val="000000" w:themeColor="text1"/>
          <w:sz w:val="22"/>
          <w:szCs w:val="22"/>
        </w:rPr>
      </w:pPr>
      <w:r w:rsidRPr="003E6EF8">
        <w:rPr>
          <w:rFonts w:ascii="Calibri" w:hAnsi="Calibri" w:cs="Calibri"/>
          <w:color w:val="000000" w:themeColor="text1"/>
          <w:sz w:val="22"/>
          <w:szCs w:val="22"/>
          <w:lang w:val="en-GB"/>
        </w:rPr>
        <w:t>Source: Authors own work</w:t>
      </w:r>
    </w:p>
    <w:p w14:paraId="28EEF62B" w14:textId="6D9859C9" w:rsidR="00432CBF" w:rsidRPr="007F23AD" w:rsidRDefault="00432CBF" w:rsidP="00E121DE">
      <w:pPr>
        <w:rPr>
          <w:rFonts w:ascii="Calibri" w:hAnsi="Calibri" w:cs="Calibri"/>
          <w:color w:val="000000" w:themeColor="text1"/>
          <w:sz w:val="22"/>
          <w:szCs w:val="22"/>
          <w:lang w:val="en-GB"/>
        </w:rPr>
      </w:pPr>
    </w:p>
    <w:p w14:paraId="70634A41" w14:textId="744096F8" w:rsidR="00A67EC3" w:rsidRPr="007F23AD" w:rsidRDefault="009249A9" w:rsidP="00C3226C">
      <w:pPr>
        <w:pStyle w:val="a3"/>
        <w:numPr>
          <w:ilvl w:val="0"/>
          <w:numId w:val="2"/>
        </w:num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Results and discussion</w:t>
      </w:r>
    </w:p>
    <w:p w14:paraId="5D60AB51" w14:textId="551204C8" w:rsidR="00414A05" w:rsidRPr="007F23AD" w:rsidRDefault="00FB1C60"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In this section, we commence with a descriptive analysis of the literature, which includes a synthesis organized by year of publication, region, type, and methodology. Subsequently, in section 4.2, we explore the </w:t>
      </w:r>
      <w:r w:rsidR="009D26EF" w:rsidRPr="007F23AD">
        <w:rPr>
          <w:rFonts w:ascii="Calibri" w:hAnsi="Calibri" w:cs="Calibri"/>
          <w:color w:val="000000" w:themeColor="text1"/>
          <w:sz w:val="22"/>
          <w:szCs w:val="22"/>
          <w:lang w:val="en-GB"/>
        </w:rPr>
        <w:t>eight</w:t>
      </w:r>
      <w:r w:rsidRPr="007F23AD">
        <w:rPr>
          <w:rFonts w:ascii="Calibri" w:hAnsi="Calibri" w:cs="Calibri"/>
          <w:color w:val="000000" w:themeColor="text1"/>
          <w:sz w:val="22"/>
          <w:szCs w:val="22"/>
          <w:lang w:val="en-GB"/>
        </w:rPr>
        <w:t xml:space="preserve"> risks associated with the three identified themes. </w:t>
      </w:r>
      <w:r w:rsidR="006B66F6" w:rsidRPr="007F23AD">
        <w:rPr>
          <w:rFonts w:ascii="Calibri" w:hAnsi="Calibri" w:cs="Calibri"/>
          <w:color w:val="000000" w:themeColor="text1"/>
          <w:sz w:val="22"/>
          <w:szCs w:val="22"/>
          <w:lang w:val="en-GB"/>
        </w:rPr>
        <w:t>Section 4.3 summarises and presents the literature on the risks associated with these themes.</w:t>
      </w:r>
    </w:p>
    <w:p w14:paraId="40F4E9FE" w14:textId="31F65E23" w:rsidR="00086729" w:rsidRPr="007F23AD" w:rsidRDefault="002B7C6A" w:rsidP="00C3226C">
      <w:pPr>
        <w:pStyle w:val="a3"/>
        <w:numPr>
          <w:ilvl w:val="1"/>
          <w:numId w:val="2"/>
        </w:numPr>
        <w:spacing w:line="480" w:lineRule="auto"/>
        <w:rPr>
          <w:rFonts w:ascii="Calibri" w:hAnsi="Calibri" w:cs="Calibri"/>
          <w:b/>
          <w:bCs/>
          <w:i/>
          <w:iCs/>
          <w:color w:val="000000" w:themeColor="text1"/>
          <w:sz w:val="22"/>
          <w:szCs w:val="22"/>
          <w:lang w:val="en-GB"/>
        </w:rPr>
      </w:pPr>
      <w:r w:rsidRPr="007F23AD">
        <w:rPr>
          <w:rFonts w:ascii="Calibri" w:hAnsi="Calibri" w:cs="Calibri"/>
          <w:b/>
          <w:bCs/>
          <w:i/>
          <w:iCs/>
          <w:color w:val="000000" w:themeColor="text1"/>
          <w:sz w:val="22"/>
          <w:szCs w:val="22"/>
          <w:lang w:val="en-GB"/>
        </w:rPr>
        <w:t>Descriptive analysis</w:t>
      </w:r>
    </w:p>
    <w:p w14:paraId="73B518B3" w14:textId="4AF8F38E" w:rsidR="00432CBF" w:rsidRPr="007F23AD" w:rsidRDefault="00432CBF" w:rsidP="00C3226C">
      <w:pPr>
        <w:spacing w:line="480" w:lineRule="auto"/>
        <w:jc w:val="both"/>
        <w:rPr>
          <w:rFonts w:ascii="Calibri" w:eastAsia="DengXian" w:hAnsi="Calibri" w:cs="Calibri"/>
          <w:b/>
          <w:bCs/>
          <w:color w:val="000000" w:themeColor="text1"/>
          <w:sz w:val="22"/>
          <w:szCs w:val="22"/>
          <w:lang w:val="en-GB"/>
        </w:rPr>
      </w:pPr>
      <w:r w:rsidRPr="007F23AD">
        <w:rPr>
          <w:rFonts w:ascii="Calibri" w:hAnsi="Calibri" w:cs="Calibri"/>
          <w:color w:val="000000" w:themeColor="text1"/>
          <w:sz w:val="22"/>
          <w:szCs w:val="22"/>
          <w:lang w:val="en-GB"/>
        </w:rPr>
        <w:t>The following content is divided into two parts. The first part discusses the collected articles from the year, region, and content.</w:t>
      </w:r>
      <w:r w:rsidR="00CC24C6" w:rsidRPr="007F23AD">
        <w:rPr>
          <w:rFonts w:ascii="Calibri" w:hAnsi="Calibri" w:cs="Calibri"/>
          <w:color w:val="000000" w:themeColor="text1"/>
          <w:sz w:val="22"/>
          <w:szCs w:val="22"/>
          <w:lang w:val="en-GB"/>
        </w:rPr>
        <w:t xml:space="preserve"> This exploration aims to </w:t>
      </w:r>
      <w:r w:rsidR="001B560A" w:rsidRPr="007F23AD">
        <w:rPr>
          <w:rFonts w:ascii="Calibri" w:hAnsi="Calibri" w:cs="Calibri"/>
          <w:color w:val="000000" w:themeColor="text1"/>
          <w:sz w:val="22"/>
          <w:szCs w:val="22"/>
          <w:lang w:val="en-GB"/>
        </w:rPr>
        <w:t xml:space="preserve">chronical the evolution of the research </w:t>
      </w:r>
      <w:r w:rsidR="00FA4379" w:rsidRPr="007F23AD">
        <w:rPr>
          <w:rFonts w:ascii="Calibri" w:hAnsi="Calibri" w:cs="Calibri"/>
          <w:color w:val="000000" w:themeColor="text1"/>
          <w:sz w:val="22"/>
          <w:szCs w:val="22"/>
          <w:lang w:val="en-GB"/>
        </w:rPr>
        <w:t xml:space="preserve">topic, and provide </w:t>
      </w:r>
      <w:r w:rsidR="00503FA3" w:rsidRPr="007F23AD">
        <w:rPr>
          <w:rFonts w:ascii="Calibri" w:hAnsi="Calibri" w:cs="Calibri"/>
          <w:color w:val="000000" w:themeColor="text1"/>
          <w:sz w:val="22"/>
          <w:szCs w:val="22"/>
          <w:lang w:val="en-GB"/>
        </w:rPr>
        <w:t>current themes of interest in the field, and highlight potential trends for future research</w:t>
      </w:r>
      <w:r w:rsidR="00B524C1"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 xml:space="preserve"> In the second part, the research types and methods are discussed.</w:t>
      </w:r>
      <w:r w:rsidR="004B27E1" w:rsidRPr="007F23AD">
        <w:rPr>
          <w:rFonts w:ascii="Calibri"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t xml:space="preserve">Figure </w:t>
      </w:r>
      <w:r w:rsidR="004926A5" w:rsidRPr="007F23AD">
        <w:rPr>
          <w:rFonts w:ascii="Calibri" w:eastAsia="DengXian" w:hAnsi="Calibri" w:cs="Calibri"/>
          <w:color w:val="000000" w:themeColor="text1"/>
          <w:sz w:val="22"/>
          <w:szCs w:val="22"/>
          <w:lang w:val="en-GB"/>
        </w:rPr>
        <w:t>4</w:t>
      </w:r>
      <w:r w:rsidRPr="007F23AD">
        <w:rPr>
          <w:rFonts w:ascii="Calibri" w:eastAsia="DengXian" w:hAnsi="Calibri" w:cs="Calibri"/>
          <w:color w:val="000000" w:themeColor="text1"/>
          <w:sz w:val="22"/>
          <w:szCs w:val="22"/>
          <w:lang w:val="en-GB"/>
        </w:rPr>
        <w:t xml:space="preserve"> shows the statistical results of the number of papers directly related to supply chain risk management that were published from 2005 to</w:t>
      </w:r>
      <w:r w:rsidR="00B524C1" w:rsidRPr="007F23AD">
        <w:rPr>
          <w:rFonts w:ascii="Calibri" w:eastAsia="DengXian" w:hAnsi="Calibri" w:cs="Calibri"/>
          <w:color w:val="000000" w:themeColor="text1"/>
          <w:sz w:val="22"/>
          <w:szCs w:val="22"/>
          <w:lang w:val="en-GB"/>
        </w:rPr>
        <w:t xml:space="preserve"> </w:t>
      </w:r>
      <w:r w:rsidR="00CB437A" w:rsidRPr="007F23AD">
        <w:rPr>
          <w:rFonts w:ascii="Calibri" w:eastAsia="DengXian" w:hAnsi="Calibri" w:cs="Calibri"/>
          <w:color w:val="000000" w:themeColor="text1"/>
          <w:sz w:val="22"/>
          <w:szCs w:val="22"/>
          <w:lang w:val="en-GB"/>
        </w:rPr>
        <w:t>November</w:t>
      </w:r>
      <w:r w:rsidRPr="007F23AD">
        <w:rPr>
          <w:rFonts w:ascii="Calibri" w:eastAsia="DengXian" w:hAnsi="Calibri" w:cs="Calibri"/>
          <w:color w:val="000000" w:themeColor="text1"/>
          <w:sz w:val="22"/>
          <w:szCs w:val="22"/>
          <w:lang w:val="en-GB"/>
        </w:rPr>
        <w:t xml:space="preserve"> 202</w:t>
      </w:r>
      <w:r w:rsidR="004926A5" w:rsidRPr="007F23AD">
        <w:rPr>
          <w:rFonts w:ascii="Calibri" w:eastAsia="DengXian" w:hAnsi="Calibri" w:cs="Calibri"/>
          <w:color w:val="000000" w:themeColor="text1"/>
          <w:sz w:val="22"/>
          <w:szCs w:val="22"/>
          <w:lang w:val="en-GB"/>
        </w:rPr>
        <w:t>3</w:t>
      </w:r>
      <w:r w:rsidRPr="007F23AD">
        <w:rPr>
          <w:rFonts w:ascii="Calibri" w:eastAsia="DengXian" w:hAnsi="Calibri" w:cs="Calibri"/>
          <w:color w:val="000000" w:themeColor="text1"/>
          <w:sz w:val="22"/>
          <w:szCs w:val="22"/>
          <w:lang w:val="en-GB"/>
        </w:rPr>
        <w:t xml:space="preserve">. These results indicate that there has been an increase in construction supply chain risk management research. </w:t>
      </w:r>
      <w:r w:rsidRPr="007F23AD">
        <w:rPr>
          <w:rFonts w:ascii="Calibri" w:eastAsia="DengXian" w:hAnsi="Calibri" w:cs="Calibri"/>
          <w:color w:val="000000" w:themeColor="text1"/>
          <w:sz w:val="22"/>
          <w:szCs w:val="22"/>
          <w:lang w:val="en-GB"/>
        </w:rPr>
        <w:lastRenderedPageBreak/>
        <w:t xml:space="preserve">Notably, supply chain construction </w:t>
      </w:r>
      <w:r w:rsidR="00A25CBA" w:rsidRPr="007F23AD">
        <w:rPr>
          <w:rFonts w:ascii="Calibri" w:eastAsia="DengXian" w:hAnsi="Calibri" w:cs="Calibri"/>
          <w:color w:val="000000" w:themeColor="text1"/>
          <w:sz w:val="22"/>
          <w:szCs w:val="22"/>
          <w:lang w:val="en-GB"/>
        </w:rPr>
        <w:t>management related</w:t>
      </w:r>
      <w:r w:rsidRPr="007F23AD">
        <w:rPr>
          <w:rFonts w:ascii="Calibri" w:eastAsia="DengXian" w:hAnsi="Calibri" w:cs="Calibri"/>
          <w:color w:val="000000" w:themeColor="text1"/>
          <w:sz w:val="22"/>
          <w:szCs w:val="22"/>
          <w:lang w:val="en-GB"/>
        </w:rPr>
        <w:t xml:space="preserve"> papers have increased most significantly since 2016. Figure </w:t>
      </w:r>
      <w:r w:rsidR="009F3C68" w:rsidRPr="007F23AD">
        <w:rPr>
          <w:rFonts w:ascii="Calibri" w:eastAsia="DengXian" w:hAnsi="Calibri" w:cs="Calibri"/>
          <w:color w:val="000000" w:themeColor="text1"/>
          <w:sz w:val="22"/>
          <w:szCs w:val="22"/>
          <w:lang w:val="en-GB"/>
        </w:rPr>
        <w:t>5</w:t>
      </w:r>
      <w:r w:rsidRPr="007F23AD">
        <w:rPr>
          <w:rFonts w:ascii="Calibri" w:eastAsia="DengXian" w:hAnsi="Calibri" w:cs="Calibri"/>
          <w:color w:val="000000" w:themeColor="text1"/>
          <w:sz w:val="22"/>
          <w:szCs w:val="22"/>
          <w:lang w:val="en-GB"/>
        </w:rPr>
        <w:t xml:space="preserve"> reflects the number of papers published by country</w:t>
      </w:r>
      <w:r w:rsidR="008824E4" w:rsidRPr="007F23AD">
        <w:rPr>
          <w:rFonts w:ascii="Calibri" w:eastAsia="DengXian" w:hAnsi="Calibri" w:cs="Calibri"/>
          <w:color w:val="000000" w:themeColor="text1"/>
          <w:sz w:val="22"/>
          <w:szCs w:val="22"/>
          <w:lang w:val="en-GB"/>
        </w:rPr>
        <w:t>,</w:t>
      </w:r>
      <w:r w:rsidRPr="007F23AD">
        <w:rPr>
          <w:rFonts w:ascii="Calibri" w:eastAsia="DengXian" w:hAnsi="Calibri" w:cs="Calibri"/>
          <w:color w:val="000000" w:themeColor="text1"/>
          <w:sz w:val="22"/>
          <w:szCs w:val="22"/>
          <w:lang w:val="en-GB"/>
        </w:rPr>
        <w:t xml:space="preserve"> most academic papers have been published in the UK, </w:t>
      </w:r>
      <w:r w:rsidR="00F2062E" w:rsidRPr="007F23AD">
        <w:rPr>
          <w:rFonts w:ascii="Calibri" w:eastAsia="DengXian" w:hAnsi="Calibri" w:cs="Calibri"/>
          <w:color w:val="000000" w:themeColor="text1"/>
          <w:sz w:val="22"/>
          <w:szCs w:val="22"/>
          <w:lang w:val="en-GB"/>
        </w:rPr>
        <w:t xml:space="preserve">China, </w:t>
      </w:r>
      <w:r w:rsidR="00A25CBA" w:rsidRPr="007F23AD">
        <w:rPr>
          <w:rFonts w:ascii="Calibri" w:eastAsia="DengXian" w:hAnsi="Calibri" w:cs="Calibri"/>
          <w:color w:val="000000" w:themeColor="text1"/>
          <w:sz w:val="22"/>
          <w:szCs w:val="22"/>
          <w:lang w:val="en-GB"/>
        </w:rPr>
        <w:t>USA</w:t>
      </w:r>
      <w:r w:rsidR="002F4A35" w:rsidRPr="007F23AD">
        <w:rPr>
          <w:rFonts w:ascii="Calibri" w:eastAsia="DengXian" w:hAnsi="Calibri" w:cs="Calibri"/>
          <w:color w:val="000000" w:themeColor="text1"/>
          <w:sz w:val="22"/>
          <w:szCs w:val="22"/>
        </w:rPr>
        <w:t>,</w:t>
      </w:r>
      <w:r w:rsidR="00AC575C" w:rsidRPr="007F23AD">
        <w:rPr>
          <w:rFonts w:ascii="Calibri" w:eastAsia="DengXian" w:hAnsi="Calibri" w:cs="Calibri"/>
          <w:color w:val="000000" w:themeColor="text1"/>
          <w:sz w:val="22"/>
          <w:szCs w:val="22"/>
          <w:lang w:val="en-GB"/>
        </w:rPr>
        <w:t xml:space="preserve"> </w:t>
      </w:r>
      <w:r w:rsidR="00F2062E" w:rsidRPr="007F23AD">
        <w:rPr>
          <w:rFonts w:ascii="Calibri" w:eastAsia="DengXian" w:hAnsi="Calibri" w:cs="Calibri"/>
          <w:color w:val="000000" w:themeColor="text1"/>
          <w:sz w:val="22"/>
          <w:szCs w:val="22"/>
          <w:lang w:val="en-GB"/>
        </w:rPr>
        <w:t xml:space="preserve">and </w:t>
      </w:r>
      <w:r w:rsidR="00A25CBA" w:rsidRPr="007F23AD">
        <w:rPr>
          <w:rFonts w:ascii="Calibri" w:eastAsia="DengXian" w:hAnsi="Calibri" w:cs="Calibri"/>
          <w:color w:val="000000" w:themeColor="text1"/>
          <w:sz w:val="22"/>
          <w:szCs w:val="22"/>
          <w:lang w:val="en-GB"/>
        </w:rPr>
        <w:t>Australia</w:t>
      </w:r>
      <w:r w:rsidR="002F4A35" w:rsidRPr="007F23AD">
        <w:rPr>
          <w:rFonts w:ascii="Calibri" w:eastAsia="DengXian" w:hAnsi="Calibri" w:cs="Calibri"/>
          <w:color w:val="000000" w:themeColor="text1"/>
          <w:sz w:val="22"/>
          <w:szCs w:val="22"/>
          <w:lang w:val="en-GB"/>
        </w:rPr>
        <w:t>.</w:t>
      </w:r>
      <w:r w:rsidR="00AA0F65" w:rsidRPr="007F23AD">
        <w:rPr>
          <w:rFonts w:ascii="Calibri" w:eastAsia="DengXian" w:hAnsi="Calibri" w:cs="Calibri"/>
          <w:color w:val="000000" w:themeColor="text1"/>
          <w:sz w:val="22"/>
          <w:szCs w:val="22"/>
          <w:lang w:val="en-GB"/>
        </w:rPr>
        <w:t xml:space="preserve"> </w:t>
      </w:r>
    </w:p>
    <w:p w14:paraId="1C0F38D3" w14:textId="0CDF7C09" w:rsidR="00432CBF" w:rsidRPr="007F23AD" w:rsidRDefault="00C954AD" w:rsidP="00C3226C">
      <w:pPr>
        <w:spacing w:line="480" w:lineRule="auto"/>
        <w:jc w:val="center"/>
        <w:rPr>
          <w:rFonts w:ascii="Calibri" w:eastAsia="DengXian" w:hAnsi="Calibri" w:cs="Calibri"/>
          <w:b/>
          <w:bCs/>
          <w:color w:val="000000" w:themeColor="text1"/>
          <w:sz w:val="22"/>
          <w:szCs w:val="22"/>
          <w:lang w:val="en-GB"/>
        </w:rPr>
      </w:pPr>
      <w:r w:rsidRPr="007F23AD">
        <w:rPr>
          <w:rFonts w:ascii="Calibri" w:hAnsi="Calibri" w:cs="Calibri"/>
          <w:noProof/>
          <w:color w:val="000000" w:themeColor="text1"/>
          <w:sz w:val="22"/>
          <w:szCs w:val="22"/>
          <w:lang w:val="en-GB"/>
        </w:rPr>
        <w:drawing>
          <wp:inline distT="0" distB="0" distL="0" distR="0" wp14:anchorId="74A60E2D" wp14:editId="6938FFA9">
            <wp:extent cx="5047130" cy="2841812"/>
            <wp:effectExtent l="0" t="0" r="7620" b="15875"/>
            <wp:docPr id="12" name="图表 12">
              <a:extLst xmlns:a="http://schemas.openxmlformats.org/drawingml/2006/main">
                <a:ext uri="{FF2B5EF4-FFF2-40B4-BE49-F238E27FC236}">
                  <a16:creationId xmlns:a16="http://schemas.microsoft.com/office/drawing/2014/main" id="{F805181C-B376-6042-9F89-44FB48F2F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71EF62" w14:textId="77777777" w:rsidR="003E6EF8" w:rsidRDefault="00432CBF" w:rsidP="003E6EF8">
      <w:pPr>
        <w:jc w:val="center"/>
        <w:rPr>
          <w:rFonts w:ascii="Calibri"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Figure </w:t>
      </w:r>
      <w:r w:rsidR="004926A5" w:rsidRPr="007F23AD">
        <w:rPr>
          <w:rFonts w:ascii="Calibri" w:eastAsia="DengXian" w:hAnsi="Calibri" w:cs="Calibri"/>
          <w:color w:val="000000" w:themeColor="text1"/>
          <w:sz w:val="22"/>
          <w:szCs w:val="22"/>
          <w:lang w:val="en-GB"/>
        </w:rPr>
        <w:t>4:</w:t>
      </w:r>
      <w:r w:rsidRPr="007F23AD">
        <w:rPr>
          <w:rFonts w:ascii="Calibri" w:eastAsia="DengXian" w:hAnsi="Calibri" w:cs="Calibri"/>
          <w:color w:val="000000" w:themeColor="text1"/>
          <w:sz w:val="22"/>
          <w:szCs w:val="22"/>
          <w:lang w:val="en-GB"/>
        </w:rPr>
        <w:t xml:space="preserve"> Year of publication</w:t>
      </w:r>
      <w:r w:rsidR="003E6EF8" w:rsidRPr="003E6EF8">
        <w:rPr>
          <w:rFonts w:ascii="Calibri" w:hAnsi="Calibri" w:cs="Calibri"/>
          <w:color w:val="000000" w:themeColor="text1"/>
          <w:sz w:val="22"/>
          <w:szCs w:val="22"/>
          <w:lang w:val="en-GB"/>
        </w:rPr>
        <w:t xml:space="preserve"> </w:t>
      </w:r>
    </w:p>
    <w:p w14:paraId="1577D0E3" w14:textId="3830E946" w:rsidR="003E6EF8"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0368735F" w14:textId="30954F5C" w:rsidR="004926A5" w:rsidRPr="003E6EF8" w:rsidRDefault="004926A5" w:rsidP="00C954AD">
      <w:pPr>
        <w:spacing w:line="480" w:lineRule="auto"/>
        <w:jc w:val="center"/>
        <w:rPr>
          <w:rFonts w:ascii="Calibri" w:eastAsia="DengXian" w:hAnsi="Calibri" w:cs="Calibri"/>
          <w:color w:val="000000" w:themeColor="text1"/>
          <w:sz w:val="22"/>
          <w:szCs w:val="22"/>
          <w:lang w:val="en-GB"/>
        </w:rPr>
      </w:pPr>
    </w:p>
    <w:p w14:paraId="20DBC669" w14:textId="2A576185" w:rsidR="001235A1" w:rsidRPr="007F23AD" w:rsidRDefault="001235A1" w:rsidP="00C3226C">
      <w:pPr>
        <w:spacing w:line="480" w:lineRule="auto"/>
        <w:jc w:val="center"/>
        <w:rPr>
          <w:rFonts w:ascii="Calibri" w:eastAsia="DengXian" w:hAnsi="Calibri" w:cs="Calibri"/>
          <w:b/>
          <w:bCs/>
          <w:color w:val="000000" w:themeColor="text1"/>
          <w:sz w:val="22"/>
          <w:szCs w:val="22"/>
          <w:lang w:val="en-GB"/>
        </w:rPr>
      </w:pPr>
      <w:r w:rsidRPr="007F23AD">
        <w:rPr>
          <w:rFonts w:ascii="Calibri" w:hAnsi="Calibri" w:cs="Calibri"/>
          <w:noProof/>
          <w:color w:val="000000" w:themeColor="text1"/>
          <w:sz w:val="22"/>
          <w:szCs w:val="22"/>
          <w:lang w:val="en-GB"/>
        </w:rPr>
        <w:drawing>
          <wp:inline distT="0" distB="0" distL="0" distR="0" wp14:anchorId="7544E7B5" wp14:editId="7AA940B5">
            <wp:extent cx="4947138" cy="3458308"/>
            <wp:effectExtent l="0" t="0" r="6350" b="8890"/>
            <wp:docPr id="1504821213" name="图表 10">
              <a:extLst xmlns:a="http://schemas.openxmlformats.org/drawingml/2006/main">
                <a:ext uri="{FF2B5EF4-FFF2-40B4-BE49-F238E27FC236}">
                  <a16:creationId xmlns:a16="http://schemas.microsoft.com/office/drawing/2014/main" id="{F805181C-B376-6042-9F89-44FB48F2F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9CA2DD" w14:textId="77777777" w:rsidR="003E6EF8" w:rsidRDefault="00432CBF" w:rsidP="003E6EF8">
      <w:pPr>
        <w:jc w:val="center"/>
        <w:rPr>
          <w:rFonts w:ascii="Calibri"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Figure </w:t>
      </w:r>
      <w:r w:rsidR="004926A5" w:rsidRPr="007F23AD">
        <w:rPr>
          <w:rFonts w:ascii="Calibri" w:eastAsia="DengXian" w:hAnsi="Calibri" w:cs="Calibri"/>
          <w:color w:val="000000" w:themeColor="text1"/>
          <w:sz w:val="22"/>
          <w:szCs w:val="22"/>
          <w:lang w:val="en-GB"/>
        </w:rPr>
        <w:t>5:</w:t>
      </w:r>
      <w:r w:rsidRPr="007F23AD">
        <w:rPr>
          <w:rFonts w:ascii="Calibri" w:eastAsia="DengXian" w:hAnsi="Calibri" w:cs="Calibri"/>
          <w:color w:val="000000" w:themeColor="text1"/>
          <w:sz w:val="22"/>
          <w:szCs w:val="22"/>
          <w:lang w:val="en-GB"/>
        </w:rPr>
        <w:t xml:space="preserve"> </w:t>
      </w:r>
      <w:r w:rsidR="00275228" w:rsidRPr="007F23AD">
        <w:rPr>
          <w:rFonts w:ascii="Calibri" w:eastAsia="DengXian" w:hAnsi="Calibri" w:cs="Calibri"/>
          <w:color w:val="000000" w:themeColor="text1"/>
          <w:sz w:val="22"/>
          <w:szCs w:val="22"/>
          <w:lang w:val="en-GB"/>
        </w:rPr>
        <w:t>D</w:t>
      </w:r>
      <w:r w:rsidRPr="007F23AD">
        <w:rPr>
          <w:rFonts w:ascii="Calibri" w:eastAsia="DengXian" w:hAnsi="Calibri" w:cs="Calibri"/>
          <w:color w:val="000000" w:themeColor="text1"/>
          <w:sz w:val="22"/>
          <w:szCs w:val="22"/>
          <w:lang w:val="en-GB"/>
        </w:rPr>
        <w:t>istribution for selected articles</w:t>
      </w:r>
      <w:r w:rsidR="00275228" w:rsidRPr="007F23AD">
        <w:rPr>
          <w:rFonts w:ascii="Calibri" w:eastAsia="DengXian" w:hAnsi="Calibri" w:cs="Calibri"/>
          <w:color w:val="000000" w:themeColor="text1"/>
          <w:sz w:val="22"/>
          <w:szCs w:val="22"/>
          <w:lang w:val="en-GB"/>
        </w:rPr>
        <w:t xml:space="preserve"> by country</w:t>
      </w:r>
      <w:r w:rsidRPr="007F23AD">
        <w:rPr>
          <w:rFonts w:ascii="Calibri" w:eastAsia="DengXian" w:hAnsi="Calibri" w:cs="Calibri"/>
          <w:color w:val="000000" w:themeColor="text1"/>
          <w:sz w:val="22"/>
          <w:szCs w:val="22"/>
          <w:lang w:val="en-GB"/>
        </w:rPr>
        <w:t>.</w:t>
      </w:r>
      <w:r w:rsidR="003E6EF8" w:rsidRPr="003E6EF8">
        <w:rPr>
          <w:rFonts w:ascii="Calibri" w:hAnsi="Calibri" w:cs="Calibri"/>
          <w:color w:val="000000" w:themeColor="text1"/>
          <w:sz w:val="22"/>
          <w:szCs w:val="22"/>
          <w:lang w:val="en-GB"/>
        </w:rPr>
        <w:t xml:space="preserve"> </w:t>
      </w:r>
    </w:p>
    <w:p w14:paraId="78F94AFB" w14:textId="7FF5326E" w:rsidR="003E6EF8"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40261623" w14:textId="03E88C8A" w:rsidR="006D45F6" w:rsidRPr="007F23AD" w:rsidRDefault="00003623"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 xml:space="preserve">Figure 6 and Figure 7 show the research methods employed in the focal studies, presented cumulatively. </w:t>
      </w:r>
      <w:r w:rsidR="00432CBF" w:rsidRPr="007F23AD">
        <w:rPr>
          <w:rFonts w:ascii="Calibri" w:hAnsi="Calibri" w:cs="Calibri"/>
          <w:color w:val="000000" w:themeColor="text1"/>
          <w:sz w:val="22"/>
          <w:szCs w:val="22"/>
          <w:lang w:val="en-GB"/>
        </w:rPr>
        <w:t xml:space="preserve">From the results provided in Figure </w:t>
      </w:r>
      <w:r w:rsidR="00B54269" w:rsidRPr="007F23AD">
        <w:rPr>
          <w:rFonts w:ascii="Calibri" w:hAnsi="Calibri" w:cs="Calibri"/>
          <w:color w:val="000000" w:themeColor="text1"/>
          <w:sz w:val="22"/>
          <w:szCs w:val="22"/>
          <w:lang w:val="en-GB"/>
        </w:rPr>
        <w:t>6</w:t>
      </w:r>
      <w:r w:rsidR="00432CBF" w:rsidRPr="007F23AD">
        <w:rPr>
          <w:rFonts w:ascii="Calibri" w:hAnsi="Calibri" w:cs="Calibri"/>
          <w:color w:val="000000" w:themeColor="text1"/>
          <w:sz w:val="22"/>
          <w:szCs w:val="22"/>
          <w:lang w:val="en-GB"/>
        </w:rPr>
        <w:t xml:space="preserve"> indicate that most of the current studies </w:t>
      </w:r>
      <w:r w:rsidR="002764D0" w:rsidRPr="007F23AD">
        <w:rPr>
          <w:rFonts w:ascii="Calibri" w:hAnsi="Calibri" w:cs="Calibri"/>
          <w:color w:val="000000" w:themeColor="text1"/>
          <w:sz w:val="22"/>
          <w:szCs w:val="22"/>
          <w:lang w:val="en-GB"/>
        </w:rPr>
        <w:t xml:space="preserve">related </w:t>
      </w:r>
      <w:r w:rsidR="00CD7216" w:rsidRPr="007F23AD">
        <w:rPr>
          <w:rFonts w:ascii="Calibri" w:hAnsi="Calibri" w:cs="Calibri"/>
          <w:color w:val="000000" w:themeColor="text1"/>
          <w:sz w:val="22"/>
          <w:szCs w:val="22"/>
          <w:lang w:val="en-GB"/>
        </w:rPr>
        <w:t>to</w:t>
      </w:r>
      <w:r w:rsidR="00432CBF" w:rsidRPr="007F23AD">
        <w:rPr>
          <w:rFonts w:ascii="Calibri" w:hAnsi="Calibri" w:cs="Calibri"/>
          <w:color w:val="000000" w:themeColor="text1"/>
          <w:sz w:val="22"/>
          <w:szCs w:val="22"/>
          <w:lang w:val="en-GB"/>
        </w:rPr>
        <w:t xml:space="preserve"> supply chain risks of </w:t>
      </w:r>
      <w:r w:rsidR="00453295" w:rsidRPr="007F23AD">
        <w:rPr>
          <w:rFonts w:ascii="Calibri" w:hAnsi="Calibri" w:cs="Calibri"/>
          <w:color w:val="000000" w:themeColor="text1"/>
          <w:sz w:val="22"/>
          <w:szCs w:val="22"/>
          <w:lang w:val="en-GB"/>
        </w:rPr>
        <w:t>construction SMEs</w:t>
      </w:r>
      <w:r w:rsidR="00432CBF" w:rsidRPr="007F23AD">
        <w:rPr>
          <w:rFonts w:ascii="Calibri" w:hAnsi="Calibri" w:cs="Calibri"/>
          <w:color w:val="000000" w:themeColor="text1"/>
          <w:sz w:val="22"/>
          <w:szCs w:val="22"/>
          <w:lang w:val="en-GB"/>
        </w:rPr>
        <w:t xml:space="preserve"> are empirical</w:t>
      </w:r>
      <w:r w:rsidR="00453295" w:rsidRPr="007F23AD">
        <w:rPr>
          <w:rFonts w:ascii="Calibri" w:hAnsi="Calibri" w:cs="Calibri"/>
          <w:color w:val="000000" w:themeColor="text1"/>
          <w:sz w:val="22"/>
          <w:szCs w:val="22"/>
          <w:lang w:val="en-GB"/>
        </w:rPr>
        <w:t xml:space="preserve"> research</w:t>
      </w:r>
      <w:r w:rsidR="00432CBF" w:rsidRPr="007F23AD">
        <w:rPr>
          <w:rFonts w:ascii="Calibri" w:hAnsi="Calibri" w:cs="Calibri"/>
          <w:color w:val="000000" w:themeColor="text1"/>
          <w:sz w:val="22"/>
          <w:szCs w:val="22"/>
          <w:lang w:val="en-GB"/>
        </w:rPr>
        <w:t>.</w:t>
      </w:r>
      <w:r w:rsidR="001F2FDE" w:rsidRPr="007F23AD">
        <w:rPr>
          <w:rFonts w:ascii="Calibri" w:hAnsi="Calibri" w:cs="Calibri"/>
          <w:color w:val="000000" w:themeColor="text1"/>
          <w:sz w:val="22"/>
          <w:szCs w:val="22"/>
          <w:lang w:val="en-GB"/>
        </w:rPr>
        <w:t xml:space="preserve"> F</w:t>
      </w:r>
      <w:r w:rsidR="00432CBF" w:rsidRPr="007F23AD">
        <w:rPr>
          <w:rFonts w:ascii="Calibri" w:hAnsi="Calibri" w:cs="Calibri"/>
          <w:color w:val="000000" w:themeColor="text1"/>
          <w:sz w:val="22"/>
          <w:szCs w:val="22"/>
          <w:lang w:val="en-GB"/>
        </w:rPr>
        <w:t xml:space="preserve">rom 2005 to </w:t>
      </w:r>
      <w:r w:rsidR="00784E46" w:rsidRPr="007F23AD">
        <w:rPr>
          <w:rFonts w:ascii="Calibri" w:eastAsia="DengXian" w:hAnsi="Calibri" w:cs="Calibri"/>
          <w:color w:val="000000" w:themeColor="text1"/>
          <w:sz w:val="22"/>
          <w:szCs w:val="22"/>
          <w:lang w:val="en-GB"/>
        </w:rPr>
        <w:t xml:space="preserve">November </w:t>
      </w:r>
      <w:r w:rsidR="00432CBF" w:rsidRPr="007F23AD">
        <w:rPr>
          <w:rFonts w:ascii="Calibri" w:hAnsi="Calibri" w:cs="Calibri"/>
          <w:color w:val="000000" w:themeColor="text1"/>
          <w:sz w:val="22"/>
          <w:szCs w:val="22"/>
          <w:lang w:val="en-GB"/>
        </w:rPr>
        <w:t>202</w:t>
      </w:r>
      <w:r w:rsidR="00C05234" w:rsidRPr="007F23AD">
        <w:rPr>
          <w:rFonts w:ascii="Calibri" w:hAnsi="Calibri" w:cs="Calibri"/>
          <w:color w:val="000000" w:themeColor="text1"/>
          <w:sz w:val="22"/>
          <w:szCs w:val="22"/>
          <w:lang w:val="en-GB"/>
        </w:rPr>
        <w:t>3</w:t>
      </w:r>
      <w:r w:rsidR="00432CBF" w:rsidRPr="007F23AD">
        <w:rPr>
          <w:rFonts w:ascii="Calibri" w:hAnsi="Calibri" w:cs="Calibri"/>
          <w:color w:val="000000" w:themeColor="text1"/>
          <w:sz w:val="22"/>
          <w:szCs w:val="22"/>
          <w:lang w:val="en-GB"/>
        </w:rPr>
        <w:t>, the number of conceptual papers and articles combining empirical and conceptual methods increased steadily and slowly. This suggests that scholars have not abandoned theory development in pursuit of empirical research. Continuous developments in science and technology, and the changing environment, such as the technological innovations brought about by Industry 4.0, create a multitude of opportunities and challenges for theoretical research.</w:t>
      </w:r>
    </w:p>
    <w:p w14:paraId="0DA4CABF" w14:textId="77777777" w:rsidR="009C44C7" w:rsidRPr="007F23AD" w:rsidRDefault="009C44C7" w:rsidP="00C3226C">
      <w:pPr>
        <w:spacing w:line="480" w:lineRule="auto"/>
        <w:jc w:val="both"/>
        <w:rPr>
          <w:rFonts w:ascii="Calibri" w:hAnsi="Calibri" w:cs="Calibri"/>
          <w:color w:val="000000" w:themeColor="text1"/>
          <w:sz w:val="22"/>
          <w:szCs w:val="22"/>
          <w:lang w:val="en-GB"/>
        </w:rPr>
      </w:pPr>
    </w:p>
    <w:p w14:paraId="1A46C55E" w14:textId="17A7387A" w:rsidR="00432CBF" w:rsidRPr="007F23AD" w:rsidRDefault="00C96D9A" w:rsidP="004F3DE9">
      <w:pPr>
        <w:spacing w:line="480" w:lineRule="auto"/>
        <w:jc w:val="both"/>
        <w:rPr>
          <w:rFonts w:ascii="Calibri" w:hAnsi="Calibri" w:cs="Calibri"/>
          <w:b/>
          <w:bCs/>
          <w:color w:val="000000" w:themeColor="text1"/>
          <w:sz w:val="22"/>
          <w:szCs w:val="22"/>
          <w:lang w:val="en-GB"/>
        </w:rPr>
      </w:pPr>
      <w:r w:rsidRPr="007F23AD">
        <w:rPr>
          <w:rFonts w:ascii="Calibri" w:hAnsi="Calibri" w:cs="Calibri"/>
          <w:noProof/>
          <w:color w:val="000000" w:themeColor="text1"/>
          <w:sz w:val="22"/>
          <w:szCs w:val="22"/>
          <w:lang w:val="en-GB"/>
        </w:rPr>
        <w:drawing>
          <wp:inline distT="0" distB="0" distL="0" distR="0" wp14:anchorId="54407D5B" wp14:editId="26F39BAA">
            <wp:extent cx="5238750" cy="2582562"/>
            <wp:effectExtent l="0" t="0" r="6350" b="8255"/>
            <wp:docPr id="166085500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6C55C6" w14:textId="77777777" w:rsidR="003E6EF8" w:rsidRDefault="00432CBF" w:rsidP="003E6EF8">
      <w:pPr>
        <w:jc w:val="cente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Figure </w:t>
      </w:r>
      <w:r w:rsidR="009F3C68" w:rsidRPr="007F23AD">
        <w:rPr>
          <w:rFonts w:ascii="Calibri" w:eastAsia="DengXian" w:hAnsi="Calibri" w:cs="Calibri"/>
          <w:color w:val="000000" w:themeColor="text1"/>
          <w:sz w:val="22"/>
          <w:szCs w:val="22"/>
          <w:lang w:val="en-GB"/>
        </w:rPr>
        <w:t>6:</w:t>
      </w:r>
      <w:r w:rsidRPr="007F23AD">
        <w:rPr>
          <w:rFonts w:ascii="Calibri" w:eastAsia="DengXian" w:hAnsi="Calibri" w:cs="Calibri"/>
          <w:color w:val="000000" w:themeColor="text1"/>
          <w:sz w:val="22"/>
          <w:szCs w:val="22"/>
          <w:lang w:val="en-GB"/>
        </w:rPr>
        <w:t xml:space="preserve"> Research type for selected articles</w:t>
      </w:r>
    </w:p>
    <w:p w14:paraId="70D6CB42" w14:textId="3C1AAA87" w:rsidR="003E6EF8"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1656C817" w14:textId="7B4092D7" w:rsidR="00432CBF" w:rsidRPr="003E6EF8" w:rsidRDefault="00432CBF" w:rsidP="00A7558E">
      <w:pPr>
        <w:spacing w:line="480" w:lineRule="auto"/>
        <w:jc w:val="center"/>
        <w:rPr>
          <w:rFonts w:ascii="Calibri" w:eastAsia="DengXian" w:hAnsi="Calibri" w:cs="Calibri"/>
          <w:color w:val="000000" w:themeColor="text1"/>
          <w:sz w:val="22"/>
          <w:szCs w:val="22"/>
          <w:lang w:val="en-GB"/>
        </w:rPr>
      </w:pPr>
    </w:p>
    <w:p w14:paraId="5F00B761" w14:textId="77777777" w:rsidR="004F3DE9" w:rsidRPr="007F23AD" w:rsidRDefault="004F3DE9" w:rsidP="00A7558E">
      <w:pPr>
        <w:spacing w:line="480" w:lineRule="auto"/>
        <w:jc w:val="center"/>
        <w:rPr>
          <w:rFonts w:ascii="Calibri" w:hAnsi="Calibri" w:cs="Calibri"/>
          <w:b/>
          <w:bCs/>
          <w:color w:val="000000" w:themeColor="text1"/>
          <w:sz w:val="22"/>
          <w:szCs w:val="22"/>
          <w:lang w:val="en-GB"/>
        </w:rPr>
      </w:pPr>
    </w:p>
    <w:p w14:paraId="4FD9010F" w14:textId="5806D82C" w:rsidR="00432CBF" w:rsidRPr="007F23AD" w:rsidRDefault="00C96D9A" w:rsidP="00C96D9A">
      <w:pPr>
        <w:spacing w:line="480" w:lineRule="auto"/>
        <w:rPr>
          <w:rFonts w:ascii="Calibri" w:hAnsi="Calibri" w:cs="Calibri"/>
          <w:b/>
          <w:bCs/>
          <w:color w:val="000000" w:themeColor="text1"/>
          <w:sz w:val="22"/>
          <w:szCs w:val="22"/>
          <w:lang w:val="en-GB"/>
        </w:rPr>
      </w:pPr>
      <w:r w:rsidRPr="007F23AD">
        <w:rPr>
          <w:rFonts w:ascii="Calibri" w:hAnsi="Calibri" w:cs="Calibri"/>
          <w:noProof/>
          <w:color w:val="000000" w:themeColor="text1"/>
          <w:sz w:val="22"/>
          <w:szCs w:val="22"/>
          <w:lang w:val="en-GB"/>
        </w:rPr>
        <w:lastRenderedPageBreak/>
        <w:drawing>
          <wp:inline distT="0" distB="0" distL="0" distR="0" wp14:anchorId="2289BFB2" wp14:editId="0A1C092C">
            <wp:extent cx="5238750" cy="2619632"/>
            <wp:effectExtent l="0" t="0" r="6350" b="9525"/>
            <wp:docPr id="149243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F23AD">
        <w:rPr>
          <w:rFonts w:ascii="Calibri" w:hAnsi="Calibri" w:cs="Calibri"/>
          <w:noProof/>
          <w:color w:val="000000" w:themeColor="text1"/>
          <w:sz w:val="22"/>
          <w:szCs w:val="22"/>
          <w:lang w:val="en-GB"/>
        </w:rPr>
        <w:t xml:space="preserve"> </w:t>
      </w:r>
    </w:p>
    <w:p w14:paraId="765CB50D" w14:textId="77777777" w:rsidR="003E6EF8" w:rsidRDefault="00432CBF" w:rsidP="003E6EF8">
      <w:pPr>
        <w:jc w:val="cente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Figure </w:t>
      </w:r>
      <w:r w:rsidR="0094588B" w:rsidRPr="007F23AD">
        <w:rPr>
          <w:rFonts w:ascii="Calibri" w:eastAsia="DengXian" w:hAnsi="Calibri" w:cs="Calibri"/>
          <w:color w:val="000000" w:themeColor="text1"/>
          <w:sz w:val="22"/>
          <w:szCs w:val="22"/>
          <w:lang w:val="en-GB"/>
        </w:rPr>
        <w:t>7:</w:t>
      </w:r>
      <w:r w:rsidRPr="007F23AD">
        <w:rPr>
          <w:rFonts w:ascii="Calibri" w:eastAsia="DengXian" w:hAnsi="Calibri" w:cs="Calibri"/>
          <w:color w:val="000000" w:themeColor="text1"/>
          <w:sz w:val="22"/>
          <w:szCs w:val="22"/>
          <w:lang w:val="en-GB"/>
        </w:rPr>
        <w:t xml:space="preserve"> Research method for selected articles </w:t>
      </w:r>
    </w:p>
    <w:p w14:paraId="660CC7BF" w14:textId="299C9068" w:rsidR="003E6EF8"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72D40A76" w14:textId="1357C7E6" w:rsidR="007D27F2" w:rsidRPr="003E6EF8" w:rsidRDefault="007D27F2" w:rsidP="001A5B50">
      <w:pPr>
        <w:spacing w:line="480" w:lineRule="auto"/>
        <w:jc w:val="center"/>
        <w:rPr>
          <w:rFonts w:ascii="Calibri" w:eastAsia="DengXian" w:hAnsi="Calibri" w:cs="Calibri"/>
          <w:color w:val="000000" w:themeColor="text1"/>
          <w:sz w:val="22"/>
          <w:szCs w:val="22"/>
          <w:lang w:val="en-GB"/>
        </w:rPr>
      </w:pPr>
    </w:p>
    <w:p w14:paraId="077C929A" w14:textId="77777777" w:rsidR="0017770D" w:rsidRPr="007F23AD" w:rsidRDefault="0017770D" w:rsidP="001A5B50">
      <w:pPr>
        <w:spacing w:line="480" w:lineRule="auto"/>
        <w:jc w:val="center"/>
        <w:rPr>
          <w:rFonts w:ascii="Calibri" w:eastAsia="DengXian" w:hAnsi="Calibri" w:cs="Calibri"/>
          <w:b/>
          <w:bCs/>
          <w:color w:val="000000" w:themeColor="text1"/>
          <w:sz w:val="22"/>
          <w:szCs w:val="22"/>
          <w:lang w:val="en-GB"/>
        </w:rPr>
      </w:pPr>
    </w:p>
    <w:p w14:paraId="433DE9EF" w14:textId="164AEAAE" w:rsidR="000B7258" w:rsidRPr="007F23AD" w:rsidRDefault="00CD1265" w:rsidP="008B2859">
      <w:pPr>
        <w:spacing w:line="480" w:lineRule="auto"/>
        <w:jc w:val="both"/>
        <w:rPr>
          <w:color w:val="000000" w:themeColor="text1"/>
          <w:lang w:val="en-GB"/>
        </w:rPr>
      </w:pPr>
      <w:r w:rsidRPr="007F23AD">
        <w:rPr>
          <w:rFonts w:ascii="Calibri" w:eastAsia="DengXian" w:hAnsi="Calibri" w:cs="Calibri"/>
          <w:color w:val="000000" w:themeColor="text1"/>
          <w:sz w:val="22"/>
          <w:szCs w:val="22"/>
          <w:lang w:val="en-GB"/>
        </w:rPr>
        <w:t>To</w:t>
      </w:r>
      <w:r w:rsidR="00F473AF" w:rsidRPr="007F23AD">
        <w:rPr>
          <w:rFonts w:ascii="Calibri" w:eastAsia="DengXian" w:hAnsi="Calibri" w:cs="Calibri"/>
          <w:color w:val="000000" w:themeColor="text1"/>
          <w:sz w:val="22"/>
          <w:szCs w:val="22"/>
          <w:lang w:val="en-GB"/>
        </w:rPr>
        <w:t xml:space="preserve"> have a</w:t>
      </w:r>
      <w:r w:rsidR="000C486C" w:rsidRPr="007F23AD">
        <w:rPr>
          <w:rFonts w:ascii="Calibri" w:eastAsia="DengXian" w:hAnsi="Calibri" w:cs="Calibri"/>
          <w:color w:val="000000" w:themeColor="text1"/>
          <w:sz w:val="22"/>
          <w:szCs w:val="22"/>
          <w:lang w:val="en-GB"/>
        </w:rPr>
        <w:t xml:space="preserve"> better understanding of the overall nature of the papers, </w:t>
      </w:r>
      <w:r w:rsidR="00F473AF" w:rsidRPr="007F23AD">
        <w:rPr>
          <w:rFonts w:ascii="Calibri" w:eastAsia="DengXian" w:hAnsi="Calibri" w:cs="Calibri"/>
          <w:color w:val="000000" w:themeColor="text1"/>
          <w:sz w:val="22"/>
          <w:szCs w:val="22"/>
          <w:lang w:val="en-GB"/>
        </w:rPr>
        <w:t xml:space="preserve">the results of the titles and abstracts of the 106 articles using the </w:t>
      </w:r>
      <w:proofErr w:type="spellStart"/>
      <w:r w:rsidR="00F473AF" w:rsidRPr="007F23AD">
        <w:rPr>
          <w:rFonts w:ascii="Calibri" w:eastAsia="DengXian" w:hAnsi="Calibri" w:cs="Calibri"/>
          <w:color w:val="000000" w:themeColor="text1"/>
          <w:sz w:val="22"/>
          <w:szCs w:val="22"/>
          <w:lang w:val="en-GB"/>
        </w:rPr>
        <w:t>VOSviewer</w:t>
      </w:r>
      <w:proofErr w:type="spellEnd"/>
      <w:r w:rsidR="00F473AF" w:rsidRPr="007F23AD">
        <w:rPr>
          <w:rFonts w:ascii="Calibri" w:eastAsia="DengXian" w:hAnsi="Calibri" w:cs="Calibri"/>
          <w:color w:val="000000" w:themeColor="text1"/>
          <w:sz w:val="22"/>
          <w:szCs w:val="22"/>
          <w:lang w:val="en-GB"/>
        </w:rPr>
        <w:t xml:space="preserve"> software as shown in Figure 8, where each node represents a keyword or research topic. The size of the node indicates the importance or frequency of the keyword, and a network diagram was generated accordingly. The colour of the nodes and connecting lines typically indicates the time or classification. The gradation of colours from blue to red indicates the passage of time, with blue representing earlier studies and red representing more recent studies. In Figure 8, 'construction supply chain', 'innovation', and '</w:t>
      </w:r>
      <w:r w:rsidR="00FB5889" w:rsidRPr="007F23AD">
        <w:rPr>
          <w:rFonts w:ascii="Calibri" w:eastAsia="DengXian" w:hAnsi="Calibri" w:cs="Calibri"/>
          <w:color w:val="000000" w:themeColor="text1"/>
          <w:sz w:val="22"/>
          <w:szCs w:val="22"/>
          <w:lang w:val="en-GB"/>
        </w:rPr>
        <w:t>strategy</w:t>
      </w:r>
      <w:r w:rsidR="00F473AF" w:rsidRPr="007F23AD">
        <w:rPr>
          <w:rFonts w:ascii="Calibri" w:eastAsia="DengXian" w:hAnsi="Calibri" w:cs="Calibri"/>
          <w:color w:val="000000" w:themeColor="text1"/>
          <w:sz w:val="22"/>
          <w:szCs w:val="22"/>
          <w:lang w:val="en-GB"/>
        </w:rPr>
        <w:t>' are prominent keywords and are connected to many other keywords, indicating the main concepts in current research. Other keywords such as 'collaboration', 'contract', and 'quality' are related to supply chain management and appear to be popular research topics in recent years.</w:t>
      </w:r>
    </w:p>
    <w:p w14:paraId="3C30E989" w14:textId="1C9BC39A" w:rsidR="00E87571" w:rsidRPr="007F23AD" w:rsidRDefault="000A5990" w:rsidP="00E87571">
      <w:pPr>
        <w:spacing w:line="480" w:lineRule="auto"/>
        <w:jc w:val="center"/>
        <w:rPr>
          <w:rFonts w:ascii="Calibri" w:hAnsi="Calibri" w:cs="Calibri"/>
          <w:noProof/>
          <w:color w:val="000000" w:themeColor="text1"/>
          <w:sz w:val="22"/>
          <w:szCs w:val="22"/>
          <w:lang w:val="en-GB"/>
        </w:rPr>
      </w:pPr>
      <w:r w:rsidRPr="007F23AD">
        <w:rPr>
          <w:rFonts w:ascii="Calibri" w:hAnsi="Calibri" w:cs="Calibri"/>
          <w:noProof/>
          <w:color w:val="000000" w:themeColor="text1"/>
          <w:sz w:val="22"/>
          <w:szCs w:val="22"/>
          <w:lang w:val="en-GB"/>
        </w:rPr>
        <w:lastRenderedPageBreak/>
        <w:drawing>
          <wp:inline distT="0" distB="0" distL="0" distR="0" wp14:anchorId="1EABA89D" wp14:editId="3A705552">
            <wp:extent cx="4491567" cy="2966058"/>
            <wp:effectExtent l="0" t="0" r="4445" b="6350"/>
            <wp:docPr id="1206429660" name="Picture 1206429660"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29660" name="Picture 1" descr="A diagram of a network&#10;&#10;Description automatically generated"/>
                    <pic:cNvPicPr/>
                  </pic:nvPicPr>
                  <pic:blipFill>
                    <a:blip r:embed="rId18"/>
                    <a:stretch>
                      <a:fillRect/>
                    </a:stretch>
                  </pic:blipFill>
                  <pic:spPr>
                    <a:xfrm>
                      <a:off x="0" y="0"/>
                      <a:ext cx="4503146" cy="2973705"/>
                    </a:xfrm>
                    <a:prstGeom prst="rect">
                      <a:avLst/>
                    </a:prstGeom>
                  </pic:spPr>
                </pic:pic>
              </a:graphicData>
            </a:graphic>
          </wp:inline>
        </w:drawing>
      </w:r>
    </w:p>
    <w:p w14:paraId="1460F05E" w14:textId="0F3E9E16" w:rsidR="003E6EF8" w:rsidRDefault="00E87571" w:rsidP="003E6EF8">
      <w:pPr>
        <w:jc w:val="center"/>
        <w:rPr>
          <w:rFonts w:ascii="Calibri" w:hAnsi="Calibri" w:cs="Calibri" w:hint="eastAsia"/>
          <w:color w:val="000000" w:themeColor="text1"/>
          <w:sz w:val="22"/>
          <w:szCs w:val="22"/>
          <w:lang w:val="en-GB"/>
        </w:rPr>
      </w:pPr>
      <w:r w:rsidRPr="007F23AD">
        <w:rPr>
          <w:rFonts w:ascii="Calibri" w:hAnsi="Calibri" w:cs="Calibri"/>
          <w:color w:val="000000" w:themeColor="text1"/>
          <w:sz w:val="22"/>
          <w:szCs w:val="22"/>
          <w:lang w:val="en-GB"/>
        </w:rPr>
        <w:t xml:space="preserve">Figure 8: Network of selected article based on the </w:t>
      </w:r>
      <w:r w:rsidRPr="007F23AD">
        <w:rPr>
          <w:rFonts w:ascii="Calibri" w:hAnsi="Calibri" w:cs="Calibri"/>
          <w:color w:val="000000" w:themeColor="text1"/>
          <w:sz w:val="22"/>
          <w:szCs w:val="22"/>
        </w:rPr>
        <w:t>title and abstract</w:t>
      </w:r>
    </w:p>
    <w:p w14:paraId="13F81135" w14:textId="4DFD9599" w:rsidR="003E6EF8" w:rsidRDefault="003E6EF8" w:rsidP="003E6E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p w14:paraId="7AF80AAE" w14:textId="2EB8E4FD" w:rsidR="0017770D" w:rsidRPr="007F23AD" w:rsidRDefault="0017770D" w:rsidP="00E87571">
      <w:pPr>
        <w:spacing w:line="480" w:lineRule="auto"/>
        <w:jc w:val="center"/>
        <w:rPr>
          <w:rFonts w:ascii="Calibri" w:hAnsi="Calibri" w:cs="Calibri"/>
          <w:color w:val="000000" w:themeColor="text1"/>
          <w:sz w:val="22"/>
          <w:szCs w:val="22"/>
        </w:rPr>
      </w:pPr>
    </w:p>
    <w:p w14:paraId="51A6698F" w14:textId="77777777" w:rsidR="00734D47" w:rsidRPr="007F23AD" w:rsidRDefault="00734D47" w:rsidP="00E87571">
      <w:pPr>
        <w:spacing w:line="480" w:lineRule="auto"/>
        <w:jc w:val="center"/>
        <w:rPr>
          <w:rFonts w:ascii="Calibri" w:hAnsi="Calibri" w:cs="Calibri"/>
          <w:color w:val="000000" w:themeColor="text1"/>
          <w:sz w:val="22"/>
          <w:szCs w:val="22"/>
        </w:rPr>
      </w:pPr>
    </w:p>
    <w:p w14:paraId="2A6D69CC" w14:textId="77777777" w:rsidR="000C486C" w:rsidRPr="007F23AD" w:rsidRDefault="000C486C" w:rsidP="000C486C">
      <w:pPr>
        <w:pStyle w:val="a3"/>
        <w:numPr>
          <w:ilvl w:val="1"/>
          <w:numId w:val="2"/>
        </w:numPr>
        <w:spacing w:line="480" w:lineRule="auto"/>
        <w:jc w:val="both"/>
        <w:rPr>
          <w:rFonts w:ascii="Calibri" w:hAnsi="Calibri" w:cs="Calibri"/>
          <w:b/>
          <w:bCs/>
          <w:i/>
          <w:iCs/>
          <w:color w:val="000000" w:themeColor="text1"/>
          <w:sz w:val="22"/>
          <w:szCs w:val="22"/>
          <w:lang w:val="en-GB"/>
        </w:rPr>
      </w:pPr>
      <w:r w:rsidRPr="007F23AD">
        <w:rPr>
          <w:rFonts w:ascii="Calibri" w:eastAsia="DengXian" w:hAnsi="Calibri" w:cs="Calibri"/>
          <w:b/>
          <w:bCs/>
          <w:i/>
          <w:iCs/>
          <w:color w:val="000000" w:themeColor="text1"/>
          <w:sz w:val="22"/>
          <w:szCs w:val="22"/>
          <w:lang w:val="en-GB"/>
        </w:rPr>
        <w:t>SMEs supply chain risk themes</w:t>
      </w:r>
    </w:p>
    <w:p w14:paraId="73DE80B1" w14:textId="494C5274" w:rsidR="009954F7" w:rsidRPr="007F23AD" w:rsidRDefault="000C486C" w:rsidP="005A7860">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Based on the analysis carried out using NVivo 12 software, the risks were categori</w:t>
      </w:r>
      <w:r w:rsidR="00632F33" w:rsidRPr="007F23AD">
        <w:rPr>
          <w:rFonts w:ascii="Calibri" w:eastAsia="DengXian" w:hAnsi="Calibri" w:cs="Calibri"/>
          <w:color w:val="000000" w:themeColor="text1"/>
          <w:sz w:val="22"/>
          <w:szCs w:val="22"/>
          <w:lang w:val="en-GB"/>
        </w:rPr>
        <w:t>s</w:t>
      </w:r>
      <w:r w:rsidRPr="007F23AD">
        <w:rPr>
          <w:rFonts w:ascii="Calibri" w:eastAsia="DengXian" w:hAnsi="Calibri" w:cs="Calibri"/>
          <w:color w:val="000000" w:themeColor="text1"/>
          <w:sz w:val="22"/>
          <w:szCs w:val="22"/>
          <w:lang w:val="en-GB"/>
        </w:rPr>
        <w:t>ed into three main themes, with each category representing a different aspect of supply chain risk for SMEs in the construction industry.</w:t>
      </w:r>
      <w:r w:rsidR="001250DF" w:rsidRPr="007F23AD">
        <w:rPr>
          <w:rFonts w:ascii="Calibri" w:eastAsia="DengXian" w:hAnsi="Calibri" w:cs="Calibri" w:hint="eastAsia"/>
          <w:color w:val="000000" w:themeColor="text1"/>
          <w:sz w:val="22"/>
          <w:szCs w:val="22"/>
          <w:lang w:val="en-GB"/>
        </w:rPr>
        <w:t xml:space="preserve"> </w:t>
      </w:r>
      <w:r w:rsidR="009954F7" w:rsidRPr="007F23AD">
        <w:rPr>
          <w:rFonts w:ascii="Calibri" w:eastAsia="DengXian" w:hAnsi="Calibri" w:cs="Calibri"/>
          <w:color w:val="000000" w:themeColor="text1"/>
          <w:sz w:val="22"/>
          <w:szCs w:val="22"/>
          <w:lang w:val="en-GB"/>
        </w:rPr>
        <w:t>I</w:t>
      </w:r>
      <w:r w:rsidR="001250DF" w:rsidRPr="007F23AD">
        <w:rPr>
          <w:rFonts w:ascii="Calibri" w:eastAsia="DengXian" w:hAnsi="Calibri" w:cs="Calibri" w:hint="eastAsia"/>
          <w:color w:val="000000" w:themeColor="text1"/>
          <w:sz w:val="22"/>
          <w:szCs w:val="22"/>
          <w:lang w:val="en-GB"/>
        </w:rPr>
        <w:t>n</w:t>
      </w:r>
      <w:r w:rsidR="009954F7" w:rsidRPr="007F23AD">
        <w:rPr>
          <w:rFonts w:ascii="Calibri" w:eastAsia="DengXian" w:hAnsi="Calibri" w:cs="Calibri"/>
          <w:color w:val="000000" w:themeColor="text1"/>
          <w:sz w:val="22"/>
          <w:szCs w:val="22"/>
          <w:lang w:val="en-GB"/>
        </w:rPr>
        <w:t xml:space="preserve"> the following subsections we explore each in detail, </w:t>
      </w:r>
      <w:r w:rsidR="00740206" w:rsidRPr="007F23AD">
        <w:rPr>
          <w:rFonts w:ascii="Calibri" w:eastAsia="DengXian" w:hAnsi="Calibri" w:cs="Calibri"/>
          <w:color w:val="000000" w:themeColor="text1"/>
          <w:sz w:val="22"/>
          <w:szCs w:val="22"/>
          <w:lang w:val="en-GB"/>
        </w:rPr>
        <w:t xml:space="preserve">presenting notable findings and apparent gaps pertinent for future research endeavours. </w:t>
      </w:r>
    </w:p>
    <w:p w14:paraId="1486D521" w14:textId="77777777" w:rsidR="009954F7" w:rsidRPr="007F23AD" w:rsidRDefault="009954F7" w:rsidP="009954F7">
      <w:pPr>
        <w:spacing w:line="480" w:lineRule="auto"/>
        <w:rPr>
          <w:rFonts w:ascii="Calibri" w:eastAsia="DengXian" w:hAnsi="Calibri" w:cs="Calibri"/>
          <w:color w:val="000000" w:themeColor="text1"/>
          <w:sz w:val="22"/>
          <w:szCs w:val="22"/>
          <w:lang w:val="en-GB"/>
        </w:rPr>
      </w:pPr>
    </w:p>
    <w:p w14:paraId="7B12FB1F" w14:textId="14D2F7E2" w:rsidR="004C7755" w:rsidRPr="007F23AD" w:rsidRDefault="000C486C" w:rsidP="00C3226C">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It is worth noting that these risks do not exist independently</w:t>
      </w:r>
      <w:r w:rsidR="009954F7" w:rsidRPr="007F23AD">
        <w:rPr>
          <w:rFonts w:ascii="Calibri" w:eastAsia="DengXian" w:hAnsi="Calibri" w:cs="Calibri"/>
          <w:color w:val="000000" w:themeColor="text1"/>
          <w:sz w:val="22"/>
          <w:szCs w:val="22"/>
          <w:lang w:val="en-GB"/>
        </w:rPr>
        <w:t>; s</w:t>
      </w:r>
      <w:r w:rsidR="00F505B4" w:rsidRPr="007F23AD">
        <w:rPr>
          <w:rFonts w:ascii="Calibri" w:eastAsia="DengXian" w:hAnsi="Calibri" w:cs="Calibri"/>
          <w:color w:val="000000" w:themeColor="text1"/>
          <w:sz w:val="22"/>
          <w:szCs w:val="22"/>
          <w:lang w:val="en-GB"/>
        </w:rPr>
        <w:t>ome risks span various themes and can impact multiple dimensions, potentially even producing risk propagation.</w:t>
      </w:r>
      <w:r w:rsidR="007E3038" w:rsidRPr="007F23AD">
        <w:rPr>
          <w:rFonts w:ascii="Calibri" w:eastAsia="DengXian" w:hAnsi="Calibri" w:cs="Calibri"/>
          <w:color w:val="000000" w:themeColor="text1"/>
          <w:sz w:val="22"/>
          <w:szCs w:val="22"/>
          <w:lang w:val="en-GB"/>
        </w:rPr>
        <w:t xml:space="preserve"> </w:t>
      </w:r>
      <w:r w:rsidR="00D2308A" w:rsidRPr="007F23AD">
        <w:rPr>
          <w:rFonts w:ascii="Calibri" w:eastAsia="DengXian" w:hAnsi="Calibri" w:cs="Calibri"/>
          <w:color w:val="000000" w:themeColor="text1"/>
          <w:sz w:val="22"/>
          <w:szCs w:val="22"/>
          <w:lang w:val="en-GB"/>
        </w:rPr>
        <w:t xml:space="preserve">For instance, </w:t>
      </w:r>
      <w:r w:rsidR="00033749" w:rsidRPr="007F23AD">
        <w:rPr>
          <w:rFonts w:ascii="Calibri" w:eastAsia="DengXian" w:hAnsi="Calibri" w:cs="Calibri"/>
          <w:color w:val="000000" w:themeColor="text1"/>
          <w:sz w:val="22"/>
          <w:szCs w:val="22"/>
          <w:lang w:val="en-GB"/>
        </w:rPr>
        <w:fldChar w:fldCharType="begin"/>
      </w:r>
      <w:r w:rsidR="005727DB" w:rsidRPr="007F23AD">
        <w:rPr>
          <w:rFonts w:ascii="Calibri" w:eastAsia="DengXian" w:hAnsi="Calibri" w:cs="Calibri"/>
          <w:color w:val="000000" w:themeColor="text1"/>
          <w:sz w:val="22"/>
          <w:szCs w:val="22"/>
          <w:lang w:val="en-GB"/>
        </w:rPr>
        <w:instrText xml:space="preserve"> ADDIN EN.CITE &lt;EndNote&gt;&lt;Cite AuthorYear="1"&gt;&lt;Author&gt;Salami&lt;/Author&gt;&lt;Year&gt;2021&lt;/Year&gt;&lt;RecNum&gt;921&lt;/RecNum&gt;&lt;DisplayText&gt;Salami et al. (2021)&lt;/DisplayText&gt;&lt;record&gt;&lt;rec-number&gt;921&lt;/rec-number&gt;&lt;foreign-keys&gt;&lt;key app="EN" db-id="vxw0ffesn9zzt0ewpdx5r5a3fpw92aep9re9" timestamp="1684851507" guid="692ad2cd-dfa8-4c1b-8823-d0e24ab6eb51"&gt;921&lt;/key&gt;&lt;/foreign-keys&gt;&lt;ref-type name="Journal Article"&gt;17&lt;/ref-type&gt;&lt;contributors&gt;&lt;authors&gt;&lt;author&gt;Salami, Babatunde A.&lt;/author&gt;&lt;author&gt;Ajayi, Saheed O.&lt;/author&gt;&lt;author&gt;Oyegoke, Adekunle S.&lt;/author&gt;&lt;/authors&gt;&lt;/contributors&gt;&lt;titles&gt;&lt;title&gt;Tackling the impacts of Covid-19 on construction projects: an exploration of contractual dispute avoidance measures adopted by construction firms&lt;/title&gt;&lt;secondary-title&gt;International Journal of Construction Management&lt;/secondary-title&gt;&lt;/titles&gt;&lt;periodical&gt;&lt;full-title&gt;International Journal of Construction Management&lt;/full-title&gt;&lt;/periodical&gt;&lt;pages&gt;1196-1204&lt;/pages&gt;&lt;volume&gt;23&lt;/volume&gt;&lt;number&gt;7&lt;/number&gt;&lt;section&gt;1196&lt;/section&gt;&lt;dates&gt;&lt;year&gt;2021&lt;/year&gt;&lt;/dates&gt;&lt;isbn&gt;1562-3599&amp;#xD;2331-2327&lt;/isbn&gt;&lt;work-type&gt;Article&lt;/work-type&gt;&lt;urls&gt;&lt;related-urls&gt;&lt;url&gt;https://www.scopus.com/inward/record.uri?eid=2-s2.0-85112151848&amp;amp;doi=10.1080%2f15623599.2021.1963561&amp;amp;partnerID=40&amp;amp;md5=f6f329242f3f8fa81e29fdf063fb199e&lt;/url&gt;&lt;/related-urls&gt;&lt;/urls&gt;&lt;electronic-resource-num&gt;10.1080/15623599.2021.1963561&lt;/electronic-resource-num&gt;&lt;remote-database-name&gt;Scopus&lt;/remote-database-name&gt;&lt;/record&gt;&lt;/Cite&gt;&lt;/EndNote&gt;</w:instrText>
      </w:r>
      <w:r w:rsidR="00033749"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Salami et al. (2021)</w:t>
      </w:r>
      <w:r w:rsidR="00033749" w:rsidRPr="007F23AD">
        <w:rPr>
          <w:rFonts w:ascii="Calibri" w:eastAsia="DengXian" w:hAnsi="Calibri" w:cs="Calibri"/>
          <w:color w:val="000000" w:themeColor="text1"/>
          <w:sz w:val="22"/>
          <w:szCs w:val="22"/>
          <w:lang w:val="en-GB"/>
        </w:rPr>
        <w:fldChar w:fldCharType="end"/>
      </w:r>
      <w:r w:rsidR="00033749" w:rsidRPr="007F23AD">
        <w:rPr>
          <w:rFonts w:ascii="Calibri" w:eastAsia="DengXian" w:hAnsi="Calibri" w:cs="Calibri"/>
          <w:color w:val="000000" w:themeColor="text1"/>
          <w:sz w:val="22"/>
          <w:szCs w:val="22"/>
          <w:lang w:val="en-GB"/>
        </w:rPr>
        <w:t xml:space="preserve"> </w:t>
      </w:r>
      <w:r w:rsidR="00D2308A" w:rsidRPr="007F23AD">
        <w:rPr>
          <w:rFonts w:ascii="Calibri" w:eastAsia="DengXian" w:hAnsi="Calibri" w:cs="Calibri"/>
          <w:color w:val="000000" w:themeColor="text1"/>
          <w:sz w:val="22"/>
          <w:szCs w:val="22"/>
          <w:lang w:val="en-GB"/>
        </w:rPr>
        <w:t xml:space="preserve">investigated strategies construction businesses use to mitigate litigation from potential COVID-19 contract breaches, involving three </w:t>
      </w:r>
      <w:r w:rsidR="002D2FB2" w:rsidRPr="007F23AD">
        <w:rPr>
          <w:rFonts w:ascii="Calibri" w:eastAsia="DengXian" w:hAnsi="Calibri" w:cs="Calibri"/>
          <w:color w:val="000000" w:themeColor="text1"/>
          <w:sz w:val="22"/>
          <w:szCs w:val="22"/>
          <w:lang w:val="en-GB"/>
        </w:rPr>
        <w:t xml:space="preserve">interacted </w:t>
      </w:r>
      <w:r w:rsidR="00D2308A" w:rsidRPr="007F23AD">
        <w:rPr>
          <w:rFonts w:ascii="Calibri" w:eastAsia="DengXian" w:hAnsi="Calibri" w:cs="Calibri"/>
          <w:color w:val="000000" w:themeColor="text1"/>
          <w:sz w:val="22"/>
          <w:szCs w:val="22"/>
          <w:lang w:val="en-GB"/>
        </w:rPr>
        <w:t>risk elements: COVID-19, strateg</w:t>
      </w:r>
      <w:r w:rsidR="007D50EC" w:rsidRPr="007F23AD">
        <w:rPr>
          <w:rFonts w:ascii="Calibri" w:eastAsia="DengXian" w:hAnsi="Calibri" w:cs="Calibri"/>
          <w:color w:val="000000" w:themeColor="text1"/>
          <w:sz w:val="22"/>
          <w:szCs w:val="22"/>
          <w:lang w:val="en-GB"/>
        </w:rPr>
        <w:t>y</w:t>
      </w:r>
      <w:r w:rsidR="00D2308A" w:rsidRPr="007F23AD">
        <w:rPr>
          <w:rFonts w:ascii="Calibri" w:eastAsia="DengXian" w:hAnsi="Calibri" w:cs="Calibri"/>
          <w:color w:val="000000" w:themeColor="text1"/>
          <w:sz w:val="22"/>
          <w:szCs w:val="22"/>
          <w:lang w:val="en-GB"/>
        </w:rPr>
        <w:t>, and contract risks.</w:t>
      </w:r>
      <w:r w:rsidR="00064969" w:rsidRPr="007F23AD">
        <w:rPr>
          <w:rFonts w:ascii="Calibri" w:eastAsia="DengXian" w:hAnsi="Calibri" w:cs="Calibri"/>
          <w:color w:val="000000" w:themeColor="text1"/>
          <w:sz w:val="22"/>
          <w:szCs w:val="22"/>
          <w:lang w:val="en-GB"/>
        </w:rPr>
        <w:t xml:space="preserve"> </w:t>
      </w:r>
      <w:r w:rsidR="00D2308A" w:rsidRPr="007F23AD">
        <w:rPr>
          <w:rFonts w:ascii="Calibri" w:eastAsia="DengXian" w:hAnsi="Calibri" w:cs="Calibri"/>
          <w:color w:val="000000" w:themeColor="text1"/>
          <w:sz w:val="22"/>
          <w:szCs w:val="22"/>
          <w:lang w:val="en-GB"/>
        </w:rPr>
        <w:t>Indeed, the literature reveals gaps in addressing interaction risks within these themes for construction SMEs (</w:t>
      </w:r>
      <w:r w:rsidR="00D2308A" w:rsidRPr="007F23AD">
        <w:rPr>
          <w:rFonts w:ascii="Calibri" w:eastAsia="DengXian" w:hAnsi="Calibri" w:cs="Calibri"/>
          <w:b/>
          <w:bCs/>
          <w:color w:val="000000" w:themeColor="text1"/>
          <w:sz w:val="22"/>
          <w:szCs w:val="22"/>
          <w:lang w:val="en-GB"/>
        </w:rPr>
        <w:t>Gap 1</w:t>
      </w:r>
      <w:r w:rsidR="00D2308A" w:rsidRPr="007F23AD">
        <w:rPr>
          <w:rFonts w:ascii="Calibri" w:eastAsia="DengXian" w:hAnsi="Calibri" w:cs="Calibri"/>
          <w:color w:val="000000" w:themeColor="text1"/>
          <w:sz w:val="22"/>
          <w:szCs w:val="22"/>
          <w:lang w:val="en-GB"/>
        </w:rPr>
        <w:t>). Furthermore, many researchers are prioriti</w:t>
      </w:r>
      <w:r w:rsidR="004A7281" w:rsidRPr="007F23AD">
        <w:rPr>
          <w:rFonts w:ascii="Calibri" w:eastAsia="DengXian" w:hAnsi="Calibri" w:cs="Calibri"/>
          <w:color w:val="000000" w:themeColor="text1"/>
          <w:sz w:val="22"/>
          <w:szCs w:val="22"/>
          <w:lang w:val="en-GB"/>
        </w:rPr>
        <w:t>s</w:t>
      </w:r>
      <w:r w:rsidR="00D2308A" w:rsidRPr="007F23AD">
        <w:rPr>
          <w:rFonts w:ascii="Calibri" w:eastAsia="DengXian" w:hAnsi="Calibri" w:cs="Calibri"/>
          <w:color w:val="000000" w:themeColor="text1"/>
          <w:sz w:val="22"/>
          <w:szCs w:val="22"/>
          <w:lang w:val="en-GB"/>
        </w:rPr>
        <w:t xml:space="preserve">ing risks </w:t>
      </w:r>
      <w:r w:rsidR="00553FEF" w:rsidRPr="007F23AD">
        <w:rPr>
          <w:rFonts w:ascii="Calibri" w:eastAsia="DengXian" w:hAnsi="Calibri" w:cs="Calibri" w:hint="eastAsia"/>
          <w:color w:val="000000" w:themeColor="text1"/>
          <w:sz w:val="22"/>
          <w:szCs w:val="22"/>
          <w:lang w:val="en-GB"/>
        </w:rPr>
        <w:t>under</w:t>
      </w:r>
      <w:r w:rsidR="00553FEF" w:rsidRPr="007F23AD">
        <w:rPr>
          <w:rFonts w:ascii="Calibri" w:eastAsia="DengXian" w:hAnsi="Calibri" w:cs="Calibri"/>
          <w:color w:val="000000" w:themeColor="text1"/>
          <w:sz w:val="22"/>
          <w:szCs w:val="22"/>
        </w:rPr>
        <w:t xml:space="preserve"> </w:t>
      </w:r>
      <w:r w:rsidR="00D2308A" w:rsidRPr="007F23AD">
        <w:rPr>
          <w:rFonts w:ascii="Calibri" w:eastAsia="DengXian" w:hAnsi="Calibri" w:cs="Calibri"/>
          <w:color w:val="000000" w:themeColor="text1"/>
          <w:sz w:val="22"/>
          <w:szCs w:val="22"/>
          <w:lang w:val="en-GB"/>
        </w:rPr>
        <w:t>these three themes, employing various research methods across fields. For example, Bajpai et al. (2023) ranked critical risks associated with digitali</w:t>
      </w:r>
      <w:r w:rsidR="00AA3A5C" w:rsidRPr="007F23AD">
        <w:rPr>
          <w:rFonts w:ascii="Calibri" w:eastAsia="DengXian" w:hAnsi="Calibri" w:cs="Calibri"/>
          <w:color w:val="000000" w:themeColor="text1"/>
          <w:sz w:val="22"/>
          <w:szCs w:val="22"/>
          <w:lang w:val="en-GB"/>
        </w:rPr>
        <w:t>s</w:t>
      </w:r>
      <w:r w:rsidR="00D2308A" w:rsidRPr="007F23AD">
        <w:rPr>
          <w:rFonts w:ascii="Calibri" w:eastAsia="DengXian" w:hAnsi="Calibri" w:cs="Calibri"/>
          <w:color w:val="000000" w:themeColor="text1"/>
          <w:sz w:val="22"/>
          <w:szCs w:val="22"/>
          <w:lang w:val="en-GB"/>
        </w:rPr>
        <w:t xml:space="preserve">ing India's </w:t>
      </w:r>
      <w:r w:rsidR="00D2308A" w:rsidRPr="007F23AD">
        <w:rPr>
          <w:rFonts w:ascii="Calibri" w:eastAsia="DengXian" w:hAnsi="Calibri" w:cs="Calibri"/>
          <w:color w:val="000000" w:themeColor="text1"/>
          <w:sz w:val="22"/>
          <w:szCs w:val="22"/>
          <w:lang w:val="en-GB"/>
        </w:rPr>
        <w:lastRenderedPageBreak/>
        <w:t>construction industry, yet gaps remain in prioriti</w:t>
      </w:r>
      <w:r w:rsidR="0041660D" w:rsidRPr="007F23AD">
        <w:rPr>
          <w:rFonts w:ascii="Calibri" w:eastAsia="DengXian" w:hAnsi="Calibri" w:cs="Calibri"/>
          <w:color w:val="000000" w:themeColor="text1"/>
          <w:sz w:val="22"/>
          <w:szCs w:val="22"/>
          <w:lang w:val="en-GB"/>
        </w:rPr>
        <w:t>s</w:t>
      </w:r>
      <w:r w:rsidR="00D2308A" w:rsidRPr="007F23AD">
        <w:rPr>
          <w:rFonts w:ascii="Calibri" w:eastAsia="DengXian" w:hAnsi="Calibri" w:cs="Calibri"/>
          <w:color w:val="000000" w:themeColor="text1"/>
          <w:sz w:val="22"/>
          <w:szCs w:val="22"/>
          <w:lang w:val="en-GB"/>
        </w:rPr>
        <w:t xml:space="preserve">ing risks for construction </w:t>
      </w:r>
      <w:r w:rsidR="00DA1CAE" w:rsidRPr="007F23AD">
        <w:rPr>
          <w:rFonts w:ascii="Calibri" w:eastAsia="DengXian" w:hAnsi="Calibri" w:cs="Calibri"/>
          <w:color w:val="000000" w:themeColor="text1"/>
          <w:sz w:val="22"/>
          <w:szCs w:val="22"/>
          <w:lang w:val="en-GB"/>
        </w:rPr>
        <w:t>SMEs</w:t>
      </w:r>
      <w:r w:rsidR="0084335C" w:rsidRPr="007F23AD">
        <w:rPr>
          <w:rFonts w:ascii="Calibri" w:eastAsia="DengXian" w:hAnsi="Calibri" w:cs="Calibri"/>
          <w:color w:val="000000" w:themeColor="text1"/>
          <w:sz w:val="22"/>
          <w:szCs w:val="22"/>
          <w:lang w:val="en-GB"/>
        </w:rPr>
        <w:t xml:space="preserve"> (</w:t>
      </w:r>
      <w:r w:rsidR="0084335C" w:rsidRPr="007F23AD">
        <w:rPr>
          <w:rFonts w:ascii="Calibri" w:eastAsia="DengXian" w:hAnsi="Calibri" w:cs="Calibri"/>
          <w:b/>
          <w:bCs/>
          <w:color w:val="000000" w:themeColor="text1"/>
          <w:sz w:val="22"/>
          <w:szCs w:val="22"/>
          <w:lang w:val="en-GB"/>
        </w:rPr>
        <w:t>Gap 2</w:t>
      </w:r>
      <w:r w:rsidR="0084335C" w:rsidRPr="007F23AD">
        <w:rPr>
          <w:rFonts w:ascii="Calibri" w:eastAsia="DengXian" w:hAnsi="Calibri" w:cs="Calibri"/>
          <w:color w:val="000000" w:themeColor="text1"/>
          <w:sz w:val="22"/>
          <w:szCs w:val="22"/>
          <w:lang w:val="en-GB"/>
        </w:rPr>
        <w:t>)</w:t>
      </w:r>
      <w:r w:rsidR="00D2308A" w:rsidRPr="007F23AD">
        <w:rPr>
          <w:rFonts w:ascii="Calibri" w:eastAsia="DengXian" w:hAnsi="Calibri" w:cs="Calibri"/>
          <w:color w:val="000000" w:themeColor="text1"/>
          <w:sz w:val="22"/>
          <w:szCs w:val="22"/>
          <w:lang w:val="en-GB"/>
        </w:rPr>
        <w:t>.</w:t>
      </w:r>
      <w:r w:rsidR="00A136EB" w:rsidRPr="007F23AD">
        <w:rPr>
          <w:rFonts w:ascii="Calibri" w:eastAsia="DengXian" w:hAnsi="Calibri" w:cs="Calibri"/>
          <w:color w:val="000000" w:themeColor="text1"/>
          <w:sz w:val="22"/>
          <w:szCs w:val="22"/>
          <w:lang w:val="en-GB"/>
        </w:rPr>
        <w:t xml:space="preserve"> </w:t>
      </w:r>
      <w:r w:rsidR="00E41D2C" w:rsidRPr="007F23AD">
        <w:rPr>
          <w:rFonts w:ascii="Calibri" w:eastAsia="DengXian" w:hAnsi="Calibri" w:cs="Calibri"/>
          <w:color w:val="000000" w:themeColor="text1"/>
          <w:sz w:val="22"/>
          <w:szCs w:val="22"/>
          <w:lang w:val="en-GB"/>
        </w:rPr>
        <w:t xml:space="preserve">Compared to their larger counterparts, SMEs typically face constraints in resource availability, making it challenging to address green supply chain risks. These challenges can lead to financial repercussions and potential breaches of sustainability regulations. While there is considerable literature on green supply chain practices in construction supply chains, research specifically focusing on construction SMEs appears to be lacking </w:t>
      </w:r>
      <w:r w:rsidR="001417E1" w:rsidRPr="007F23AD">
        <w:rPr>
          <w:rFonts w:ascii="Calibri" w:eastAsia="DengXian" w:hAnsi="Calibri" w:cs="Calibri"/>
          <w:b/>
          <w:bCs/>
          <w:color w:val="000000" w:themeColor="text1"/>
          <w:sz w:val="22"/>
          <w:szCs w:val="22"/>
          <w:lang w:val="en-GB"/>
        </w:rPr>
        <w:t>(</w:t>
      </w:r>
      <w:r w:rsidR="00E41D2C" w:rsidRPr="007F23AD">
        <w:rPr>
          <w:rFonts w:ascii="Calibri" w:eastAsia="DengXian" w:hAnsi="Calibri" w:cs="Calibri"/>
          <w:b/>
          <w:bCs/>
          <w:color w:val="000000" w:themeColor="text1"/>
          <w:sz w:val="22"/>
          <w:szCs w:val="22"/>
          <w:lang w:val="en-GB"/>
        </w:rPr>
        <w:t xml:space="preserve">Gap </w:t>
      </w:r>
      <w:r w:rsidR="000E6DF1" w:rsidRPr="007F23AD">
        <w:rPr>
          <w:rFonts w:ascii="Calibri" w:eastAsia="DengXian" w:hAnsi="Calibri" w:cs="Calibri"/>
          <w:b/>
          <w:bCs/>
          <w:color w:val="000000" w:themeColor="text1"/>
          <w:sz w:val="22"/>
          <w:szCs w:val="22"/>
          <w:lang w:val="en-GB"/>
        </w:rPr>
        <w:t>3</w:t>
      </w:r>
      <w:r w:rsidR="001417E1" w:rsidRPr="007F23AD">
        <w:rPr>
          <w:rFonts w:ascii="Calibri" w:eastAsia="DengXian" w:hAnsi="Calibri" w:cs="Calibri"/>
          <w:b/>
          <w:bCs/>
          <w:color w:val="000000" w:themeColor="text1"/>
          <w:sz w:val="22"/>
          <w:szCs w:val="22"/>
          <w:lang w:val="en-GB"/>
        </w:rPr>
        <w:t>)</w:t>
      </w:r>
      <w:r w:rsidR="00E41D2C" w:rsidRPr="007F23AD">
        <w:rPr>
          <w:rFonts w:ascii="Calibri" w:eastAsia="DengXian" w:hAnsi="Calibri" w:cs="Calibri"/>
          <w:color w:val="000000" w:themeColor="text1"/>
          <w:sz w:val="22"/>
          <w:szCs w:val="22"/>
          <w:lang w:val="en-GB"/>
        </w:rPr>
        <w:t>.</w:t>
      </w:r>
    </w:p>
    <w:p w14:paraId="276DD6C9" w14:textId="77777777" w:rsidR="00CC4FFF" w:rsidRPr="007F23AD" w:rsidRDefault="00CC4FFF" w:rsidP="00C3226C">
      <w:pPr>
        <w:spacing w:line="480" w:lineRule="auto"/>
        <w:jc w:val="both"/>
        <w:rPr>
          <w:rFonts w:ascii="Calibri" w:eastAsia="DengXian" w:hAnsi="Calibri" w:cs="Calibri"/>
          <w:color w:val="000000" w:themeColor="text1"/>
          <w:sz w:val="22"/>
          <w:szCs w:val="22"/>
          <w:lang w:val="en-GB"/>
        </w:rPr>
      </w:pPr>
    </w:p>
    <w:p w14:paraId="7D7B7634" w14:textId="6D0401F9" w:rsidR="00432CBF" w:rsidRPr="007F23AD" w:rsidRDefault="00BC0E27" w:rsidP="007C675E">
      <w:pPr>
        <w:pStyle w:val="a3"/>
        <w:numPr>
          <w:ilvl w:val="2"/>
          <w:numId w:val="2"/>
        </w:numPr>
        <w:spacing w:line="480" w:lineRule="auto"/>
        <w:jc w:val="both"/>
        <w:rPr>
          <w:rFonts w:ascii="Calibri" w:eastAsia="DengXian" w:hAnsi="Calibri" w:cs="Calibri"/>
          <w:b/>
          <w:bCs/>
          <w:i/>
          <w:iCs/>
          <w:color w:val="000000" w:themeColor="text1"/>
          <w:sz w:val="22"/>
          <w:szCs w:val="22"/>
          <w:lang w:val="en-GB"/>
        </w:rPr>
      </w:pPr>
      <w:r w:rsidRPr="007F23AD">
        <w:rPr>
          <w:rFonts w:ascii="Calibri" w:eastAsia="DengXian" w:hAnsi="Calibri" w:cs="Calibri"/>
          <w:b/>
          <w:bCs/>
          <w:i/>
          <w:iCs/>
          <w:color w:val="000000" w:themeColor="text1"/>
          <w:sz w:val="22"/>
          <w:szCs w:val="22"/>
          <w:lang w:val="en-GB"/>
        </w:rPr>
        <w:t>R</w:t>
      </w:r>
      <w:r w:rsidR="009B324B" w:rsidRPr="007F23AD">
        <w:rPr>
          <w:rFonts w:ascii="Calibri" w:eastAsia="DengXian" w:hAnsi="Calibri" w:cs="Calibri"/>
          <w:b/>
          <w:bCs/>
          <w:i/>
          <w:iCs/>
          <w:color w:val="000000" w:themeColor="text1"/>
          <w:sz w:val="22"/>
          <w:szCs w:val="22"/>
          <w:lang w:val="en-GB"/>
        </w:rPr>
        <w:t>isks related to supply chain management and strategy.</w:t>
      </w:r>
    </w:p>
    <w:p w14:paraId="0F527A89" w14:textId="77777777" w:rsidR="00E50B1D" w:rsidRPr="007F23AD" w:rsidRDefault="00BC0E27" w:rsidP="00761606">
      <w:pPr>
        <w:spacing w:line="480" w:lineRule="auto"/>
        <w:jc w:val="both"/>
        <w:rPr>
          <w:rFonts w:ascii="Calibri" w:eastAsia="DengXian"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The first research </w:t>
      </w:r>
      <w:r w:rsidR="00932FB1" w:rsidRPr="007F23AD">
        <w:rPr>
          <w:rFonts w:ascii="Calibri" w:hAnsi="Calibri" w:cs="Calibri"/>
          <w:color w:val="000000" w:themeColor="text1"/>
          <w:sz w:val="22"/>
          <w:szCs w:val="22"/>
          <w:lang w:val="en-GB"/>
        </w:rPr>
        <w:t>theme</w:t>
      </w:r>
      <w:r w:rsidRPr="007F23AD">
        <w:rPr>
          <w:rFonts w:ascii="Calibri" w:hAnsi="Calibri" w:cs="Calibri"/>
          <w:color w:val="000000" w:themeColor="text1"/>
          <w:sz w:val="22"/>
          <w:szCs w:val="22"/>
          <w:lang w:val="en-GB"/>
        </w:rPr>
        <w:t xml:space="preserve"> focuses on supply chain risks associated with </w:t>
      </w:r>
      <w:r w:rsidR="00741A75" w:rsidRPr="007F23AD">
        <w:rPr>
          <w:rFonts w:ascii="Calibri" w:hAnsi="Calibri" w:cs="Calibri"/>
          <w:color w:val="000000" w:themeColor="text1"/>
          <w:sz w:val="22"/>
          <w:szCs w:val="22"/>
          <w:lang w:val="en-GB"/>
        </w:rPr>
        <w:t>collaboration, contracts,</w:t>
      </w:r>
      <w:r w:rsidRPr="007F23AD">
        <w:rPr>
          <w:rFonts w:ascii="Calibri" w:hAnsi="Calibri" w:cs="Calibri"/>
          <w:color w:val="000000" w:themeColor="text1"/>
          <w:sz w:val="22"/>
          <w:szCs w:val="22"/>
          <w:lang w:val="en-GB"/>
        </w:rPr>
        <w:t xml:space="preserve"> strategies</w:t>
      </w:r>
      <w:r w:rsidR="00741A75" w:rsidRPr="007F23AD">
        <w:rPr>
          <w:rFonts w:ascii="Calibri" w:hAnsi="Calibri" w:cs="Calibri"/>
          <w:color w:val="000000" w:themeColor="text1"/>
          <w:sz w:val="22"/>
          <w:szCs w:val="22"/>
          <w:lang w:val="en-GB"/>
        </w:rPr>
        <w:t>, and stakeholders</w:t>
      </w:r>
      <w:r w:rsidRPr="007F23AD">
        <w:rPr>
          <w:rFonts w:ascii="Calibri" w:hAnsi="Calibri" w:cs="Calibri"/>
          <w:color w:val="000000" w:themeColor="text1"/>
          <w:sz w:val="22"/>
          <w:szCs w:val="22"/>
          <w:lang w:val="en-GB"/>
        </w:rPr>
        <w:t xml:space="preserve">. </w:t>
      </w:r>
      <w:r w:rsidR="00642A6E" w:rsidRPr="007F23AD">
        <w:rPr>
          <w:rFonts w:ascii="Calibri" w:hAnsi="Calibri" w:cs="Calibri"/>
          <w:color w:val="000000" w:themeColor="text1"/>
          <w:sz w:val="22"/>
          <w:szCs w:val="22"/>
          <w:lang w:val="en-GB"/>
        </w:rPr>
        <w:t>General deficiencies in the management approaches and strategies of SMEs are evident from the incomplete discussions of collaboration risks, inadequate summaries of contractual risks, and a lack of understanding of strategic risk management</w:t>
      </w:r>
      <w:r w:rsidR="00067D0C" w:rsidRPr="007F23AD">
        <w:rPr>
          <w:rFonts w:ascii="Calibri" w:hAnsi="Calibri" w:cs="Calibri"/>
          <w:color w:val="000000" w:themeColor="text1"/>
          <w:sz w:val="22"/>
          <w:szCs w:val="22"/>
          <w:lang w:val="en-GB"/>
        </w:rPr>
        <w:t xml:space="preserve"> </w:t>
      </w:r>
      <w:r w:rsidR="00321306" w:rsidRPr="007F23AD">
        <w:rPr>
          <w:rFonts w:ascii="Calibri" w:hAnsi="Calibri" w:cs="Calibri"/>
          <w:color w:val="000000" w:themeColor="text1"/>
          <w:sz w:val="22"/>
          <w:szCs w:val="22"/>
          <w:lang w:val="en-GB"/>
        </w:rPr>
        <w:fldChar w:fldCharType="begin"/>
      </w:r>
      <w:r w:rsidR="00321306" w:rsidRPr="007F23AD">
        <w:rPr>
          <w:rFonts w:ascii="Calibri" w:hAnsi="Calibri" w:cs="Calibri"/>
          <w:color w:val="000000" w:themeColor="text1"/>
          <w:sz w:val="22"/>
          <w:szCs w:val="22"/>
          <w:lang w:val="en-GB"/>
        </w:rPr>
        <w:instrText xml:space="preserve"> ADDIN EN.CITE &lt;EndNote&gt;&lt;Cite&gt;&lt;Author&gt;Garengo&lt;/Author&gt;&lt;Year&gt;2005&lt;/Year&gt;&lt;RecNum&gt;662&lt;/RecNum&gt;&lt;DisplayText&gt;(Garengo et al. 2005)&lt;/DisplayText&gt;&lt;record&gt;&lt;rec-number&gt;662&lt;/rec-number&gt;&lt;foreign-keys&gt;&lt;key app="EN" db-id="vxw0ffesn9zzt0ewpdx5r5a3fpw92aep9re9" timestamp="1683538057" guid="c733e618-19be-48cc-8808-653329fdddbd"&gt;662&lt;/key&gt;&lt;/foreign-keys&gt;&lt;ref-type name="Journal Article"&gt;17&lt;/ref-type&gt;&lt;contributors&gt;&lt;authors&gt;&lt;author&gt;Garengo, Patrizia&lt;/author&gt;&lt;author&gt;Biazzo, Stefano&lt;/author&gt;&lt;author&gt;Bititci, Umit S.&lt;/author&gt;&lt;/authors&gt;&lt;/contributors&gt;&lt;titles&gt;&lt;title&gt;Performance measurement systems in SMEs: A review for a research agenda&lt;/title&gt;&lt;secondary-title&gt;International Journal of Management Reviews&lt;/secondary-title&gt;&lt;/titles&gt;&lt;periodical&gt;&lt;full-title&gt;International Journal of Management Reviews&lt;/full-title&gt;&lt;/periodical&gt;&lt;pages&gt;25-47&lt;/pages&gt;&lt;volume&gt;7&lt;/volume&gt;&lt;number&gt;1&lt;/number&gt;&lt;dates&gt;&lt;year&gt;2005&lt;/year&gt;&lt;/dates&gt;&lt;isbn&gt;1460-8545&lt;/isbn&gt;&lt;urls&gt;&lt;related-urls&gt;&lt;url&gt;https://onlinelibrary.wiley.com/doi/abs/10.1111/j.1468-2370.2005.00105.x&lt;/url&gt;&lt;/related-urls&gt;&lt;/urls&gt;&lt;electronic-resource-num&gt;https://doi.org/10.1111/j.1468-2370.2005.00105.x&lt;/electronic-resource-num&gt;&lt;/record&gt;&lt;/Cite&gt;&lt;/EndNote&gt;</w:instrText>
      </w:r>
      <w:r w:rsidR="00321306" w:rsidRPr="007F23AD">
        <w:rPr>
          <w:rFonts w:ascii="Calibri" w:hAnsi="Calibri" w:cs="Calibri"/>
          <w:color w:val="000000" w:themeColor="text1"/>
          <w:sz w:val="22"/>
          <w:szCs w:val="22"/>
          <w:lang w:val="en-GB"/>
        </w:rPr>
        <w:fldChar w:fldCharType="separate"/>
      </w:r>
      <w:r w:rsidR="00321306" w:rsidRPr="007F23AD">
        <w:rPr>
          <w:rFonts w:ascii="Calibri" w:hAnsi="Calibri" w:cs="Calibri"/>
          <w:noProof/>
          <w:color w:val="000000" w:themeColor="text1"/>
          <w:sz w:val="22"/>
          <w:szCs w:val="22"/>
          <w:lang w:val="en-GB"/>
        </w:rPr>
        <w:t>(Garengo et al. 2005)</w:t>
      </w:r>
      <w:r w:rsidR="00321306" w:rsidRPr="007F23AD">
        <w:rPr>
          <w:rFonts w:ascii="Calibri" w:hAnsi="Calibri" w:cs="Calibri"/>
          <w:color w:val="000000" w:themeColor="text1"/>
          <w:sz w:val="22"/>
          <w:szCs w:val="22"/>
          <w:lang w:val="en-GB"/>
        </w:rPr>
        <w:fldChar w:fldCharType="end"/>
      </w:r>
      <w:r w:rsidR="00642A6E" w:rsidRPr="007F23AD">
        <w:rPr>
          <w:rFonts w:ascii="Calibri" w:hAnsi="Calibri" w:cs="Calibri"/>
          <w:color w:val="000000" w:themeColor="text1"/>
          <w:sz w:val="22"/>
          <w:szCs w:val="22"/>
          <w:lang w:val="en-GB"/>
        </w:rPr>
        <w:t>. This deficiency in managing these key risks leads to vulnerabilities in the supply chains of construction SMEs, where collaboration</w:t>
      </w:r>
      <w:r w:rsidR="00AF6D39" w:rsidRPr="007F23AD">
        <w:rPr>
          <w:rFonts w:ascii="Calibri" w:hAnsi="Calibri" w:cs="Calibri"/>
          <w:color w:val="000000" w:themeColor="text1"/>
          <w:sz w:val="22"/>
          <w:szCs w:val="22"/>
          <w:lang w:val="en-GB"/>
        </w:rPr>
        <w:t>,</w:t>
      </w:r>
      <w:r w:rsidR="00642A6E" w:rsidRPr="007F23AD">
        <w:rPr>
          <w:rFonts w:ascii="Calibri" w:hAnsi="Calibri" w:cs="Calibri"/>
          <w:color w:val="000000" w:themeColor="text1"/>
          <w:sz w:val="22"/>
          <w:szCs w:val="22"/>
          <w:lang w:val="en-GB"/>
        </w:rPr>
        <w:t xml:space="preserve"> contractual</w:t>
      </w:r>
      <w:r w:rsidR="00AF6D39" w:rsidRPr="007F23AD">
        <w:rPr>
          <w:rFonts w:ascii="Calibri" w:hAnsi="Calibri" w:cs="Calibri"/>
          <w:color w:val="000000" w:themeColor="text1"/>
          <w:sz w:val="22"/>
          <w:szCs w:val="22"/>
          <w:lang w:val="en-GB"/>
        </w:rPr>
        <w:t>, and</w:t>
      </w:r>
      <w:r w:rsidR="00642A6E" w:rsidRPr="007F23AD">
        <w:rPr>
          <w:rFonts w:ascii="Calibri" w:hAnsi="Calibri" w:cs="Calibri"/>
          <w:color w:val="000000" w:themeColor="text1"/>
          <w:sz w:val="22"/>
          <w:szCs w:val="22"/>
          <w:lang w:val="en-GB"/>
        </w:rPr>
        <w:t xml:space="preserve"> </w:t>
      </w:r>
      <w:r w:rsidR="00AF6D39" w:rsidRPr="007F23AD">
        <w:rPr>
          <w:rFonts w:ascii="Calibri" w:hAnsi="Calibri" w:cs="Calibri"/>
          <w:color w:val="000000" w:themeColor="text1"/>
          <w:sz w:val="22"/>
          <w:szCs w:val="22"/>
          <w:lang w:val="en-GB"/>
        </w:rPr>
        <w:t xml:space="preserve">stakeholders’ </w:t>
      </w:r>
      <w:r w:rsidR="00642A6E" w:rsidRPr="007F23AD">
        <w:rPr>
          <w:rFonts w:ascii="Calibri" w:hAnsi="Calibri" w:cs="Calibri"/>
          <w:color w:val="000000" w:themeColor="text1"/>
          <w:sz w:val="22"/>
          <w:szCs w:val="22"/>
          <w:lang w:val="en-GB"/>
        </w:rPr>
        <w:t xml:space="preserve">risks can increase costs and decrease revenue for projects. Additionally, strategic risks further hinder business growth, particularly in terms of sustainability. </w:t>
      </w:r>
      <w:r w:rsidR="00642A6E" w:rsidRPr="007F23AD">
        <w:rPr>
          <w:rFonts w:ascii="Calibri" w:hAnsi="Calibri" w:cs="Calibri"/>
          <w:color w:val="000000" w:themeColor="text1"/>
          <w:sz w:val="22"/>
          <w:szCs w:val="22"/>
        </w:rPr>
        <w:t>T</w:t>
      </w:r>
      <w:r w:rsidRPr="007F23AD">
        <w:rPr>
          <w:rFonts w:ascii="Calibri" w:hAnsi="Calibri" w:cs="Calibri"/>
          <w:color w:val="000000" w:themeColor="text1"/>
          <w:sz w:val="22"/>
          <w:szCs w:val="22"/>
          <w:lang w:val="en-GB"/>
        </w:rPr>
        <w:t>his theme aims to provide an up-to-date overview of existing management practices and strategies for construction SMEs</w:t>
      </w:r>
      <w:r w:rsidR="007666A5" w:rsidRPr="007F23AD">
        <w:rPr>
          <w:rFonts w:ascii="Calibri" w:hAnsi="Calibri" w:cs="Calibri"/>
          <w:color w:val="000000" w:themeColor="text1"/>
          <w:sz w:val="22"/>
          <w:szCs w:val="22"/>
          <w:lang w:val="en-GB"/>
        </w:rPr>
        <w:t xml:space="preserve"> </w:t>
      </w:r>
      <w:r w:rsidR="000E6DF1" w:rsidRPr="007F23AD">
        <w:rPr>
          <w:rFonts w:ascii="Calibri" w:hAnsi="Calibri" w:cs="Calibri"/>
          <w:color w:val="000000" w:themeColor="text1"/>
          <w:sz w:val="22"/>
          <w:szCs w:val="22"/>
          <w:lang w:val="en-GB"/>
        </w:rPr>
        <w:t>(</w:t>
      </w:r>
      <w:r w:rsidR="00B62063" w:rsidRPr="007F23AD">
        <w:rPr>
          <w:rFonts w:ascii="Calibri" w:hAnsi="Calibri" w:cs="Calibri"/>
          <w:color w:val="000000" w:themeColor="text1"/>
          <w:sz w:val="22"/>
          <w:szCs w:val="22"/>
          <w:lang w:val="en-GB"/>
        </w:rPr>
        <w:t>Table III</w:t>
      </w:r>
      <w:r w:rsidR="000E6DF1" w:rsidRPr="007F23AD">
        <w:rPr>
          <w:rFonts w:ascii="Calibri" w:hAnsi="Calibri" w:cs="Calibri"/>
          <w:color w:val="000000" w:themeColor="text1"/>
          <w:sz w:val="22"/>
          <w:szCs w:val="22"/>
          <w:lang w:val="en-GB"/>
        </w:rPr>
        <w:t>).</w:t>
      </w:r>
      <w:r w:rsidR="00A136EB" w:rsidRPr="007F23AD">
        <w:rPr>
          <w:rFonts w:ascii="Calibri" w:eastAsia="DengXian" w:hAnsi="Calibri" w:cs="Calibri"/>
          <w:color w:val="000000" w:themeColor="text1"/>
          <w:sz w:val="22"/>
          <w:szCs w:val="22"/>
          <w:lang w:val="en-GB"/>
        </w:rPr>
        <w:t xml:space="preserve"> </w:t>
      </w:r>
    </w:p>
    <w:p w14:paraId="68C215C9" w14:textId="77777777" w:rsidR="00E50B1D" w:rsidRPr="007F23AD" w:rsidRDefault="00E50B1D" w:rsidP="00761606">
      <w:pPr>
        <w:spacing w:line="480" w:lineRule="auto"/>
        <w:jc w:val="both"/>
        <w:rPr>
          <w:rFonts w:ascii="Calibri" w:eastAsia="DengXian" w:hAnsi="Calibri" w:cs="Calibri"/>
          <w:color w:val="000000" w:themeColor="text1"/>
          <w:sz w:val="22"/>
          <w:szCs w:val="22"/>
          <w:lang w:val="en-GB"/>
        </w:rPr>
      </w:pPr>
    </w:p>
    <w:p w14:paraId="45C9D329" w14:textId="0865C118" w:rsidR="00CE2C39" w:rsidRPr="007F23AD" w:rsidRDefault="000E6DF1" w:rsidP="00761606">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It is worth to mention that </w:t>
      </w:r>
      <w:r w:rsidR="00A136EB" w:rsidRPr="007F23AD">
        <w:rPr>
          <w:rFonts w:ascii="Calibri" w:eastAsia="DengXian" w:hAnsi="Calibri" w:cs="Calibri"/>
          <w:color w:val="000000" w:themeColor="text1"/>
          <w:sz w:val="22"/>
          <w:szCs w:val="22"/>
          <w:lang w:val="en-GB"/>
        </w:rPr>
        <w:t xml:space="preserve">although current research on SME supply chain risks emphasizes public procurement, there is a noticeable lack of comprehensive studies specifically addressing these risks within the construction industry </w:t>
      </w:r>
      <w:r w:rsidR="00A136EB" w:rsidRPr="007F23AD">
        <w:rPr>
          <w:rFonts w:ascii="Calibri" w:eastAsia="DengXian" w:hAnsi="Calibri" w:cs="Calibri"/>
          <w:b/>
          <w:bCs/>
          <w:color w:val="000000" w:themeColor="text1"/>
          <w:sz w:val="22"/>
          <w:szCs w:val="22"/>
          <w:lang w:val="en-GB"/>
        </w:rPr>
        <w:t xml:space="preserve">(Gap </w:t>
      </w:r>
      <w:r w:rsidRPr="007F23AD">
        <w:rPr>
          <w:rFonts w:ascii="Calibri" w:eastAsia="DengXian" w:hAnsi="Calibri" w:cs="Calibri"/>
          <w:b/>
          <w:bCs/>
          <w:color w:val="000000" w:themeColor="text1"/>
          <w:sz w:val="22"/>
          <w:szCs w:val="22"/>
          <w:lang w:val="en-GB"/>
        </w:rPr>
        <w:t>4</w:t>
      </w:r>
      <w:r w:rsidR="00A136EB" w:rsidRPr="007F23AD">
        <w:rPr>
          <w:rFonts w:ascii="Calibri" w:eastAsia="DengXian" w:hAnsi="Calibri" w:cs="Calibri"/>
          <w:b/>
          <w:bCs/>
          <w:color w:val="000000" w:themeColor="text1"/>
          <w:sz w:val="22"/>
          <w:szCs w:val="22"/>
          <w:lang w:val="en-GB"/>
        </w:rPr>
        <w:t>).</w:t>
      </w:r>
      <w:r w:rsidR="00B3699D" w:rsidRPr="007F23AD">
        <w:rPr>
          <w:color w:val="000000" w:themeColor="text1"/>
        </w:rPr>
        <w:t xml:space="preserve"> </w:t>
      </w:r>
      <w:r w:rsidR="00EB42A9" w:rsidRPr="007F23AD">
        <w:rPr>
          <w:rFonts w:ascii="Calibri" w:eastAsia="DengXian" w:hAnsi="Calibri" w:cs="Calibri"/>
          <w:color w:val="000000" w:themeColor="text1"/>
          <w:sz w:val="22"/>
          <w:szCs w:val="22"/>
          <w:lang w:val="en-GB"/>
        </w:rPr>
        <w:t xml:space="preserve">For example, from an economic perspective, </w:t>
      </w:r>
      <w:r w:rsidR="00DF4249" w:rsidRPr="007F23AD">
        <w:rPr>
          <w:rFonts w:ascii="Calibri" w:eastAsia="DengXian" w:hAnsi="Calibri" w:cs="Calibri"/>
          <w:color w:val="000000" w:themeColor="text1"/>
          <w:sz w:val="22"/>
          <w:szCs w:val="22"/>
          <w:lang w:val="en-GB"/>
        </w:rPr>
        <w:fldChar w:fldCharType="begin"/>
      </w:r>
      <w:r w:rsidR="009E1632" w:rsidRPr="007F23AD">
        <w:rPr>
          <w:rFonts w:ascii="Calibri" w:eastAsia="DengXian" w:hAnsi="Calibri" w:cs="Calibri"/>
          <w:color w:val="000000" w:themeColor="text1"/>
          <w:sz w:val="22"/>
          <w:szCs w:val="22"/>
          <w:lang w:val="en-GB"/>
        </w:rPr>
        <w:instrText xml:space="preserve"> ADDIN EN.CITE &lt;EndNote&gt;&lt;Cite AuthorYear="1"&gt;&lt;Author&gt;Stefanov&lt;/Author&gt;&lt;Year&gt;2015&lt;/Year&gt;&lt;RecNum&gt;1724&lt;/RecNum&gt;&lt;DisplayText&gt;Stefanov et al. (2015)&lt;/DisplayText&gt;&lt;record&gt;&lt;rec-number&gt;1724&lt;/rec-number&gt;&lt;foreign-keys&gt;&lt;key app="EN" db-id="vxw0ffesn9zzt0ewpdx5r5a3fpw92aep9re9" timestamp="1721914401" guid="4ad838da-14d2-4029-b2c0-830562de5e3d"&gt;1724&lt;/key&gt;&lt;/foreign-keys&gt;&lt;ref-type name="Journal Article"&gt;17&lt;/ref-type&gt;&lt;contributors&gt;&lt;authors&gt;&lt;author&gt;Stefanov, Ruslan&lt;/author&gt;&lt;author&gt;Yalamov, Todor&lt;/author&gt;&lt;author&gt;Karaboev, Stefan&lt;/author&gt;&lt;/authors&gt;&lt;/contributors&gt;&lt;titles&gt;&lt;title&gt;The Bulgarian public procurement market: Corruption risks and dynamics in the construction sector&lt;/title&gt;&lt;secondary-title&gt;Government Favoritism in Europe–The ANTICORRP Project: Anticorruption Report&lt;/secondary-title&gt;&lt;/titles&gt;&lt;periodical&gt;&lt;full-title&gt;Government Favoritism in Europe–The ANTICORRP Project: Anticorruption Report&lt;/full-title&gt;&lt;/periodical&gt;&lt;pages&gt;35-52&lt;/pages&gt;&lt;volume&gt;3&lt;/volume&gt;&lt;dates&gt;&lt;year&gt;2015&lt;/year&gt;&lt;/dates&gt;&lt;urls&gt;&lt;/urls&gt;&lt;/record&gt;&lt;/Cite&gt;&lt;/EndNote&gt;</w:instrText>
      </w:r>
      <w:r w:rsidR="00DF4249" w:rsidRPr="007F23AD">
        <w:rPr>
          <w:rFonts w:ascii="Calibri" w:eastAsia="DengXian" w:hAnsi="Calibri" w:cs="Calibri"/>
          <w:color w:val="000000" w:themeColor="text1"/>
          <w:sz w:val="22"/>
          <w:szCs w:val="22"/>
          <w:lang w:val="en-GB"/>
        </w:rPr>
        <w:fldChar w:fldCharType="separate"/>
      </w:r>
      <w:r w:rsidR="00DF4249" w:rsidRPr="007F23AD">
        <w:rPr>
          <w:rFonts w:ascii="Calibri" w:eastAsia="DengXian" w:hAnsi="Calibri" w:cs="Calibri"/>
          <w:noProof/>
          <w:color w:val="000000" w:themeColor="text1"/>
          <w:sz w:val="22"/>
          <w:szCs w:val="22"/>
          <w:lang w:val="en-GB"/>
        </w:rPr>
        <w:t>Stefanov et al. (2015)</w:t>
      </w:r>
      <w:r w:rsidR="00DF4249" w:rsidRPr="007F23AD">
        <w:rPr>
          <w:rFonts w:ascii="Calibri" w:eastAsia="DengXian" w:hAnsi="Calibri" w:cs="Calibri"/>
          <w:color w:val="000000" w:themeColor="text1"/>
          <w:sz w:val="22"/>
          <w:szCs w:val="22"/>
          <w:lang w:val="en-GB"/>
        </w:rPr>
        <w:fldChar w:fldCharType="end"/>
      </w:r>
      <w:r w:rsidR="002B0D87" w:rsidRPr="007F23AD">
        <w:rPr>
          <w:rFonts w:ascii="Calibri" w:eastAsia="DengXian" w:hAnsi="Calibri" w:cs="Calibri" w:hint="eastAsia"/>
          <w:color w:val="000000" w:themeColor="text1"/>
          <w:sz w:val="22"/>
          <w:szCs w:val="22"/>
          <w:lang w:val="en-GB"/>
        </w:rPr>
        <w:t xml:space="preserve"> </w:t>
      </w:r>
      <w:r w:rsidR="00EB42A9" w:rsidRPr="007F23AD">
        <w:rPr>
          <w:rFonts w:ascii="Calibri" w:eastAsia="DengXian" w:hAnsi="Calibri" w:cs="Calibri"/>
          <w:color w:val="000000" w:themeColor="text1"/>
          <w:sz w:val="22"/>
          <w:szCs w:val="22"/>
          <w:lang w:val="en-GB"/>
        </w:rPr>
        <w:t>explore</w:t>
      </w:r>
      <w:r w:rsidR="009C496D" w:rsidRPr="007F23AD">
        <w:rPr>
          <w:rFonts w:ascii="Calibri" w:eastAsia="DengXian" w:hAnsi="Calibri" w:cs="Calibri"/>
          <w:color w:val="000000" w:themeColor="text1"/>
          <w:sz w:val="22"/>
          <w:szCs w:val="22"/>
          <w:lang w:val="en-GB"/>
        </w:rPr>
        <w:t>d</w:t>
      </w:r>
      <w:r w:rsidR="00EB42A9" w:rsidRPr="007F23AD">
        <w:rPr>
          <w:rFonts w:ascii="Calibri" w:eastAsia="DengXian" w:hAnsi="Calibri" w:cs="Calibri"/>
          <w:color w:val="000000" w:themeColor="text1"/>
          <w:sz w:val="22"/>
          <w:szCs w:val="22"/>
          <w:lang w:val="en-GB"/>
        </w:rPr>
        <w:t xml:space="preserve"> the risk of corruption in the construction sector under the Bulgarian public procurement market.</w:t>
      </w:r>
      <w:r w:rsidR="00253A0C" w:rsidRPr="007F23AD">
        <w:rPr>
          <w:color w:val="000000" w:themeColor="text1"/>
        </w:rPr>
        <w:t xml:space="preserve"> </w:t>
      </w:r>
      <w:r w:rsidR="00253A0C" w:rsidRPr="007F23AD">
        <w:rPr>
          <w:rFonts w:ascii="Calibri" w:eastAsia="DengXian" w:hAnsi="Calibri" w:cs="Calibri"/>
          <w:color w:val="000000" w:themeColor="text1"/>
          <w:sz w:val="22"/>
          <w:szCs w:val="22"/>
          <w:lang w:val="en-GB"/>
        </w:rPr>
        <w:t>From a political perspective, policymakers see legal constraints and policy limitations on the participation of construction SMEs in public procurement</w:t>
      </w:r>
      <w:r w:rsidR="00253A0C" w:rsidRPr="007F23AD">
        <w:rPr>
          <w:rFonts w:ascii="Calibri" w:eastAsia="DengXian" w:hAnsi="Calibri" w:cs="Calibri" w:hint="eastAsia"/>
          <w:color w:val="000000" w:themeColor="text1"/>
          <w:sz w:val="22"/>
          <w:szCs w:val="22"/>
          <w:lang w:val="en-GB"/>
        </w:rPr>
        <w:t xml:space="preserve"> </w:t>
      </w:r>
      <w:r w:rsidR="0030651F" w:rsidRPr="007F23AD">
        <w:rPr>
          <w:rFonts w:ascii="Calibri" w:eastAsia="DengXian" w:hAnsi="Calibri" w:cs="Calibri"/>
          <w:color w:val="000000" w:themeColor="text1"/>
          <w:sz w:val="22"/>
          <w:szCs w:val="22"/>
          <w:lang w:val="en-GB"/>
        </w:rPr>
        <w:fldChar w:fldCharType="begin"/>
      </w:r>
      <w:r w:rsidR="009E1632" w:rsidRPr="007F23AD">
        <w:rPr>
          <w:rFonts w:ascii="Calibri" w:eastAsia="DengXian" w:hAnsi="Calibri" w:cs="Calibri"/>
          <w:color w:val="000000" w:themeColor="text1"/>
          <w:sz w:val="22"/>
          <w:szCs w:val="22"/>
          <w:lang w:val="en-GB"/>
        </w:rPr>
        <w:instrText xml:space="preserve"> ADDIN EN.CITE &lt;EndNote&gt;&lt;Cite&gt;&lt;Author&gt;Preuss&lt;/Author&gt;&lt;Year&gt;2011&lt;/Year&gt;&lt;RecNum&gt;1725&lt;/RecNum&gt;&lt;DisplayText&gt;(Preuss 2011)&lt;/DisplayText&gt;&lt;record&gt;&lt;rec-number&gt;1725&lt;/rec-number&gt;&lt;foreign-keys&gt;&lt;key app="EN" db-id="vxw0ffesn9zzt0ewpdx5r5a3fpw92aep9re9" timestamp="1721914716" guid="a961a147-5cba-45c8-85d7-e4ca77561d0a"&gt;1725&lt;/key&gt;&lt;/foreign-keys&gt;&lt;ref-type name="Journal Article"&gt;17&lt;/ref-type&gt;&lt;contributors&gt;&lt;authors&gt;&lt;author&gt;Preuss, Lutz&lt;/author&gt;&lt;/authors&gt;&lt;/contributors&gt;&lt;titles&gt;&lt;title&gt;On the contribution of public procurement to entrepreneurship and small business policy&lt;/title&gt;&lt;secondary-title&gt;Entrepreneurship &amp;amp; Regional Development&lt;/secondary-title&gt;&lt;/titles&gt;&lt;periodical&gt;&lt;full-title&gt;Entrepreneurship &amp;amp; Regional Development&lt;/full-title&gt;&lt;/periodical&gt;&lt;pages&gt;787-814&lt;/pages&gt;&lt;volume&gt;23&lt;/volume&gt;&lt;number&gt;9-10&lt;/number&gt;&lt;dates&gt;&lt;year&gt;2011&lt;/year&gt;&lt;pub-dates&gt;&lt;date&gt;2011/12/01&lt;/date&gt;&lt;/pub-dates&gt;&lt;/dates&gt;&lt;publisher&gt;Routledge&lt;/publisher&gt;&lt;isbn&gt;0898-5626&lt;/isbn&gt;&lt;urls&gt;&lt;related-urls&gt;&lt;url&gt;https://doi.org/10.1080/08985626.2010.546433&lt;/url&gt;&lt;/related-urls&gt;&lt;/urls&gt;&lt;electronic-resource-num&gt;10.1080/08985626.2010.546433&lt;/electronic-resource-num&gt;&lt;/record&gt;&lt;/Cite&gt;&lt;/EndNote&gt;</w:instrText>
      </w:r>
      <w:r w:rsidR="0030651F" w:rsidRPr="007F23AD">
        <w:rPr>
          <w:rFonts w:ascii="Calibri" w:eastAsia="DengXian" w:hAnsi="Calibri" w:cs="Calibri"/>
          <w:color w:val="000000" w:themeColor="text1"/>
          <w:sz w:val="22"/>
          <w:szCs w:val="22"/>
          <w:lang w:val="en-GB"/>
        </w:rPr>
        <w:fldChar w:fldCharType="separate"/>
      </w:r>
      <w:r w:rsidR="0030651F" w:rsidRPr="007F23AD">
        <w:rPr>
          <w:rFonts w:ascii="Calibri" w:eastAsia="DengXian" w:hAnsi="Calibri" w:cs="Calibri"/>
          <w:noProof/>
          <w:color w:val="000000" w:themeColor="text1"/>
          <w:sz w:val="22"/>
          <w:szCs w:val="22"/>
          <w:lang w:val="en-GB"/>
        </w:rPr>
        <w:t>(Preuss 2011)</w:t>
      </w:r>
      <w:r w:rsidR="0030651F" w:rsidRPr="007F23AD">
        <w:rPr>
          <w:rFonts w:ascii="Calibri" w:eastAsia="DengXian" w:hAnsi="Calibri" w:cs="Calibri"/>
          <w:color w:val="000000" w:themeColor="text1"/>
          <w:sz w:val="22"/>
          <w:szCs w:val="22"/>
          <w:lang w:val="en-GB"/>
        </w:rPr>
        <w:fldChar w:fldCharType="end"/>
      </w:r>
      <w:r w:rsidR="00253A0C" w:rsidRPr="007F23AD">
        <w:rPr>
          <w:rFonts w:ascii="Calibri" w:eastAsia="DengXian" w:hAnsi="Calibri" w:cs="Calibri"/>
          <w:color w:val="000000" w:themeColor="text1"/>
          <w:sz w:val="22"/>
          <w:szCs w:val="22"/>
          <w:lang w:val="en-GB"/>
        </w:rPr>
        <w:t>.</w:t>
      </w:r>
      <w:r w:rsidR="00EB42A9" w:rsidRPr="007F23AD">
        <w:rPr>
          <w:rFonts w:ascii="Calibri" w:eastAsia="DengXian" w:hAnsi="Calibri" w:cs="Calibri"/>
          <w:color w:val="000000" w:themeColor="text1"/>
          <w:sz w:val="22"/>
          <w:szCs w:val="22"/>
          <w:lang w:val="en-GB"/>
        </w:rPr>
        <w:t xml:space="preserve"> An interdisciplinary study also </w:t>
      </w:r>
      <w:r w:rsidR="00EB42A9" w:rsidRPr="007F23AD">
        <w:rPr>
          <w:rFonts w:ascii="Calibri" w:eastAsia="DengXian" w:hAnsi="Calibri" w:cs="Calibri"/>
          <w:color w:val="000000" w:themeColor="text1"/>
          <w:sz w:val="22"/>
          <w:szCs w:val="22"/>
          <w:lang w:val="en-GB"/>
        </w:rPr>
        <w:lastRenderedPageBreak/>
        <w:t xml:space="preserve">highlights this gap: many studies tend to portray SMEs as homogeneous entities when exploring the role of public procurement in supporting SMEs </w:t>
      </w:r>
      <w:r w:rsidR="00EB42A9" w:rsidRPr="007F23AD">
        <w:rPr>
          <w:rFonts w:ascii="Calibri" w:eastAsia="DengXian" w:hAnsi="Calibri" w:cs="Calibri"/>
          <w:color w:val="000000" w:themeColor="text1"/>
          <w:sz w:val="22"/>
          <w:szCs w:val="22"/>
          <w:lang w:val="en-GB"/>
        </w:rPr>
        <w:fldChar w:fldCharType="begin"/>
      </w:r>
      <w:r w:rsidR="00EB42A9" w:rsidRPr="007F23AD">
        <w:rPr>
          <w:rFonts w:ascii="Calibri" w:eastAsia="DengXian" w:hAnsi="Calibri" w:cs="Calibri"/>
          <w:color w:val="000000" w:themeColor="text1"/>
          <w:sz w:val="22"/>
          <w:szCs w:val="22"/>
          <w:lang w:val="en-GB"/>
        </w:rPr>
        <w:instrText xml:space="preserve"> ADDIN EN.CITE &lt;EndNote&gt;&lt;Cite&gt;&lt;Author&gt;Loader&lt;/Author&gt;&lt;Year&gt;2015&lt;/Year&gt;&lt;RecNum&gt;1552&lt;/RecNum&gt;&lt;DisplayText&gt;(Loader and Norton 2015)&lt;/DisplayText&gt;&lt;record&gt;&lt;rec-number&gt;1552&lt;/rec-number&gt;&lt;foreign-keys&gt;&lt;key app="EN" db-id="vxw0ffesn9zzt0ewpdx5r5a3fpw92aep9re9" timestamp="1718526200" guid="38360392-6901-4b1a-a28f-65a146226eb8"&gt;1552&lt;/key&gt;&lt;/foreign-keys&gt;&lt;ref-type name="Journal Article"&gt;17&lt;/ref-type&gt;&lt;contributors&gt;&lt;authors&gt;&lt;author&gt;Loader, Kim&lt;/author&gt;&lt;author&gt;Norton, Sophie&lt;/author&gt;&lt;/authors&gt;&lt;/contributors&gt;&lt;titles&gt;&lt;title&gt;SME access to public procurement: An analysis of the experiences of SMEs supplying the publicly funded UK heritage sector&lt;/title&gt;&lt;secondary-title&gt;Journal of Purchasing and Supply Management&lt;/secondary-title&gt;&lt;/titles&gt;&lt;periodical&gt;&lt;full-title&gt;Journal of Purchasing and Supply Management&lt;/full-title&gt;&lt;/periodical&gt;&lt;pages&gt;241-250&lt;/pages&gt;&lt;volume&gt;21&lt;/volume&gt;&lt;number&gt;4&lt;/number&gt;&lt;keywords&gt;&lt;keyword&gt;Public procurement&lt;/keyword&gt;&lt;keyword&gt;SMEs&lt;/keyword&gt;&lt;keyword&gt;Heritage&lt;/keyword&gt;&lt;keyword&gt;Sector&lt;/keyword&gt;&lt;keyword&gt;UK&lt;/keyword&gt;&lt;/keywords&gt;&lt;dates&gt;&lt;year&gt;2015&lt;/year&gt;&lt;pub-dates&gt;&lt;date&gt;2015/12/01/&lt;/date&gt;&lt;/pub-dates&gt;&lt;/dates&gt;&lt;isbn&gt;1478-4092&lt;/isbn&gt;&lt;urls&gt;&lt;related-urls&gt;&lt;url&gt;https://www.sciencedirect.com/science/article/pii/S1478409215000163&lt;/url&gt;&lt;/related-urls&gt;&lt;/urls&gt;&lt;electronic-resource-num&gt;https://doi.org/10.1016/j.pursup.2015.02.001&lt;/electronic-resource-num&gt;&lt;/record&gt;&lt;/Cite&gt;&lt;/EndNote&gt;</w:instrText>
      </w:r>
      <w:r w:rsidR="00EB42A9" w:rsidRPr="007F23AD">
        <w:rPr>
          <w:rFonts w:ascii="Calibri" w:eastAsia="DengXian" w:hAnsi="Calibri" w:cs="Calibri"/>
          <w:color w:val="000000" w:themeColor="text1"/>
          <w:sz w:val="22"/>
          <w:szCs w:val="22"/>
          <w:lang w:val="en-GB"/>
        </w:rPr>
        <w:fldChar w:fldCharType="separate"/>
      </w:r>
      <w:r w:rsidR="00EB42A9" w:rsidRPr="007F23AD">
        <w:rPr>
          <w:rFonts w:ascii="Calibri" w:eastAsia="DengXian" w:hAnsi="Calibri" w:cs="Calibri"/>
          <w:noProof/>
          <w:color w:val="000000" w:themeColor="text1"/>
          <w:sz w:val="22"/>
          <w:szCs w:val="22"/>
          <w:lang w:val="en-GB"/>
        </w:rPr>
        <w:t>(Loader and Norton 2015)</w:t>
      </w:r>
      <w:r w:rsidR="00EB42A9" w:rsidRPr="007F23AD">
        <w:rPr>
          <w:rFonts w:ascii="Calibri" w:eastAsia="DengXian" w:hAnsi="Calibri" w:cs="Calibri"/>
          <w:color w:val="000000" w:themeColor="text1"/>
          <w:sz w:val="22"/>
          <w:szCs w:val="22"/>
          <w:lang w:val="en-GB"/>
        </w:rPr>
        <w:fldChar w:fldCharType="end"/>
      </w:r>
      <w:r w:rsidR="00EB42A9" w:rsidRPr="007F23AD">
        <w:rPr>
          <w:rFonts w:ascii="Calibri" w:eastAsia="DengXian" w:hAnsi="Calibri" w:cs="Calibri"/>
          <w:color w:val="000000" w:themeColor="text1"/>
          <w:sz w:val="22"/>
          <w:szCs w:val="22"/>
          <w:lang w:val="en-GB"/>
        </w:rPr>
        <w:t xml:space="preserve">. Additionally, scholars are increasingly recognising the role played by SMEs in responding to green requirements embedded in </w:t>
      </w:r>
      <w:r w:rsidR="00087E7F" w:rsidRPr="007F23AD">
        <w:rPr>
          <w:rFonts w:ascii="Calibri" w:eastAsia="DengXian" w:hAnsi="Calibri" w:cs="Calibri"/>
          <w:color w:val="000000" w:themeColor="text1"/>
          <w:sz w:val="22"/>
          <w:szCs w:val="22"/>
          <w:lang w:val="en-GB"/>
        </w:rPr>
        <w:t>g</w:t>
      </w:r>
      <w:r w:rsidR="00EB42A9" w:rsidRPr="007F23AD">
        <w:rPr>
          <w:rFonts w:ascii="Calibri" w:eastAsia="DengXian" w:hAnsi="Calibri" w:cs="Calibri"/>
          <w:color w:val="000000" w:themeColor="text1"/>
          <w:sz w:val="22"/>
          <w:szCs w:val="22"/>
          <w:lang w:val="en-GB"/>
        </w:rPr>
        <w:t xml:space="preserve">reen </w:t>
      </w:r>
      <w:r w:rsidR="00087E7F" w:rsidRPr="007F23AD">
        <w:rPr>
          <w:rFonts w:ascii="Calibri" w:eastAsia="DengXian" w:hAnsi="Calibri" w:cs="Calibri"/>
          <w:color w:val="000000" w:themeColor="text1"/>
          <w:sz w:val="22"/>
          <w:szCs w:val="22"/>
          <w:lang w:val="en-GB"/>
        </w:rPr>
        <w:t>p</w:t>
      </w:r>
      <w:r w:rsidR="00EB42A9" w:rsidRPr="007F23AD">
        <w:rPr>
          <w:rFonts w:ascii="Calibri" w:eastAsia="DengXian" w:hAnsi="Calibri" w:cs="Calibri"/>
          <w:color w:val="000000" w:themeColor="text1"/>
          <w:sz w:val="22"/>
          <w:szCs w:val="22"/>
          <w:lang w:val="en-GB"/>
        </w:rPr>
        <w:t xml:space="preserve">ublic </w:t>
      </w:r>
      <w:r w:rsidR="00D42FF8" w:rsidRPr="007F23AD">
        <w:rPr>
          <w:rFonts w:ascii="Calibri" w:eastAsia="DengXian" w:hAnsi="Calibri" w:cs="Calibri"/>
          <w:color w:val="000000" w:themeColor="text1"/>
          <w:sz w:val="22"/>
          <w:szCs w:val="22"/>
          <w:lang w:val="en-GB"/>
        </w:rPr>
        <w:t>procurement</w:t>
      </w:r>
      <w:r w:rsidR="005B718B" w:rsidRPr="007F23AD">
        <w:rPr>
          <w:rFonts w:ascii="Calibri" w:eastAsia="DengXian" w:hAnsi="Calibri" w:cs="Calibri" w:hint="eastAsia"/>
          <w:color w:val="000000" w:themeColor="text1"/>
          <w:sz w:val="22"/>
          <w:szCs w:val="22"/>
          <w:lang w:val="en-GB"/>
        </w:rPr>
        <w:t xml:space="preserve"> </w:t>
      </w:r>
      <w:r w:rsidR="005B718B" w:rsidRPr="007F23AD">
        <w:rPr>
          <w:rFonts w:ascii="Calibri" w:eastAsia="DengXian" w:hAnsi="Calibri" w:cs="Calibri"/>
          <w:color w:val="000000" w:themeColor="text1"/>
          <w:sz w:val="22"/>
          <w:szCs w:val="22"/>
          <w:lang w:val="en-GB"/>
        </w:rPr>
        <w:fldChar w:fldCharType="begin"/>
      </w:r>
      <w:r w:rsidR="007C27AE" w:rsidRPr="007F23AD">
        <w:rPr>
          <w:rFonts w:ascii="Calibri" w:eastAsia="DengXian" w:hAnsi="Calibri" w:cs="Calibri"/>
          <w:color w:val="000000" w:themeColor="text1"/>
          <w:sz w:val="22"/>
          <w:szCs w:val="22"/>
          <w:lang w:val="en-GB"/>
        </w:rPr>
        <w:instrText xml:space="preserve"> ADDIN EN.CITE &lt;EndNote&gt;&lt;Cite&gt;&lt;Author&gt;Acosta Bogran&lt;/Author&gt;&lt;Year&gt;2015&lt;/Year&gt;&lt;RecNum&gt;1723&lt;/RecNum&gt;&lt;DisplayText&gt;(Acosta Bogran and Džaja 2015; Strømmen 2021)&lt;/DisplayText&gt;&lt;record&gt;&lt;rec-number&gt;1723&lt;/rec-number&gt;&lt;foreign-keys&gt;&lt;key app="EN" db-id="vxw0ffesn9zzt0ewpdx5r5a3fpw92aep9re9" timestamp="1721914094" guid="265b6036-dddc-4cb7-b195-6f9d0bd9377d"&gt;1723&lt;/key&gt;&lt;/foreign-keys&gt;&lt;ref-type name="Generic"&gt;13&lt;/ref-type&gt;&lt;contributors&gt;&lt;authors&gt;&lt;author&gt;Acosta Bogran, Paola&lt;/author&gt;&lt;author&gt;Džaja, Daria&lt;/author&gt;&lt;/authors&gt;&lt;/contributors&gt;&lt;titles&gt;&lt;title&gt;How do SMEs engage in Green Public Procurement?: An exploratory study of SMEs&amp;apos; barriers and enablers for Green Public Procurement in Scotland&lt;/title&gt;&lt;/titles&gt;&lt;dates&gt;&lt;year&gt;2015&lt;/year&gt;&lt;/dates&gt;&lt;urls&gt;&lt;/urls&gt;&lt;/record&gt;&lt;/Cite&gt;&lt;Cite&gt;&lt;Author&gt;Strømmen&lt;/Author&gt;&lt;Year&gt;2021&lt;/Year&gt;&lt;RecNum&gt;1722&lt;/RecNum&gt;&lt;record&gt;&lt;rec-number&gt;1722&lt;/rec-number&gt;&lt;foreign-keys&gt;&lt;key app="EN" db-id="vxw0ffesn9zzt0ewpdx5r5a3fpw92aep9re9" timestamp="1721914071" guid="fc2cee43-9a24-4a76-871f-212ebaec4c0a"&gt;1722&lt;/key&gt;&lt;/foreign-keys&gt;&lt;ref-type name="Thesis"&gt;32&lt;/ref-type&gt;&lt;contributors&gt;&lt;authors&gt;&lt;author&gt;Strømmen, Rebekka&lt;/author&gt;&lt;/authors&gt;&lt;/contributors&gt;&lt;titles&gt;&lt;title&gt;Benefits of using the Best Value Procurement method in Green Public Procurement for Small and Medium-sized Enterprises in the Norwegian construction sector&lt;/title&gt;&lt;/titles&gt;&lt;dates&gt;&lt;year&gt;2021&lt;/year&gt;&lt;/dates&gt;&lt;publisher&gt;NTNU&lt;/publisher&gt;&lt;urls&gt;&lt;/urls&gt;&lt;/record&gt;&lt;/Cite&gt;&lt;/EndNote&gt;</w:instrText>
      </w:r>
      <w:r w:rsidR="005B718B" w:rsidRPr="007F23AD">
        <w:rPr>
          <w:rFonts w:ascii="Calibri" w:eastAsia="DengXian" w:hAnsi="Calibri" w:cs="Calibri"/>
          <w:color w:val="000000" w:themeColor="text1"/>
          <w:sz w:val="22"/>
          <w:szCs w:val="22"/>
          <w:lang w:val="en-GB"/>
        </w:rPr>
        <w:fldChar w:fldCharType="separate"/>
      </w:r>
      <w:r w:rsidR="007C27AE" w:rsidRPr="007F23AD">
        <w:rPr>
          <w:rFonts w:ascii="Calibri" w:eastAsia="DengXian" w:hAnsi="Calibri" w:cs="Calibri"/>
          <w:noProof/>
          <w:color w:val="000000" w:themeColor="text1"/>
          <w:sz w:val="22"/>
          <w:szCs w:val="22"/>
          <w:lang w:val="en-GB"/>
        </w:rPr>
        <w:t>(Acosta Bogran and Džaja 2015; Strømmen 2021)</w:t>
      </w:r>
      <w:r w:rsidR="005B718B" w:rsidRPr="007F23AD">
        <w:rPr>
          <w:rFonts w:ascii="Calibri" w:eastAsia="DengXian" w:hAnsi="Calibri" w:cs="Calibri"/>
          <w:color w:val="000000" w:themeColor="text1"/>
          <w:sz w:val="22"/>
          <w:szCs w:val="22"/>
          <w:lang w:val="en-GB"/>
        </w:rPr>
        <w:fldChar w:fldCharType="end"/>
      </w:r>
      <w:r w:rsidR="00EB42A9" w:rsidRPr="007F23AD">
        <w:rPr>
          <w:rFonts w:ascii="Calibri" w:eastAsia="DengXian" w:hAnsi="Calibri" w:cs="Calibri"/>
          <w:color w:val="000000" w:themeColor="text1"/>
          <w:sz w:val="22"/>
          <w:szCs w:val="22"/>
          <w:lang w:val="en-GB"/>
        </w:rPr>
        <w:t>. However, there is still a lack of comprehensive research on the impact of construction SMEs in public procurement.</w:t>
      </w:r>
      <w:r w:rsidR="00B3699D" w:rsidRPr="007F23AD">
        <w:rPr>
          <w:rFonts w:ascii="Calibri" w:eastAsia="DengXian" w:hAnsi="Calibri" w:cs="Calibri" w:hint="eastAsia"/>
          <w:color w:val="000000" w:themeColor="text1"/>
          <w:sz w:val="22"/>
          <w:szCs w:val="22"/>
          <w:lang w:val="en-GB"/>
        </w:rPr>
        <w:t xml:space="preserve"> </w:t>
      </w:r>
    </w:p>
    <w:p w14:paraId="777C1F64" w14:textId="77777777" w:rsidR="009825B4" w:rsidRPr="007F23AD" w:rsidRDefault="009825B4" w:rsidP="00761606">
      <w:pPr>
        <w:spacing w:line="480" w:lineRule="auto"/>
        <w:jc w:val="both"/>
        <w:rPr>
          <w:rFonts w:ascii="Calibri" w:eastAsia="DengXian" w:hAnsi="Calibri" w:cs="Calibri"/>
          <w:color w:val="000000" w:themeColor="text1"/>
          <w:sz w:val="22"/>
          <w:szCs w:val="22"/>
          <w:lang w:val="en-GB"/>
        </w:rPr>
      </w:pPr>
    </w:p>
    <w:p w14:paraId="156F0EF4" w14:textId="77777777" w:rsidR="009825B4" w:rsidRPr="007F23AD" w:rsidRDefault="009825B4" w:rsidP="009825B4">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t>Collaboration</w:t>
      </w:r>
      <w:r w:rsidRPr="007F23AD">
        <w:rPr>
          <w:rFonts w:ascii="Calibri" w:eastAsia="DengXian" w:hAnsi="Calibri" w:cs="Calibri"/>
          <w:i/>
          <w:iCs/>
          <w:color w:val="000000" w:themeColor="text1"/>
          <w:sz w:val="22"/>
          <w:szCs w:val="22"/>
        </w:rPr>
        <w:t xml:space="preserve"> risk </w:t>
      </w:r>
    </w:p>
    <w:p w14:paraId="6BDF889D" w14:textId="77777777" w:rsidR="00C010F8" w:rsidRDefault="009825B4" w:rsidP="00761606">
      <w:pPr>
        <w:spacing w:line="480" w:lineRule="auto"/>
        <w:jc w:val="both"/>
        <w:rPr>
          <w:rFonts w:ascii="Calibri" w:eastAsia="DengXian" w:hAnsi="Calibri" w:cs="Calibri" w:hint="eastAsia"/>
          <w:color w:val="000000" w:themeColor="text1"/>
          <w:sz w:val="22"/>
          <w:szCs w:val="22"/>
          <w:lang w:val="en-GB"/>
        </w:rPr>
        <w:sectPr w:rsidR="00C010F8" w:rsidSect="002F0FBC">
          <w:headerReference w:type="default" r:id="rId19"/>
          <w:footerReference w:type="default" r:id="rId20"/>
          <w:pgSz w:w="11900" w:h="16840"/>
          <w:pgMar w:top="1440" w:right="1800" w:bottom="1440" w:left="1800" w:header="708" w:footer="708" w:gutter="0"/>
          <w:cols w:space="708"/>
          <w:docGrid w:linePitch="360"/>
        </w:sectPr>
      </w:pPr>
      <w:r w:rsidRPr="007F23AD">
        <w:rPr>
          <w:rFonts w:ascii="Calibri" w:eastAsia="DengXian" w:hAnsi="Calibri" w:cs="Calibri"/>
          <w:color w:val="000000" w:themeColor="text1"/>
          <w:sz w:val="22"/>
          <w:szCs w:val="22"/>
          <w:lang w:val="en-GB"/>
        </w:rPr>
        <w:t xml:space="preserve">The supply chain in the construction industry is complex, with many associated risks remaining elusive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&lt;EndNote&gt;&lt;Cite&gt;&lt;Author&gt;Donato&lt;/Author&gt;&lt;Year&gt;2015&lt;/Year&gt;&lt;RecNum&gt;0&lt;/RecNum&gt;&lt;IDText&gt;Resource dependency and collaboration in construction supply chain: literature review and development of a conceptual framework&lt;/IDText&gt;&lt;DisplayText&gt;(Donato et al. 2015)&lt;/DisplayText&gt;&lt;record&gt;&lt;rec-number&gt;68&lt;/rec-number&gt;&lt;foreign-keys&gt;&lt;key app="EN" db-id="pzdwvt0zxepzzqe2zdmp5zajvd0tv5sdtt2w" timestamp="1701253332"&gt;68&lt;/key&gt;&lt;/foreign-keys&gt;&lt;ref-type name="Journal Article"&gt;17&lt;/ref-type&gt;&lt;contributors&gt;&lt;authors&gt;&lt;author&gt;Donato, Matteo&lt;/author&gt;&lt;author&gt;Ahsan, Kamrul&lt;/author&gt;&lt;author&gt;Shee, Himanshu&lt;/author&gt;&lt;/authors&gt;&lt;/contributors&gt;&lt;titles&gt;&lt;title&gt;Resource dependency and collaboration in construction supply chain: literature review and development of a conceptual framework&lt;/title&gt;&lt;secondary-title&gt;International Journal of Procurement Management&lt;/secondary-title&gt;&lt;/titles&gt;&lt;periodical&gt;&lt;full-title&gt;International Journal of Procurement Management&lt;/full-title&gt;&lt;/periodical&gt;&lt;pages&gt;344-364&lt;/pages&gt;&lt;volume&gt;8&lt;/volume&gt;&lt;number&gt;3&lt;/number&gt;&lt;section&gt;344&lt;/section&gt;&lt;dates&gt;&lt;year&gt;2015&lt;/year&gt;&lt;pub-dates&gt;&lt;date&gt;2015/01/01&lt;/date&gt;&lt;/pub-dates&gt;&lt;/dates&gt;&lt;publisher&gt;Inderscience Publishers&lt;/publisher&gt;&lt;isbn&gt;1753-8432&amp;#xD;1753-8440&lt;/isbn&gt;&lt;urls&gt;&lt;related-urls&gt;&lt;url&gt;https://www.inderscienceonline.com/doi/abs/10.1504/IJPM.2015.069157&lt;/url&gt;&lt;/related-urls&gt;&lt;/urls&gt;&lt;electronic-resource-num&gt;10.1504/ijpm.2015.069157&lt;/electronic-resource-num&gt;&lt;access-date&gt;2022/06/15&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(Donato et al. 2015)</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Collaboration comprises 90% of projects, making subcontractors and supply chains vital to the industry </w:t>
      </w:r>
      <w:r w:rsidRPr="007F23AD">
        <w:rPr>
          <w:rFonts w:ascii="Calibri" w:eastAsia="DengXian" w:hAnsi="Calibri" w:cs="Calibri"/>
          <w:color w:val="000000" w:themeColor="text1"/>
          <w:sz w:val="22"/>
          <w:szCs w:val="22"/>
          <w:lang w:val="en-GB"/>
        </w:rPr>
        <w:fldChar w:fldCharType="begin">
          <w:fldData xml:space="preserve">PEVuZE5vdGU+PENpdGU+PEF1dGhvcj5Fcmlrc3NvbjwvQXV0aG9yPjxZZWFyPjIwMDc8L1llYXI+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=
</w:fldData>
        </w:fldChar>
      </w:r>
      <w:r w:rsidRPr="007F23AD">
        <w:rPr>
          <w:rFonts w:ascii="Calibri" w:eastAsia="DengXian" w:hAnsi="Calibri" w:cs="Calibri"/>
          <w:color w:val="000000" w:themeColor="text1"/>
          <w:sz w:val="22"/>
          <w:szCs w:val="22"/>
          <w:lang w:val="en-GB"/>
        </w:rPr>
        <w:instrText xml:space="preserve"> ADDIN EN.CITE </w:instrText>
      </w:r>
      <w:r w:rsidRPr="007F23AD">
        <w:rPr>
          <w:rFonts w:ascii="Calibri" w:eastAsia="DengXian" w:hAnsi="Calibri" w:cs="Calibri"/>
          <w:color w:val="000000" w:themeColor="text1"/>
          <w:sz w:val="22"/>
          <w:szCs w:val="22"/>
          <w:lang w:val="en-GB"/>
        </w:rPr>
        <w:fldChar w:fldCharType="begin">
          <w:fldData xml:space="preserve">PEVuZE5vdGU+PENpdGU+PEF1dGhvcj5Fcmlrc3NvbjwvQXV0aG9yPjxZZWFyPjIwMDc8L1llYXI+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=
</w:fldData>
        </w:fldChar>
      </w:r>
      <w:r w:rsidRPr="007F23AD">
        <w:rPr>
          <w:rFonts w:ascii="Calibri" w:eastAsia="DengXian" w:hAnsi="Calibri" w:cs="Calibri"/>
          <w:color w:val="000000" w:themeColor="text1"/>
          <w:sz w:val="22"/>
          <w:szCs w:val="22"/>
          <w:lang w:val="en-GB"/>
        </w:rPr>
        <w:instrText xml:space="preserve"> ADDIN EN.CITE.DATA </w:instrText>
      </w:r>
      <w:r w:rsidRPr="007F23AD">
        <w:rPr>
          <w:rFonts w:ascii="Calibri" w:eastAsia="DengXian" w:hAnsi="Calibri" w:cs="Calibri"/>
          <w:color w:val="000000" w:themeColor="text1"/>
          <w:sz w:val="22"/>
          <w:szCs w:val="22"/>
          <w:lang w:val="en-GB"/>
        </w:rPr>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(Humphreys et al. 2003; Eriksson et al. 2007; Donato et al. 2015)</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Construction SMEs often collaborate on projects due to resource limitations. Consequently, SMEs frequently partner with larger company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&lt;EndNote&gt;&lt;Cite&gt;&lt;Author&gt;OECD&lt;/Author&gt;&lt;Year&gt;2023&lt;/Year&gt;&lt;RecNum&gt;841&lt;/RecNum&gt;&lt;DisplayText&gt;(OECD 2023)&lt;/DisplayText&gt;&lt;record&gt;&lt;rec-number&gt;841&lt;/rec-number&gt;&lt;foreign-keys&gt;&lt;key app="EN" db-id="vxw0ffesn9zzt0ewpdx5r5a3fpw92aep9re9" timestamp="1683798508" guid="e5448012-a9b4-4c3e-bbaa-3e1fdcc005bd"&gt;841&lt;/key&gt;&lt;/foreign-keys&gt;&lt;ref-type name="Report"&gt;27&lt;/ref-type&gt;&lt;contributors&gt;&lt;authors&gt;&lt;author&gt;OECD&lt;/author&gt;&lt;/authors&gt;&lt;/contributors&gt;&lt;titles&gt;&lt;title&gt;OECD SME and Entrepreneurship Outlook 2023&lt;/title&gt;&lt;/titles&gt;&lt;dates&gt;&lt;year&gt;2023&lt;/year&gt;&lt;/dates&gt;&lt;urls&gt;&lt;related-urls&gt;&lt;url&gt;https://doi.org/10.1787/8d707502-en&lt;/url&gt;&lt;/related-urls&gt;&lt;/urls&gt;&lt;access-date&gt;28-06-2024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(OECD 2023)</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w:t>
      </w:r>
      <w:r w:rsidRPr="007F23AD">
        <w:rPr>
          <w:rFonts w:ascii="Calibri" w:eastAsia="DengXian" w:hAnsi="Calibri" w:cs="Calibri" w:hint="eastAsia"/>
          <w:color w:val="000000" w:themeColor="text1"/>
          <w:sz w:val="22"/>
          <w:szCs w:val="22"/>
          <w:lang w:val="en-GB"/>
        </w:rPr>
        <w:t xml:space="preserve"> </w:t>
      </w:r>
      <w:r w:rsidRPr="007F23AD">
        <w:rPr>
          <w:rFonts w:ascii="Calibri" w:eastAsia="DengXian" w:hAnsi="Calibri" w:cs="Calibri"/>
          <w:color w:val="000000" w:themeColor="text1"/>
          <w:sz w:val="22"/>
          <w:szCs w:val="22"/>
          <w:lang w:val="en-GB"/>
        </w:rPr>
        <w:t xml:space="preserve">The literature indicates researchers are developing frameworks for corporate collaboration where factors like strategy, culture, and risk-sharing attitudes influence trust dynamics.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&lt;EndNote&gt;&lt;Cite&gt;&lt;Author&gt;Fraser&lt;/Author&gt;&lt;Year&gt;2005&lt;/Year&gt;&lt;RecNum&gt;0&lt;/RecNum&gt;&lt;IDText&gt;Managing product development collaborations—a process maturity approach&lt;/IDText&gt;&lt;DisplayText&gt;(Fraser et al. 2005)&lt;/DisplayText&gt;&lt;record&gt;&lt;rec-number&gt;49&lt;/rec-number&gt;&lt;foreign-keys&gt;&lt;key app="EN" db-id="pzdwvt0zxepzzqe2zdmp5zajvd0tv5sdtt2w" timestamp="1701253332"&gt;49&lt;/key&gt;&lt;/foreign-keys&gt;&lt;ref-type name="Journal Article"&gt;17&lt;/ref-type&gt;&lt;contributors&gt;&lt;authors&gt;&lt;author&gt;Fraser, P.&lt;/author&gt;&lt;author&gt;Farrukh, C.&lt;/author&gt;&lt;author&gt;Gregory, M.&lt;/author&gt;&lt;/authors&gt;&lt;/contributors&gt;&lt;titles&gt;&lt;title&gt;Managing product development collaborations—a process maturity approach&lt;/title&gt;&lt;secondary-title&gt;Proceedings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1499-1519&lt;/pages&gt;&lt;volume&gt;217&lt;/volume&gt;&lt;number&gt;11&lt;/number&gt;&lt;section&gt;1499&lt;/section&gt;&lt;dates&gt;&lt;year&gt;2005&lt;/year&gt;&lt;pub-dates&gt;&lt;date&gt;2003/11/01&lt;/date&gt;&lt;/pub-dates&gt;&lt;/dates&gt;&lt;publisher&gt;IMECHE&lt;/publisher&gt;&lt;isbn&gt;0954-4054&amp;#xD;2041-2975&lt;/isbn&gt;&lt;urls&gt;&lt;related-urls&gt;&lt;url&gt;https://doi.org/10.1243/095440503771909890&lt;/url&gt;&lt;/related-urls&gt;&lt;/urls&gt;&lt;electronic-resource-num&gt;10.1243/095440503771909890&lt;/electronic-resource-num&gt;&lt;access-date&gt;2022/06/14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(Fraser et al. 2005)</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analysed partnership maturity in UK SMEs through a study of 12 collaborative development projects. However, communication problems and a lack of trust between parties can hinder</w:t>
      </w:r>
      <w:r w:rsidR="009C496D" w:rsidRPr="007F23AD">
        <w:rPr>
          <w:color w:val="000000" w:themeColor="text1"/>
        </w:rPr>
        <w:t xml:space="preserve"> </w:t>
      </w:r>
      <w:r w:rsidR="009C496D" w:rsidRPr="007F23AD">
        <w:rPr>
          <w:rFonts w:ascii="Calibri" w:eastAsia="DengXian" w:hAnsi="Calibri" w:cs="Calibri"/>
          <w:color w:val="000000" w:themeColor="text1"/>
          <w:sz w:val="22"/>
          <w:szCs w:val="22"/>
          <w:lang w:val="en-GB"/>
        </w:rPr>
        <w:t>collaboration</w:t>
      </w:r>
      <w:r w:rsidRPr="007F23AD">
        <w:rPr>
          <w:rFonts w:ascii="Calibri" w:eastAsia="DengXian" w:hAnsi="Calibri" w:cs="Calibri"/>
          <w:color w:val="000000" w:themeColor="text1"/>
          <w:sz w:val="22"/>
          <w:szCs w:val="22"/>
          <w:lang w:val="en-GB"/>
        </w:rPr>
        <w:t xml:space="preserve">, particularly in complex and risky projects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&lt;EndNote&gt;&lt;Cite&gt;&lt;Author&gt;Laan&lt;/Author&gt;&lt;Year&gt;2011&lt;/Year&gt;&lt;RecNum&gt;0&lt;/RecNum&gt;&lt;IDText&gt;Building trust in construction partnering projects: An exploratory case-study&lt;/IDText&gt;&lt;DisplayText&gt;(Laan et al. 2011)&lt;/DisplayText&gt;&lt;record&gt;&lt;rec-number&gt;53&lt;/rec-number&gt;&lt;foreign-keys&gt;&lt;key app="EN" db-id="pzdwvt0zxepzzqe2zdmp5zajvd0tv5sdtt2w" timestamp="1701253332"&gt;53&lt;/key&gt;&lt;/foreign-keys&gt;&lt;ref-type name="Journal Article"&gt;17&lt;/ref-type&gt;&lt;contributors&gt;&lt;authors&gt;&lt;author&gt;Laan, Albertus&lt;/author&gt;&lt;author&gt;Noorderhaven, Niels&lt;/author&gt;&lt;author&gt;Voordijk, Hans&lt;/author&gt;&lt;author&gt;Dewulf, Geert&lt;/author&gt;&lt;/authors&gt;&lt;/contributors&gt;&lt;titles&gt;&lt;title&gt;Building trust in construction partnering projects: An exploratory case-study&lt;/title&gt;&lt;secondary-title&gt;Journal of Purchasing and Supply Management&lt;/secondary-title&gt;&lt;/titles&gt;&lt;periodical&gt;&lt;full-title&gt;Journal of Purchasing and Supply Management&lt;/full-title&gt;&lt;/periodical&gt;&lt;pages&gt;98-108&lt;/pages&gt;&lt;volume&gt;17&lt;/volume&gt;&lt;number&gt;2&lt;/number&gt;&lt;section&gt;98&lt;/section&gt;&lt;dates&gt;&lt;year&gt;2011&lt;/year&gt;&lt;/dates&gt;&lt;isbn&gt;14784092&lt;/isbn&gt;&lt;work-type&gt;Article&lt;/work-type&gt;&lt;urls&gt;&lt;related-urls&gt;&lt;url&gt;https://www.scopus.com/inward/record.uri?eid=2-s2.0-79956285410&amp;amp;doi=10.1016%2fj.pursup.2010.11.001&amp;amp;partnerID=40&amp;amp;md5=114573e8491afdb97733d9072537e72d&lt;/url&gt;&lt;/related-urls&gt;&lt;/urls&gt;&lt;electronic-resource-num&gt;10.1016/j.pursup.2010.11.001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(Laan et al. 2011)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Conflicts may also arise due to factors such as the pricing of orders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&lt;EndNote&gt;&lt;Cite&gt;&lt;Author&gt;Chan&lt;/Author&gt;&lt;Year&gt;2003&lt;/Year&gt;&lt;RecNum&gt;669&lt;/RecNum&gt;&lt;IDText&gt;An empirical study of the benefits of construction partnering in Hong Kong&lt;/IDText&gt;&lt;DisplayText&gt;(Chan et al. 2003)&lt;/DisplayText&gt;&lt;record&gt;&lt;rec-number&gt;669&lt;/rec-number&gt;&lt;foreign-keys&gt;&lt;key app="EN" db-id="vxw0ffesn9zzt0ewpdx5r5a3fpw92aep9re9" timestamp="1683538057" guid="db8b7ae4-fe9b-4859-af35-ea06eb40ff25"&gt;669&lt;/key&gt;&lt;/foreign-keys&gt;&lt;ref-type name="Journal Article"&gt;17&lt;/ref-type&gt;&lt;contributors&gt;&lt;authors&gt;&lt;author&gt;Chan, Albert&lt;/author&gt;&lt;author&gt;Chan, Dr Daniel&lt;/author&gt;&lt;author&gt;Ho, Kathy&lt;/author&gt;&lt;/authors&gt;&lt;/contributors&gt;&lt;titles&gt;&lt;title&gt;An empirical study of the benefits of construction partnering in Hong Kong&lt;/title&gt;&lt;secondary-title&gt;Construction Management &amp;amp; Economics&lt;/secondary-title&gt;&lt;/titles&gt;&lt;periodical&gt;&lt;full-title&gt;Construction Management &amp;amp; Economics&lt;/full-title&gt;&lt;/periodical&gt;&lt;pages&gt;523-533&lt;/pages&gt;&lt;volume&gt;21&lt;/volume&gt;&lt;dates&gt;&lt;year&gt;2003&lt;/year&gt;&lt;pub-dates&gt;&lt;date&gt;02/01&lt;/date&gt;&lt;/pub-dates&gt;&lt;/dates&gt;&lt;urls&gt;&lt;/urls&gt;&lt;electronic-resource-num&gt;10.1080/0144619032000056162&lt;/electronic-resource-num&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(Chan et al. 2003)</w:t>
      </w:r>
      <w:r w:rsidRPr="007F23AD">
        <w:rPr>
          <w:rFonts w:ascii="Calibri" w:eastAsia="DengXian" w:hAnsi="Calibri" w:cs="Calibri"/>
          <w:color w:val="000000" w:themeColor="text1"/>
          <w:sz w:val="22"/>
          <w:szCs w:val="22"/>
          <w:lang w:val="en-GB"/>
        </w:rPr>
        <w:fldChar w:fldCharType="end"/>
      </w:r>
    </w:p>
    <w:p w14:paraId="75CCDF2B" w14:textId="77777777" w:rsidR="00C010F8" w:rsidRPr="003E6EF8" w:rsidRDefault="00C010F8" w:rsidP="00C010F8">
      <w:pPr>
        <w:jc w:val="center"/>
        <w:rPr>
          <w:rFonts w:ascii="Calibri" w:hAnsi="Calibri" w:cs="Calibri"/>
          <w:color w:val="000000" w:themeColor="text1"/>
          <w:sz w:val="22"/>
          <w:szCs w:val="22"/>
        </w:rPr>
      </w:pPr>
      <w:r w:rsidRPr="003E6EF8">
        <w:rPr>
          <w:rFonts w:ascii="Calibri" w:hAnsi="Calibri" w:cs="Calibri"/>
          <w:color w:val="000000" w:themeColor="text1"/>
          <w:sz w:val="22"/>
          <w:szCs w:val="22"/>
        </w:rPr>
        <w:lastRenderedPageBreak/>
        <w:t>Table III: Supply Chain Management and Strategy</w:t>
      </w:r>
    </w:p>
    <w:p w14:paraId="60C13A55" w14:textId="77777777" w:rsidR="00C010F8" w:rsidRDefault="00C010F8" w:rsidP="00C010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198"/>
      </w:tblGrid>
      <w:tr w:rsidR="00C010F8" w:rsidRPr="007F23AD" w14:paraId="3F09F0EA" w14:textId="77777777" w:rsidTr="005B4EA9">
        <w:trPr>
          <w:trHeight w:val="320"/>
          <w:jc w:val="center"/>
        </w:trPr>
        <w:tc>
          <w:tcPr>
            <w:tcW w:w="13745" w:type="dxa"/>
            <w:gridSpan w:val="2"/>
            <w:shd w:val="clear" w:color="auto" w:fill="auto"/>
            <w:noWrap/>
            <w:vAlign w:val="center"/>
            <w:hideMark/>
          </w:tcPr>
          <w:p w14:paraId="37547B46" w14:textId="77777777" w:rsidR="00C010F8" w:rsidRPr="007F23AD" w:rsidRDefault="00C010F8" w:rsidP="005B4EA9">
            <w:pPr>
              <w:spacing w:line="480" w:lineRule="auto"/>
              <w:jc w:val="both"/>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 xml:space="preserve">Scope: </w:t>
            </w:r>
            <w:r w:rsidRPr="007F23AD">
              <w:rPr>
                <w:rFonts w:ascii="Calibri" w:eastAsia="DengXian" w:hAnsi="Calibri" w:cs="Calibri"/>
                <w:color w:val="000000" w:themeColor="text1"/>
                <w:sz w:val="22"/>
                <w:szCs w:val="22"/>
                <w:lang w:val="en-GB"/>
              </w:rPr>
              <w:t>The scope of the study encompasses the various risks posed to SMEs in the context of supply chain management and strategy, including those risks associated with collaborations, contract, strategy, and disruption.</w:t>
            </w:r>
          </w:p>
        </w:tc>
      </w:tr>
      <w:tr w:rsidR="00C010F8" w:rsidRPr="007F23AD" w14:paraId="212EF929" w14:textId="77777777" w:rsidTr="005B4EA9">
        <w:trPr>
          <w:trHeight w:val="320"/>
          <w:jc w:val="center"/>
        </w:trPr>
        <w:tc>
          <w:tcPr>
            <w:tcW w:w="2547" w:type="dxa"/>
            <w:shd w:val="clear" w:color="auto" w:fill="auto"/>
            <w:noWrap/>
            <w:vAlign w:val="center"/>
            <w:hideMark/>
          </w:tcPr>
          <w:p w14:paraId="7B6C1B98" w14:textId="77777777" w:rsidR="00C010F8" w:rsidRPr="007F23AD" w:rsidRDefault="00C010F8" w:rsidP="005B4EA9">
            <w:pPr>
              <w:spacing w:line="480" w:lineRule="auto"/>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rPr>
              <w:t>R</w:t>
            </w:r>
            <w:r w:rsidRPr="007F23AD">
              <w:rPr>
                <w:rFonts w:ascii="Calibri" w:eastAsia="DengXian" w:hAnsi="Calibri" w:cs="Calibri" w:hint="eastAsia"/>
                <w:b/>
                <w:bCs/>
                <w:color w:val="000000" w:themeColor="text1"/>
                <w:sz w:val="22"/>
                <w:szCs w:val="22"/>
              </w:rPr>
              <w:t>isk</w:t>
            </w:r>
            <w:r w:rsidRPr="007F23AD">
              <w:rPr>
                <w:rFonts w:ascii="Calibri" w:eastAsia="DengXian" w:hAnsi="Calibri" w:cs="Calibri"/>
                <w:b/>
                <w:bCs/>
                <w:color w:val="000000" w:themeColor="text1"/>
                <w:sz w:val="22"/>
                <w:szCs w:val="22"/>
              </w:rPr>
              <w:t xml:space="preserve">s </w:t>
            </w:r>
            <w:r w:rsidRPr="007F23AD">
              <w:rPr>
                <w:rFonts w:ascii="Calibri" w:eastAsia="DengXian" w:hAnsi="Calibri" w:cs="Calibri"/>
                <w:b/>
                <w:bCs/>
                <w:color w:val="000000" w:themeColor="text1"/>
                <w:sz w:val="22"/>
                <w:szCs w:val="22"/>
                <w:lang w:val="en-GB"/>
              </w:rPr>
              <w:t xml:space="preserve">under this </w:t>
            </w:r>
            <w:r w:rsidRPr="007F23AD">
              <w:rPr>
                <w:rFonts w:ascii="Calibri" w:eastAsia="DengXian" w:hAnsi="Calibri" w:cs="Calibri" w:hint="eastAsia"/>
                <w:b/>
                <w:bCs/>
                <w:color w:val="000000" w:themeColor="text1"/>
                <w:sz w:val="22"/>
                <w:szCs w:val="22"/>
                <w:lang w:val="en-GB"/>
              </w:rPr>
              <w:t>the</w:t>
            </w:r>
            <w:r w:rsidRPr="007F23AD">
              <w:rPr>
                <w:rFonts w:ascii="Calibri" w:eastAsia="DengXian" w:hAnsi="Calibri" w:cs="Calibri"/>
                <w:b/>
                <w:bCs/>
                <w:color w:val="000000" w:themeColor="text1"/>
                <w:sz w:val="22"/>
                <w:szCs w:val="22"/>
              </w:rPr>
              <w:t>me</w:t>
            </w:r>
            <w:r w:rsidRPr="007F23AD">
              <w:rPr>
                <w:rFonts w:ascii="Calibri" w:eastAsia="DengXian" w:hAnsi="Calibri" w:cs="Calibri"/>
                <w:b/>
                <w:bCs/>
                <w:color w:val="000000" w:themeColor="text1"/>
                <w:sz w:val="22"/>
                <w:szCs w:val="22"/>
                <w:lang w:val="en-GB"/>
              </w:rPr>
              <w:t>:</w:t>
            </w:r>
          </w:p>
        </w:tc>
        <w:tc>
          <w:tcPr>
            <w:tcW w:w="11198" w:type="dxa"/>
            <w:shd w:val="clear" w:color="auto" w:fill="auto"/>
            <w:noWrap/>
            <w:vAlign w:val="center"/>
            <w:hideMark/>
          </w:tcPr>
          <w:p w14:paraId="7D6B8735" w14:textId="77777777" w:rsidR="00C010F8" w:rsidRPr="007F23AD" w:rsidRDefault="00C010F8" w:rsidP="005B4EA9">
            <w:pPr>
              <w:spacing w:line="480" w:lineRule="auto"/>
              <w:jc w:val="center"/>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 xml:space="preserve">Publications (23 articles) </w:t>
            </w:r>
          </w:p>
        </w:tc>
      </w:tr>
      <w:tr w:rsidR="00C010F8" w:rsidRPr="007F23AD" w14:paraId="3D9C878D" w14:textId="77777777" w:rsidTr="005B4EA9">
        <w:trPr>
          <w:trHeight w:val="320"/>
          <w:jc w:val="center"/>
        </w:trPr>
        <w:tc>
          <w:tcPr>
            <w:tcW w:w="2547" w:type="dxa"/>
            <w:shd w:val="clear" w:color="auto" w:fill="auto"/>
            <w:noWrap/>
            <w:vAlign w:val="center"/>
            <w:hideMark/>
          </w:tcPr>
          <w:p w14:paraId="22196BF1" w14:textId="77777777" w:rsidR="00C010F8" w:rsidRPr="007F23AD" w:rsidRDefault="00C010F8" w:rsidP="005B4EA9">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1. Collaboration Risk</w:t>
            </w:r>
          </w:p>
        </w:tc>
        <w:tc>
          <w:tcPr>
            <w:tcW w:w="11198" w:type="dxa"/>
            <w:shd w:val="clear" w:color="auto" w:fill="auto"/>
            <w:noWrap/>
            <w:vAlign w:val="center"/>
            <w:hideMark/>
          </w:tcPr>
          <w:p w14:paraId="444ED26B"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Khalfan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ExcludeAuth="1"&gt;&lt;Author&gt;Khalfan&lt;/Author&gt;&lt;Year&gt;2008&lt;/Year&gt;&lt;RecNum&gt;0&lt;/RecNum&gt;&lt;IDText&gt;The integration of suppliers and manufacturers within construction supply chains through innovative procurement strategies&lt;/IDText&gt;&lt;DisplayText&gt;(2008)&lt;/DisplayText&gt;&lt;record&gt;&lt;rec-number&gt;50&lt;/rec-number&gt;&lt;foreign-keys&gt;&lt;key app="EN" db-id="pzdwvt0zxepzzqe2zdmp5zajvd0tv5sdtt2w" timestamp="1701253332"&gt;50&lt;/key&gt;&lt;/foreign-keys&gt;&lt;ref-type name="Journal Article"&gt;17&lt;/ref-type&gt;&lt;contributors&gt;&lt;authors&gt;&lt;author&gt;Khalfan, Malik M. A.&lt;/author&gt;&lt;author&gt;McDermott, Peter&lt;/author&gt;&lt;author&gt;Li, Xianguang&lt;/author&gt;&lt;author&gt;Arif, Mohammed&lt;/author&gt;&lt;author&gt;Kashyap, Mukesh&lt;/author&gt;&lt;/authors&gt;&lt;/contributors&gt;&lt;titles&gt;&lt;title&gt;The integration of suppliers and manufacturers within construction supply chains through innovative procurement strategies&lt;/title&gt;&lt;secondary-title&gt;International Journal of Value Chain Management&lt;/secondary-title&gt;&lt;/titles&gt;&lt;periodical&gt;&lt;full-title&gt;International Journal of Value Chain Management&lt;/full-title&gt;&lt;/periodical&gt;&lt;pages&gt;358-370&lt;/pages&gt;&lt;volume&gt;2&lt;/volume&gt;&lt;number&gt;3&lt;/number&gt;&lt;section&gt;358&lt;/section&gt;&lt;dates&gt;&lt;year&gt;2008&lt;/year&gt;&lt;pub-dates&gt;&lt;date&gt;2008/01/01&lt;/date&gt;&lt;/pub-dates&gt;&lt;/dates&gt;&lt;publisher&gt;Inderscience Publishers&lt;/publisher&gt;&lt;isbn&gt;1741-5357&amp;#xD;1741-5365&lt;/isbn&gt;&lt;urls&gt;&lt;related-urls&gt;&lt;url&gt;https://www.inderscienceonline.com/doi/abs/10.1504/IJVCM.2008.019518&lt;/url&gt;&lt;/related-urls&gt;&lt;/urls&gt;&lt;electronic-resource-num&gt;10.1504/ijvcm.2008.019518&lt;/electronic-resource-num&gt;&lt;access-date&gt;2022/06/14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(2008)</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examined UK construction procurement initiatives aimed at integrating the supply chain, highlighting the role of clients and critical success factors through two case studies.</w:t>
            </w:r>
          </w:p>
          <w:p w14:paraId="1EEB32DB" w14:textId="77777777" w:rsidR="00C010F8" w:rsidRPr="007F23AD" w:rsidRDefault="00C010F8" w:rsidP="005B4EA9">
            <w:pPr>
              <w:rPr>
                <w:rFonts w:ascii="Calibri" w:eastAsia="DengXian" w:hAnsi="Calibri" w:cs="Calibri"/>
                <w:color w:val="000000" w:themeColor="text1"/>
                <w:sz w:val="22"/>
                <w:szCs w:val="22"/>
                <w:lang w:val="en-GB"/>
              </w:rPr>
            </w:pPr>
          </w:p>
          <w:p w14:paraId="400AC92F" w14:textId="77777777" w:rsidR="00C010F8" w:rsidRPr="007F23AD" w:rsidRDefault="00C010F8" w:rsidP="005B4EA9">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Bygballe</w:t>
            </w:r>
            <w:proofErr w:type="spellEnd"/>
            <w:r w:rsidRPr="007F23AD">
              <w:rPr>
                <w:rFonts w:ascii="Calibri" w:eastAsia="DengXian" w:hAnsi="Calibri" w:cs="Calibri"/>
                <w:color w:val="000000" w:themeColor="text1"/>
                <w:sz w:val="22"/>
                <w:szCs w:val="22"/>
                <w:lang w:val="en-GB"/>
              </w:rPr>
              <w:t xml:space="preserve">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ExcludeAuth="1"&gt;&lt;Author&gt;Bygballe&lt;/Author&gt;&lt;Year&gt;2010&lt;/Year&gt;&lt;RecNum&gt;0&lt;/RecNum&gt;&lt;IDText&gt;Partnering relationships in construction: A literature review&lt;/IDText&gt;&lt;DisplayText&gt;(2010)&lt;/DisplayText&gt;&lt;record&gt;&lt;rec-number&gt;51&lt;/rec-number&gt;&lt;foreign-keys&gt;&lt;key app="EN" db-id="pzdwvt0zxepzzqe2zdmp5zajvd0tv5sdtt2w" timestamp="1701253332"&gt;51&lt;/key&gt;&lt;/foreign-keys&gt;&lt;ref-type name="Journal Article"&gt;17&lt;/ref-type&gt;&lt;contributors&gt;&lt;authors&gt;&lt;author&gt;Bygballe, Lena E.&lt;/author&gt;&lt;author&gt;Jahre, Marianne&lt;/author&gt;&lt;author&gt;Swärd, Anna&lt;/author&gt;&lt;/authors&gt;&lt;/contributors&gt;&lt;titles&gt;&lt;title&gt;Partnering relationships in construction: A literature review&lt;/title&gt;&lt;secondary-title&gt;Journal of Purchasing and Supply Management&lt;/secondary-title&gt;&lt;/titles&gt;&lt;periodical&gt;&lt;full-title&gt;Journal of Purchasing and Supply Management&lt;/full-title&gt;&lt;/periodical&gt;&lt;pages&gt;239-253&lt;/pages&gt;&lt;volume&gt;16&lt;/volume&gt;&lt;number&gt;4&lt;/number&gt;&lt;section&gt;239&lt;/section&gt;&lt;keywords&gt;&lt;keyword&gt;Construction industry&lt;/keyword&gt;&lt;keyword&gt;Partnering relationships&lt;/keyword&gt;&lt;keyword&gt;Literature review&lt;/keyword&gt;&lt;/keywords&gt;&lt;dates&gt;&lt;year&gt;2010&lt;/year&gt;&lt;pub-dates&gt;&lt;date&gt;2010/12/01/&lt;/date&gt;&lt;/pub-dates&gt;&lt;/dates&gt;&lt;isbn&gt;14784092&lt;/isbn&gt;&lt;urls&gt;&lt;related-urls&gt;&lt;url&gt;https://www.sciencedirect.com/science/article/pii/S1478409210000634&lt;/url&gt;&lt;/related-urls&gt;&lt;/urls&gt;&lt;electronic-resource-num&gt;10.1016/j.pursup.2010.08.002&lt;/electronic-resource-num&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delved into the diverse interpretations of partnering in construction, comparing them to the Construction Industry Institute’s definition, and suggests incorporating insights from Supply Chain Management and the Industrial Network Approach to better understand long-term, multi-party relationships.</w:t>
            </w:r>
          </w:p>
          <w:p w14:paraId="78D4F0CE" w14:textId="77777777" w:rsidR="00C010F8" w:rsidRPr="007F23AD" w:rsidRDefault="00C010F8" w:rsidP="005B4EA9">
            <w:pPr>
              <w:rPr>
                <w:rFonts w:ascii="Calibri" w:eastAsia="DengXian" w:hAnsi="Calibri" w:cs="Calibri"/>
                <w:color w:val="000000" w:themeColor="text1"/>
                <w:sz w:val="22"/>
                <w:szCs w:val="22"/>
                <w:lang w:val="en-GB"/>
              </w:rPr>
            </w:pPr>
          </w:p>
          <w:p w14:paraId="1C26FBC9"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Crespin-</w:t>
            </w:r>
            <w:proofErr w:type="spellStart"/>
            <w:r w:rsidRPr="007F23AD">
              <w:rPr>
                <w:rFonts w:ascii="Calibri" w:eastAsia="DengXian" w:hAnsi="Calibri" w:cs="Calibri"/>
                <w:color w:val="000000" w:themeColor="text1"/>
                <w:sz w:val="22"/>
                <w:szCs w:val="22"/>
                <w:lang w:val="en-GB"/>
              </w:rPr>
              <w:t>Mazet</w:t>
            </w:r>
            <w:proofErr w:type="spellEnd"/>
            <w:r w:rsidRPr="007F23AD">
              <w:rPr>
                <w:rFonts w:ascii="Calibri" w:eastAsia="DengXian" w:hAnsi="Calibri" w:cs="Calibri"/>
                <w:color w:val="000000" w:themeColor="text1"/>
                <w:sz w:val="22"/>
                <w:szCs w:val="22"/>
                <w:lang w:val="en-GB"/>
              </w:rPr>
              <w:t xml:space="preserve">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ExcludeAuth="1"&gt;&lt;Author&gt;Crespin-Mazet&lt;/Author&gt;&lt;Year&gt;2010&lt;/Year&gt;&lt;RecNum&gt;0&lt;/RecNum&gt;&lt;IDText&gt;The reluctance of construction purchasers towards project partnering&lt;/IDText&gt;&lt;DisplayText&gt;(2010)&lt;/DisplayText&gt;&lt;record&gt;&lt;rec-number&gt;52&lt;/rec-number&gt;&lt;foreign-keys&gt;&lt;key app="EN" db-id="pzdwvt0zxepzzqe2zdmp5zajvd0tv5sdtt2w" timestamp="1701253332"&gt;52&lt;/key&gt;&lt;/foreign-keys&gt;&lt;ref-type name="Journal Article"&gt;17&lt;/ref-type&gt;&lt;contributors&gt;&lt;authors&gt;&lt;author&gt;Crespin-Mazet, F.&lt;/author&gt;&lt;author&gt;Portier, P.&lt;/author&gt;&lt;/authors&gt;&lt;/contributors&gt;&lt;titles&gt;&lt;title&gt;The reluctance of construction purchasers towards project partnering&lt;/title&gt;&lt;secondary-title&gt;Journal of Purchasing and Supply Management&lt;/secondary-title&gt;&lt;/titles&gt;&lt;periodical&gt;&lt;full-title&gt;Journal of Purchasing and Supply Management&lt;/full-title&gt;&lt;/periodical&gt;&lt;pages&gt;230-238&lt;/pages&gt;&lt;volume&gt;16&lt;/volume&gt;&lt;number&gt;4&lt;/number&gt;&lt;dates&gt;&lt;year&gt;2010&lt;/year&gt;&lt;/dates&gt;&lt;work-type&gt;Article&lt;/work-type&gt;&lt;urls&gt;&lt;related-urls&gt;&lt;url&gt;https://www.scopus.com/inward/record.uri?eid=2-s2.0-78449267022&amp;amp;doi=10.1016%2fj.pursup.2010.06.001&amp;amp;partnerID=40&amp;amp;md5=1fd5b205490bca1bb3323ca0a07a258f&lt;/url&gt;&lt;/related-urls&gt;&lt;/urls&gt;&lt;electronic-resource-num&gt;10.1016/j.pursup.2010.06.001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analysed the slow uptake of construction partnering in France, concluding organizational factors like purchasing strategy and culture impact procurement more than project nature.</w:t>
            </w:r>
          </w:p>
          <w:p w14:paraId="1E9605B2" w14:textId="77777777" w:rsidR="00C010F8" w:rsidRPr="007F23AD" w:rsidRDefault="00C010F8" w:rsidP="005B4EA9">
            <w:pPr>
              <w:rPr>
                <w:rFonts w:ascii="Calibri" w:eastAsia="DengXian" w:hAnsi="Calibri" w:cs="Calibri"/>
                <w:color w:val="000000" w:themeColor="text1"/>
                <w:sz w:val="22"/>
                <w:szCs w:val="22"/>
                <w:lang w:val="en-GB"/>
              </w:rPr>
            </w:pPr>
          </w:p>
          <w:p w14:paraId="7C652F90"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Gadde and Dubois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ExcludeAuth="1"&gt;&lt;Author&gt;Gadde&lt;/Author&gt;&lt;Year&gt;2010&lt;/Year&gt;&lt;RecNum&gt;0&lt;/RecNum&gt;&lt;IDText&gt;Partnering in the construction industry—Problems and opportunities&lt;/IDText&gt;&lt;DisplayText&gt;(2010)&lt;/DisplayText&gt;&lt;record&gt;&lt;rec-number&gt;22&lt;/rec-number&gt;&lt;foreign-keys&gt;&lt;key app="EN" db-id="pzdwvt0zxepzzqe2zdmp5zajvd0tv5sdtt2w" timestamp="1701253332"&gt;22&lt;/key&gt;&lt;/foreign-keys&gt;&lt;ref-type name="Journal Article"&gt;17&lt;/ref-type&gt;&lt;contributors&gt;&lt;authors&gt;&lt;author&gt;Gadde, Lars-Erik&lt;/author&gt;&lt;author&gt;Dubois, Anna&lt;/author&gt;&lt;/authors&gt;&lt;/contributors&gt;&lt;titles&gt;&lt;title&gt;Partnering in the construction industry—Problems and opportunities&lt;/title&gt;&lt;secondary-title&gt;Journal of Purchasing and Supply Management&lt;/secondary-title&gt;&lt;/titles&gt;&lt;periodical&gt;&lt;full-title&gt;Journal of Purchasing and Supply Management&lt;/full-title&gt;&lt;/periodical&gt;&lt;pages&gt;254-263&lt;/pages&gt;&lt;volume&gt;16&lt;/volume&gt;&lt;number&gt;4&lt;/number&gt;&lt;section&gt;254&lt;/section&gt;&lt;dates&gt;&lt;year&gt;2010&lt;/year&gt;&lt;/dates&gt;&lt;isbn&gt;14784092&lt;/isbn&gt;&lt;work-type&gt;Article&lt;/work-type&gt;&lt;urls&gt;&lt;related-urls&gt;&lt;url&gt;https://www.scopus.com/inward/record.uri?eid=2-s2.0-78549240531&amp;amp;doi=10.1016%2fj.pursup.2010.09.002&amp;amp;partnerID=40&amp;amp;md5=ac4e4145c6af5df029a8963f802ab1e6&lt;/url&gt;&lt;/related-urls&gt;&lt;/urls&gt;&lt;electronic-resource-num&gt;10.1016/j.pursup.2010.09.002&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explored the challenge of extending partnering benefits beyond individual projects, proposing a differentiated approach due to industry norms.</w:t>
            </w:r>
          </w:p>
          <w:p w14:paraId="50DEA677" w14:textId="77777777" w:rsidR="00C010F8" w:rsidRPr="007F23AD" w:rsidRDefault="00C010F8" w:rsidP="005B4EA9">
            <w:pPr>
              <w:rPr>
                <w:rFonts w:ascii="Calibri" w:eastAsia="DengXian" w:hAnsi="Calibri" w:cs="Calibri"/>
                <w:color w:val="000000" w:themeColor="text1"/>
                <w:sz w:val="22"/>
                <w:szCs w:val="22"/>
                <w:lang w:val="en-GB"/>
              </w:rPr>
            </w:pPr>
          </w:p>
          <w:p w14:paraId="08A50684"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Laan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ExcludeAuth="1"&gt;&lt;Author&gt;Laan&lt;/Author&gt;&lt;Year&gt;2011&lt;/Year&gt;&lt;RecNum&gt;0&lt;/RecNum&gt;&lt;IDText&gt;Building trust in construction partnering projects: An exploratory case-study&lt;/IDText&gt;&lt;DisplayText&gt;(2011)&lt;/DisplayText&gt;&lt;record&gt;&lt;rec-number&gt;53&lt;/rec-number&gt;&lt;foreign-keys&gt;&lt;key app="EN" db-id="pzdwvt0zxepzzqe2zdmp5zajvd0tv5sdtt2w" timestamp="1701253332"&gt;53&lt;/key&gt;&lt;/foreign-keys&gt;&lt;ref-type name="Journal Article"&gt;17&lt;/ref-type&gt;&lt;contributors&gt;&lt;authors&gt;&lt;author&gt;Laan, Albertus&lt;/author&gt;&lt;author&gt;Noorderhaven, Niels&lt;/author&gt;&lt;author&gt;Voordijk, Hans&lt;/author&gt;&lt;author&gt;Dewulf, Geert&lt;/author&gt;&lt;/authors&gt;&lt;/contributors&gt;&lt;titles&gt;&lt;title&gt;Building trust in construction partnering projects: An exploratory case-study&lt;/title&gt;&lt;secondary-title&gt;Journal of Purchasing and Supply Management&lt;/secondary-title&gt;&lt;/titles&gt;&lt;periodical&gt;&lt;full-title&gt;Journal of Purchasing and Supply Management&lt;/full-title&gt;&lt;/periodical&gt;&lt;pages&gt;98-108&lt;/pages&gt;&lt;volume&gt;17&lt;/volume&gt;&lt;number&gt;2&lt;/number&gt;&lt;section&gt;98&lt;/section&gt;&lt;dates&gt;&lt;year&gt;2011&lt;/year&gt;&lt;/dates&gt;&lt;isbn&gt;14784092&lt;/isbn&gt;&lt;work-type&gt;Article&lt;/work-type&gt;&lt;urls&gt;&lt;related-urls&gt;&lt;url&gt;https://www.scopus.com/inward/record.uri?eid=2-s2.0-79956285410&amp;amp;doi=10.1016%2fj.pursup.2010.11.001&amp;amp;partnerID=40&amp;amp;md5=114573e8491afdb97733d9072537e72d&lt;/url&gt;&lt;/related-urls&gt;&lt;/urls&gt;&lt;electronic-resource-num&gt;10.1016/j.pursup.2010.11.001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delved into the dynamics of trust in partnering projects between clients and contractors, examining the connection between trust, risk, control, and performance, and illustrating with a case from a railroad construction project in the Netherlands, emphasizing the importance of deliberate actions to foster trust, especially in industries with historically adversarial relationships.</w:t>
            </w:r>
          </w:p>
          <w:p w14:paraId="3DF79CEB" w14:textId="77777777" w:rsidR="00C010F8" w:rsidRPr="007F23AD" w:rsidRDefault="00C010F8" w:rsidP="005B4EA9">
            <w:pPr>
              <w:rPr>
                <w:rFonts w:ascii="Calibri" w:eastAsia="DengXian" w:hAnsi="Calibri" w:cs="Calibri"/>
                <w:color w:val="000000" w:themeColor="text1"/>
                <w:sz w:val="22"/>
                <w:szCs w:val="22"/>
                <w:lang w:val="en-GB"/>
              </w:rPr>
            </w:pPr>
          </w:p>
          <w:p w14:paraId="5F4BA83B"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Friday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ExcludeAuth="1"&gt;&lt;Author&gt;Friday&lt;/Author&gt;&lt;Year&gt;2018&lt;/Year&gt;&lt;RecNum&gt;0&lt;/RecNum&gt;&lt;IDText&gt;Collaborative risk management: a systematic literature review&lt;/IDText&gt;&lt;DisplayText&gt;(2018)&lt;/DisplayText&gt;&lt;record&gt;&lt;rec-number&gt;54&lt;/rec-number&gt;&lt;foreign-keys&gt;&lt;key app="EN" db-id="pzdwvt0zxepzzqe2zdmp5zajvd0tv5sdtt2w" timestamp="1701253332"&gt;54&lt;/key&gt;&lt;/foreign-keys&gt;&lt;ref-type name="Journal Article"&gt;17&lt;/ref-type&gt;&lt;contributors&gt;&lt;authors&gt;&lt;author&gt;Friday, Derek&lt;/author&gt;&lt;author&gt;Ryan, Suzanne&lt;/author&gt;&lt;author&gt;Sridharan, Ramaswami&lt;/author&gt;&lt;author&gt;Collins, David&lt;/author&gt;&lt;/authors&gt;&lt;/contributors&gt;&lt;titles&gt;&lt;title&gt;Collaborative risk management: a systematic literature review&lt;/title&gt;&lt;secondary-title&gt;International Journal of Physical Distribution &amp;amp; Logistics Management&lt;/secondary-title&gt;&lt;/titles&gt;&lt;periodical&gt;&lt;full-title&gt;International Journal of Physical Distribution &amp;amp; Logistics Management&lt;/full-title&gt;&lt;/periodical&gt;&lt;pages&gt;231-253&lt;/pages&gt;&lt;volume&gt;48&lt;/volume&gt;&lt;number&gt;3&lt;/number&gt;&lt;section&gt;231&lt;/section&gt;&lt;dates&gt;&lt;year&gt;2018&lt;/year&gt;&lt;/dates&gt;&lt;isbn&gt;0960-0035&lt;/isbn&gt;&lt;work-type&gt;Review&lt;/work-type&gt;&lt;urls&gt;&lt;related-urls&gt;&lt;url&gt;https://www.scopus.com/inward/record.uri?eid=2-s2.0-85040250093&amp;amp;doi=10.1108%2fIJPDLM-01-2017-0035&amp;amp;partnerID=40&amp;amp;md5=d30fe3716bcaf1433f07883b9fc42359&lt;/url&gt;&lt;/related-urls&gt;&lt;/urls&gt;&lt;electronic-resource-num&gt;10.1108/ijpdlm-01-2017-0035&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(2018)</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reviewed collaborative risk management literature, introducing a precise definition and suggesting a comprehensive approach for integrating collaboration into supply chain risk management.</w:t>
            </w:r>
          </w:p>
          <w:p w14:paraId="7481B67F" w14:textId="77777777" w:rsidR="00C010F8" w:rsidRPr="007F23AD" w:rsidRDefault="00C010F8" w:rsidP="005B4EA9">
            <w:pPr>
              <w:rPr>
                <w:rFonts w:ascii="Calibri" w:eastAsia="DengXian" w:hAnsi="Calibri" w:cs="Calibri"/>
                <w:color w:val="000000" w:themeColor="text1"/>
                <w:sz w:val="22"/>
                <w:szCs w:val="22"/>
                <w:lang w:val="en-GB"/>
              </w:rPr>
            </w:pPr>
          </w:p>
          <w:p w14:paraId="2F4328E3" w14:textId="77777777" w:rsidR="00C010F8" w:rsidRPr="007F23AD" w:rsidRDefault="00C010F8" w:rsidP="005B4EA9">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lastRenderedPageBreak/>
              <w:t>Elsayegh</w:t>
            </w:r>
            <w:proofErr w:type="spellEnd"/>
            <w:r w:rsidRPr="007F23AD">
              <w:rPr>
                <w:rFonts w:ascii="Calibri" w:eastAsia="DengXian" w:hAnsi="Calibri" w:cs="Calibri"/>
                <w:color w:val="000000" w:themeColor="text1"/>
                <w:sz w:val="22"/>
                <w:szCs w:val="22"/>
                <w:lang w:val="en-GB"/>
              </w:rPr>
              <w:t xml:space="preserve"> and El-</w:t>
            </w:r>
            <w:proofErr w:type="spellStart"/>
            <w:r w:rsidRPr="007F23AD">
              <w:rPr>
                <w:rFonts w:ascii="Calibri" w:eastAsia="DengXian" w:hAnsi="Calibri" w:cs="Calibri"/>
                <w:color w:val="000000" w:themeColor="text1"/>
                <w:sz w:val="22"/>
                <w:szCs w:val="22"/>
                <w:lang w:val="en-GB"/>
              </w:rPr>
              <w:t>adaway</w:t>
            </w:r>
            <w:proofErr w:type="spellEnd"/>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ExcludeAuth="1"&gt;&lt;Author&gt;Elsayegh&lt;/Author&gt;&lt;Year&gt;2021&lt;/Year&gt;&lt;RecNum&gt;0&lt;/RecNum&gt;&lt;IDText&gt;Holistic Study and Analysis of Factors Affecting Collaborative Planning in Construction&lt;/IDText&gt;&lt;DisplayText&gt;(2021)&lt;/DisplayText&gt;&lt;record&gt;&lt;rec-number&gt;55&lt;/rec-number&gt;&lt;foreign-keys&gt;&lt;key app="EN" db-id="pzdwvt0zxepzzqe2zdmp5zajvd0tv5sdtt2w" timestamp="1701253332"&gt;55&lt;/key&gt;&lt;/foreign-keys&gt;&lt;ref-type name="Journal Article"&gt;17&lt;/ref-type&gt;&lt;contributors&gt;&lt;authors&gt;&lt;author&gt;Elsayegh, Amr&lt;/author&gt;&lt;author&gt;El-adaway, Islam H.&lt;/author&gt;&lt;/authors&gt;&lt;/contributors&gt;&lt;titles&gt;&lt;title&gt;Holistic Study and Analysis of Factors Affecting Collaborative Planning in Construction&lt;/title&gt;&lt;secondary-title&gt;Journal of Construction Engineering and Management&lt;/secondary-title&gt;&lt;/titles&gt;&lt;periodical&gt;&lt;full-title&gt;Journal of Construction Engineering and Management&lt;/full-title&gt;&lt;/periodical&gt;&lt;volume&gt;147&lt;/volume&gt;&lt;number&gt;4&lt;/number&gt;&lt;dates&gt;&lt;year&gt;2021&lt;/year&gt;&lt;/dates&gt;&lt;isbn&gt;0733-9364&amp;#xD;1943-7862&lt;/isbn&gt;&lt;work-type&gt;Article&lt;/work-type&gt;&lt;urls&gt;&lt;related-urls&gt;&lt;url&gt;https://www.scopus.com/inward/record.uri?eid=2-s2.0-85100878674&amp;amp;doi=10.1061%2f%28ASCE%29CO.1943-7862.0002031&amp;amp;partnerID=40&amp;amp;md5=80185dc4b33cb759a9b93206578cfc5b&lt;/url&gt;&lt;url&gt;https://ascelibrary.org/doi/10.1061/%28ASCE%29CO.1943-7862.0002031&lt;/url&gt;&lt;/related-urls&gt;&lt;/urls&gt;&lt;custom7&gt;04021023&lt;/custom7&gt;&lt;electronic-resource-num&gt;10.1061/(asce)co.1943-7862.0002031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w:t>
            </w:r>
            <w:proofErr w:type="spellStart"/>
            <w:r w:rsidRPr="007F23AD">
              <w:rPr>
                <w:rFonts w:ascii="Calibri" w:eastAsia="DengXian" w:hAnsi="Calibri" w:cs="Calibri"/>
                <w:color w:val="000000" w:themeColor="text1"/>
                <w:sz w:val="22"/>
                <w:szCs w:val="22"/>
                <w:lang w:val="en-GB"/>
              </w:rPr>
              <w:t>analyzed</w:t>
            </w:r>
            <w:proofErr w:type="spellEnd"/>
            <w:r w:rsidRPr="007F23AD">
              <w:rPr>
                <w:rFonts w:ascii="Calibri" w:eastAsia="DengXian" w:hAnsi="Calibri" w:cs="Calibri"/>
                <w:color w:val="000000" w:themeColor="text1"/>
                <w:sz w:val="22"/>
                <w:szCs w:val="22"/>
                <w:lang w:val="en-GB"/>
              </w:rPr>
              <w:t xml:space="preserve"> collaborative planning in construction, identifying 50 key elements from three decades of literature and stressing the need for holistic models and realistic simulations.</w:t>
            </w:r>
          </w:p>
          <w:p w14:paraId="3E8464F5" w14:textId="77777777" w:rsidR="00C010F8" w:rsidRPr="007F23AD" w:rsidRDefault="00C010F8" w:rsidP="005B4EA9">
            <w:pPr>
              <w:rPr>
                <w:rFonts w:ascii="Calibri" w:eastAsia="DengXian" w:hAnsi="Calibri" w:cs="Calibri"/>
                <w:color w:val="000000" w:themeColor="text1"/>
                <w:sz w:val="22"/>
                <w:szCs w:val="22"/>
                <w:lang w:val="en-GB"/>
              </w:rPr>
            </w:pPr>
          </w:p>
          <w:p w14:paraId="7821D255"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Song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ExcludeAuth="1"&gt;&lt;Author&gt;Song&lt;/Author&gt;&lt;Year&gt;2021&lt;/Year&gt;&lt;RecNum&gt;0&lt;/RecNum&gt;&lt;IDText&gt;Incentives and Gaming in Collaborative Projects Under Risk-Sharing Partnerships&lt;/IDText&gt;&lt;DisplayText&gt;(2021)&lt;/DisplayText&gt;&lt;record&gt;&lt;rec-number&gt;56&lt;/rec-number&gt;&lt;foreign-keys&gt;&lt;key app="EN" db-id="pzdwvt0zxepzzqe2zdmp5zajvd0tv5sdtt2w" timestamp="1701253332"&gt;56&lt;/key&gt;&lt;/foreign-keys&gt;&lt;ref-type name="Journal Article"&gt;17&lt;/ref-type&gt;&lt;contributors&gt;&lt;authors&gt;&lt;author&gt;Song, Ju Myung&lt;/author&gt;&lt;author&gt;Zhao, Yao&lt;/author&gt;&lt;author&gt;Xu, Xin&lt;/author&gt;&lt;/authors&gt;&lt;/contributors&gt;&lt;titles&gt;&lt;title&gt;Incentives and Gaming in Collaborative Projects Under Risk-Sharing Partnerships&lt;/title&gt;&lt;secondary-title&gt;Manufacturing &amp;amp; Service Operations Management&lt;/secondary-title&gt;&lt;/titles&gt;&lt;periodical&gt;&lt;full-title&gt;Manufacturing &amp;amp; Service Operations Management&lt;/full-title&gt;&lt;/periodical&gt;&lt;pages&gt;453-470&lt;/pages&gt;&lt;volume&gt;23&lt;/volume&gt;&lt;number&gt;2&lt;/number&gt;&lt;section&gt;453&lt;/section&gt;&lt;dates&gt;&lt;year&gt;2021&lt;/year&gt;&lt;/dates&gt;&lt;isbn&gt;1523-4614&amp;#xD;1526-5498&lt;/isbn&gt;&lt;work-type&gt;Article&lt;/work-type&gt;&lt;urls&gt;&lt;related-urls&gt;&lt;url&gt;https://www.scopus.com/inward/record.uri?eid=2-s2.0-85104265765&amp;amp;doi=10.1287%2fMSOM.2019.0840&amp;amp;partnerID=40&amp;amp;md5=4ac206961b72d1cd316f1a21a36a1100&lt;/url&gt;&lt;/related-urls&gt;&lt;/urls&gt;&lt;electronic-resource-num&gt;10.1287/msom.2019.0840&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investigated the potential drawbacks of risk-sharing partnerships in project management, revealing that such collaborations might lead to delays and cost overruns, with insights on information asymmetry's role.</w:t>
            </w:r>
          </w:p>
          <w:p w14:paraId="448F0416" w14:textId="77777777" w:rsidR="00C010F8" w:rsidRPr="007F23AD" w:rsidRDefault="00C010F8" w:rsidP="005B4EA9">
            <w:pPr>
              <w:rPr>
                <w:rFonts w:ascii="Calibri" w:eastAsia="DengXian" w:hAnsi="Calibri" w:cs="Calibri"/>
                <w:color w:val="000000" w:themeColor="text1"/>
                <w:sz w:val="22"/>
                <w:szCs w:val="22"/>
                <w:lang w:val="en-GB"/>
              </w:rPr>
            </w:pPr>
          </w:p>
        </w:tc>
      </w:tr>
      <w:tr w:rsidR="00C010F8" w:rsidRPr="007F23AD" w14:paraId="0E5BE7A5" w14:textId="77777777" w:rsidTr="005B4EA9">
        <w:trPr>
          <w:trHeight w:val="320"/>
          <w:jc w:val="center"/>
        </w:trPr>
        <w:tc>
          <w:tcPr>
            <w:tcW w:w="2547" w:type="dxa"/>
            <w:shd w:val="clear" w:color="auto" w:fill="auto"/>
            <w:noWrap/>
            <w:vAlign w:val="center"/>
          </w:tcPr>
          <w:p w14:paraId="3908F19B" w14:textId="77777777" w:rsidR="00C010F8" w:rsidRPr="007F23AD" w:rsidRDefault="00C010F8" w:rsidP="005B4EA9">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lastRenderedPageBreak/>
              <w:t>2. Contractual risk</w:t>
            </w:r>
          </w:p>
        </w:tc>
        <w:tc>
          <w:tcPr>
            <w:tcW w:w="11198" w:type="dxa"/>
            <w:shd w:val="clear" w:color="auto" w:fill="auto"/>
            <w:noWrap/>
            <w:vAlign w:val="center"/>
          </w:tcPr>
          <w:p w14:paraId="2729A8CB"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Ling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ExcludeAuth="1"&gt;&lt;Author&gt;Ling&lt;/Author&gt;&lt;Year&gt;2014&lt;/Year&gt;&lt;RecNum&gt;0&lt;/RecNum&gt;&lt;IDText&gt;Drivers and barriers to adopting relational contracting practices in public projects: Comparative study of Beijing and Sydney&lt;/IDText&gt;&lt;DisplayText&gt;(2014)&lt;/DisplayText&gt;&lt;record&gt;&lt;rec-number&gt;57&lt;/rec-number&gt;&lt;foreign-keys&gt;&lt;key app="EN" db-id="pzdwvt0zxepzzqe2zdmp5zajvd0tv5sdtt2w" timestamp="1701253332"&gt;57&lt;/key&gt;&lt;/foreign-keys&gt;&lt;ref-type name="Journal Article"&gt;17&lt;/ref-type&gt;&lt;contributors&gt;&lt;authors&gt;&lt;author&gt;Ling, Florence Yean Yng&lt;/author&gt;&lt;author&gt;Ong, Shi Ying&lt;/author&gt;&lt;author&gt;Ke, Yongjian&lt;/author&gt;&lt;author&gt;Wang, Shouqing&lt;/author&gt;&lt;author&gt;Zou, Patrick&lt;/author&gt;&lt;/authors&gt;&lt;/contributors&gt;&lt;titles&gt;&lt;title&gt;Drivers and barriers to adopting relational contracting practices in public projects: Comparative study of Beijing and Sydney&lt;/title&gt;&lt;secondary-title&gt;International Journal of Project Management&lt;/secondary-title&gt;&lt;/titles&gt;&lt;periodical&gt;&lt;full-title&gt;International Journal of Project Management&lt;/full-title&gt;&lt;/periodical&gt;&lt;pages&gt;275-285&lt;/pages&gt;&lt;volume&gt;32&lt;/volume&gt;&lt;number&gt;2&lt;/number&gt;&lt;section&gt;275&lt;/section&gt;&lt;dates&gt;&lt;year&gt;2014&lt;/year&gt;&lt;/dates&gt;&lt;isbn&gt;02637863&lt;/isbn&gt;&lt;work-type&gt;Article&lt;/work-type&gt;&lt;urls&gt;&lt;related-urls&gt;&lt;url&gt;https://www.scopus.com/inward/record.uri?eid=2-s2.0-84890236950&amp;amp;doi=10.1016%2fj.ijproman.2013.04.008&amp;amp;partnerID=40&amp;amp;md5=909db4fea7ddfb789fc518297c001f0e&lt;/url&gt;&lt;/related-urls&gt;&lt;/urls&gt;&lt;electronic-resource-num&gt;10.1016/j.ijproman.2013.04.008&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(2014)</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compared relational contracting in Beijing and Sydney's public construction projects, finding both cities value relationship quality but face different barriers: training and industry culture in Beijing, and public sector accountability in Sydney.</w:t>
            </w:r>
          </w:p>
          <w:p w14:paraId="043D334A" w14:textId="77777777" w:rsidR="00C010F8" w:rsidRPr="007F23AD" w:rsidRDefault="00C010F8" w:rsidP="005B4EA9">
            <w:pPr>
              <w:rPr>
                <w:rFonts w:ascii="Calibri" w:eastAsia="DengXian" w:hAnsi="Calibri" w:cs="Calibri"/>
                <w:color w:val="000000" w:themeColor="text1"/>
                <w:sz w:val="22"/>
                <w:szCs w:val="22"/>
                <w:lang w:val="en-GB"/>
              </w:rPr>
            </w:pPr>
          </w:p>
          <w:p w14:paraId="3AE5528F"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Manu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ExcludeAuth="1"&gt;&lt;Author&gt;Manu&lt;/Author&gt;&lt;Year&gt;2015&lt;/Year&gt;&lt;RecNum&gt;0&lt;/RecNum&gt;&lt;IDText&gt;Trust influencing factors in main contractor and subcontractor relationships during projects&lt;/IDText&gt;&lt;DisplayText&gt;(2015)&lt;/DisplayText&gt;&lt;record&gt;&lt;rec-number&gt;58&lt;/rec-number&gt;&lt;foreign-keys&gt;&lt;key app="EN" db-id="pzdwvt0zxepzzqe2zdmp5zajvd0tv5sdtt2w" timestamp="1701253332"&gt;58&lt;/key&gt;&lt;/foreign-keys&gt;&lt;ref-type name="Journal Article"&gt;17&lt;/ref-type&gt;&lt;contributors&gt;&lt;authors&gt;&lt;author&gt;Manu, Emmanuel&lt;/author&gt;&lt;author&gt;Ankrah, Nii&lt;/author&gt;&lt;author&gt;Chinyio, Ezekiel&lt;/author&gt;&lt;author&gt;Proverbs, David&lt;/author&gt;&lt;/authors&gt;&lt;/contributors&gt;&lt;titles&gt;&lt;title&gt;Trust influencing factors in main contractor and subcontractor relationships during projects&lt;/title&gt;&lt;secondary-title&gt;International Journal of Project Management&lt;/secondary-title&gt;&lt;/titles&gt;&lt;periodical&gt;&lt;full-title&gt;International Journal of Project Management&lt;/full-title&gt;&lt;/periodical&gt;&lt;pages&gt;1495-1508&lt;/pages&gt;&lt;volume&gt;33&lt;/volume&gt;&lt;number&gt;7&lt;/number&gt;&lt;section&gt;1495&lt;/section&gt;&lt;dates&gt;&lt;year&gt;2015&lt;/year&gt;&lt;/dates&gt;&lt;isbn&gt;02637863&lt;/isbn&gt;&lt;work-type&gt;Article&lt;/work-type&gt;&lt;urls&gt;&lt;related-urls&gt;&lt;url&gt;https://www.scopus.com/inward/record.uri?eid=2-s2.0-84940437942&amp;amp;doi=10.1016%2fj.ijproman.2015.06.006&amp;amp;partnerID=40&amp;amp;md5=96207f44dc3540763d8a134730977384&lt;/url&gt;&lt;/related-urls&gt;&lt;/urls&gt;&lt;electronic-resource-num&gt;10.1016/j.ijproman.2015.06.006&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(2015)</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explored trust factors between contractors and subcontractors, identifying change management, economic climate, payment practices, and job performance as key, and highlighted the importance of actual trustworthiness.</w:t>
            </w:r>
          </w:p>
          <w:p w14:paraId="0A9D0607" w14:textId="77777777" w:rsidR="00C010F8" w:rsidRPr="007F23AD" w:rsidRDefault="00C010F8" w:rsidP="005B4EA9">
            <w:pPr>
              <w:rPr>
                <w:rFonts w:ascii="Calibri" w:eastAsia="DengXian" w:hAnsi="Calibri" w:cs="Calibri"/>
                <w:color w:val="000000" w:themeColor="text1"/>
                <w:sz w:val="22"/>
                <w:szCs w:val="22"/>
                <w:lang w:val="en-GB"/>
              </w:rPr>
            </w:pPr>
          </w:p>
          <w:p w14:paraId="44FCF85C"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Rahmani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ExcludeAuth="1"&gt;&lt;Author&gt;Rahmani&lt;/Author&gt;&lt;Year&gt;2016&lt;/Year&gt;&lt;RecNum&gt;0&lt;/RecNum&gt;&lt;IDText&gt;Analysing the drivers for early contractor involvement adoption by construction clients&lt;/IDText&gt;&lt;DisplayText&gt;(2016)&lt;/DisplayText&gt;&lt;record&gt;&lt;rec-number&gt;59&lt;/rec-number&gt;&lt;foreign-keys&gt;&lt;key app="EN" db-id="pzdwvt0zxepzzqe2zdmp5zajvd0tv5sdtt2w" timestamp="1701253332"&gt;59&lt;/key&gt;&lt;/foreign-keys&gt;&lt;ref-type name="Journal Article"&gt;17&lt;/ref-type&gt;&lt;contributors&gt;&lt;authors&gt;&lt;author&gt;Rahmani, Farshid&lt;/author&gt;&lt;author&gt;Khalfan, Malik M. A.&lt;/author&gt;&lt;author&gt;Maqsood, Tayyab&lt;/author&gt;&lt;/authors&gt;&lt;/contributors&gt;&lt;titles&gt;&lt;title&gt;Analysing the drivers for early contractor involvement adoption by construction clients&lt;/title&gt;&lt;secondary-title&gt;International Journal of Procurement Management&lt;/secondary-title&gt;&lt;/titles&gt;&lt;periodical&gt;&lt;full-title&gt;International Journal of Procurement Management&lt;/full-title&gt;&lt;/periodical&gt;&lt;pages&gt;373-397&lt;/pages&gt;&lt;volume&gt;9&lt;/volume&gt;&lt;number&gt;4&lt;/number&gt;&lt;section&gt;373&lt;/section&gt;&lt;dates&gt;&lt;year&gt;2016&lt;/year&gt;&lt;pub-dates&gt;&lt;date&gt;2016/01/01&lt;/date&gt;&lt;/pub-dates&gt;&lt;/dates&gt;&lt;publisher&gt;Inderscience Publishers&lt;/publisher&gt;&lt;isbn&gt;1753-8432&amp;#xD;1753-8440&lt;/isbn&gt;&lt;urls&gt;&lt;related-urls&gt;&lt;url&gt;https://www.inderscienceonline.com/doi/abs/10.1504/IJPM.2016.077701&lt;/url&gt;&lt;/related-urls&gt;&lt;/urls&gt;&lt;electronic-resource-num&gt;10.1504/ijpm.2016.077701&lt;/electronic-resource-num&gt;&lt;access-date&gt;2022/06/15&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(2016)</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focused on the Early Contractor Involvement system in construction, aiming to explore its appealing characteristics for clients.</w:t>
            </w:r>
          </w:p>
          <w:p w14:paraId="37D0B5A4" w14:textId="77777777" w:rsidR="00C010F8" w:rsidRPr="007F23AD" w:rsidRDefault="00C010F8" w:rsidP="005B4EA9">
            <w:pPr>
              <w:rPr>
                <w:rFonts w:ascii="Calibri" w:eastAsia="DengXian" w:hAnsi="Calibri" w:cs="Calibri"/>
                <w:color w:val="000000" w:themeColor="text1"/>
                <w:sz w:val="22"/>
                <w:szCs w:val="22"/>
                <w:lang w:val="en-GB"/>
              </w:rPr>
            </w:pPr>
          </w:p>
          <w:p w14:paraId="5CD534B6" w14:textId="77777777" w:rsidR="00C010F8" w:rsidRPr="007F23AD" w:rsidRDefault="00C010F8" w:rsidP="005B4EA9">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Oyegoke</w:t>
            </w:r>
            <w:proofErr w:type="spellEnd"/>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ExcludeAuth="1"&gt;&lt;Author&gt;Oyegoke&lt;/Author&gt;&lt;Year&gt;2016&lt;/Year&gt;&lt;RecNum&gt;0&lt;/RecNum&gt;&lt;IDText&gt;The significance of small contracts in construction business environment: a review of case laws&lt;/IDText&gt;&lt;DisplayText&gt;(2016)&lt;/DisplayText&gt;&lt;record&gt;&lt;rec-number&gt;60&lt;/rec-number&gt;&lt;foreign-keys&gt;&lt;key app="EN" db-id="pzdwvt0zxepzzqe2zdmp5zajvd0tv5sdtt2w" timestamp="1701253332"&gt;60&lt;/key&gt;&lt;/foreign-keys&gt;&lt;ref-type name="Journal Article"&gt;17&lt;/ref-type&gt;&lt;contributors&gt;&lt;authors&gt;&lt;author&gt;Oyegoke, Adekunle Sabitu&lt;/author&gt;&lt;/authors&gt;&lt;/contributors&gt;&lt;titles&gt;&lt;title&gt;The significance of small contracts in construction business environment: a review of case laws&lt;/title&gt;&lt;secondary-title&gt;International Journal of Procurement Management&lt;/secondary-title&gt;&lt;/titles&gt;&lt;periodical&gt;&lt;full-title&gt;International Journal of Procurement Management&lt;/full-title&gt;&lt;/periodical&gt;&lt;pages&gt;310-327&lt;/pages&gt;&lt;volume&gt;9&lt;/volume&gt;&lt;number&gt;3&lt;/number&gt;&lt;section&gt;310&lt;/section&gt;&lt;dates&gt;&lt;year&gt;2016&lt;/year&gt;&lt;pub-dates&gt;&lt;date&gt;2016/01/01&lt;/date&gt;&lt;/pub-dates&gt;&lt;/dates&gt;&lt;publisher&gt;Inderscience Publishers&lt;/publisher&gt;&lt;isbn&gt;1753-8432&amp;#xD;1753-8440&lt;/isbn&gt;&lt;urls&gt;&lt;related-urls&gt;&lt;url&gt;https://www.inderscienceonline.com/doi/abs/10.1504/IJPM.2016.076307&lt;/url&gt;&lt;/related-urls&gt;&lt;/urls&gt;&lt;electronic-resource-num&gt;10.1504/ijpm.2016.076307&lt;/electronic-resource-num&gt;&lt;access-date&gt;2022/06/15&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(2016)</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studied the role of small contracts in construction, emphasizing transparency and legal rights understanding during the tendering stage.</w:t>
            </w:r>
          </w:p>
          <w:p w14:paraId="7A5405AD" w14:textId="77777777" w:rsidR="00C010F8" w:rsidRPr="007F23AD" w:rsidRDefault="00C010F8" w:rsidP="005B4EA9">
            <w:pPr>
              <w:rPr>
                <w:rFonts w:ascii="Calibri" w:eastAsia="DengXian" w:hAnsi="Calibri" w:cs="Calibri"/>
                <w:color w:val="000000" w:themeColor="text1"/>
                <w:sz w:val="22"/>
                <w:szCs w:val="22"/>
                <w:lang w:val="en-GB"/>
              </w:rPr>
            </w:pPr>
          </w:p>
          <w:p w14:paraId="046ABCB5"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Farahani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ExcludeAuth="1"&gt;&lt;Author&gt;Farahani&lt;/Author&gt;&lt;Year&gt;2021&lt;/Year&gt;&lt;RecNum&gt;0&lt;/RecNum&gt;&lt;IDText&gt;Better to Bend than to Break: Sharing Supply Risk Using the Supply-Flexibility Contract&lt;/IDText&gt;&lt;DisplayText&gt;(2021)&lt;/DisplayText&gt;&lt;record&gt;&lt;rec-number&gt;61&lt;/rec-number&gt;&lt;foreign-keys&gt;&lt;key app="EN" db-id="pzdwvt0zxepzzqe2zdmp5zajvd0tv5sdtt2w" timestamp="1701253332"&gt;61&lt;/key&gt;&lt;/foreign-keys&gt;&lt;ref-type name="Journal Article"&gt;17&lt;/ref-type&gt;&lt;contributors&gt;&lt;authors&gt;&lt;author&gt;Farahani, Mehdi H.&lt;/author&gt;&lt;author&gt;Dawande, Milind&lt;/author&gt;&lt;author&gt;Gurnani, Haresh&lt;/author&gt;&lt;author&gt;Janakiraman, Ganesh&lt;/author&gt;&lt;/authors&gt;&lt;/contributors&gt;&lt;titles&gt;&lt;title&gt;Better to Bend than to Break: Sharing Supply Risk Using the Supply-Flexibility Contract&lt;/title&gt;&lt;secondary-title&gt;Manufacturing &amp;amp; Service Operations Management&lt;/secondary-title&gt;&lt;/titles&gt;&lt;periodical&gt;&lt;full-title&gt;Manufacturing &amp;amp; Service Operations Management&lt;/full-title&gt;&lt;/periodical&gt;&lt;pages&gt;1257-1274&lt;/pages&gt;&lt;volume&gt;23&lt;/volume&gt;&lt;number&gt;5&lt;/number&gt;&lt;section&gt;1257&lt;/section&gt;&lt;dates&gt;&lt;year&gt;2021&lt;/year&gt;&lt;/dates&gt;&lt;isbn&gt;1523-4614&amp;#xD;1526-5498&lt;/isbn&gt;&lt;work-type&gt;Article&lt;/work-type&gt;&lt;urls&gt;&lt;related-urls&gt;&lt;url&gt;https://www.scopus.com/inward/record.uri?eid=2-s2.0-85116675056&amp;amp;doi=10.1287%2fmsom.2020.0886&amp;amp;partnerID=40&amp;amp;md5=9f16f96d522d1d015372a3a5c8de2217&lt;/url&gt;&lt;/related-urls&gt;&lt;/urls&gt;&lt;electronic-resource-num&gt;10.1287/msom.2020.0886&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found that supply-flexibility contracts enhance supply chain efficiency and profits, and integrating these with buyback contracts further coordinates risks.</w:t>
            </w:r>
          </w:p>
          <w:p w14:paraId="0DD60CCD" w14:textId="77777777" w:rsidR="00C010F8" w:rsidRPr="007F23AD" w:rsidRDefault="00C010F8" w:rsidP="005B4EA9">
            <w:pPr>
              <w:rPr>
                <w:rFonts w:ascii="Calibri" w:eastAsia="DengXian" w:hAnsi="Calibri" w:cs="Calibri"/>
                <w:color w:val="000000" w:themeColor="text1"/>
                <w:sz w:val="22"/>
                <w:szCs w:val="22"/>
                <w:lang w:val="en-GB"/>
              </w:rPr>
            </w:pPr>
          </w:p>
          <w:p w14:paraId="67B5CBEB"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AuthorYear="1"&gt;&lt;Author&gt;Salami&lt;/Author&gt;&lt;Year&gt;2021&lt;/Year&gt;&lt;RecNum&gt;921&lt;/RecNum&gt;&lt;DisplayText&gt;Salami et al. (2021)&lt;/DisplayText&gt;&lt;record&gt;&lt;rec-number&gt;921&lt;/rec-number&gt;&lt;foreign-keys&gt;&lt;key app="EN" db-id="vxw0ffesn9zzt0ewpdx5r5a3fpw92aep9re9" timestamp="1684851507" guid="692ad2cd-dfa8-4c1b-8823-d0e24ab6eb51"&gt;921&lt;/key&gt;&lt;/foreign-keys&gt;&lt;ref-type name="Journal Article"&gt;17&lt;/ref-type&gt;&lt;contributors&gt;&lt;authors&gt;&lt;author&gt;Salami, Babatunde A.&lt;/author&gt;&lt;author&gt;Ajayi, Saheed O.&lt;/author&gt;&lt;author&gt;Oyegoke, Adekunle S.&lt;/author&gt;&lt;/authors&gt;&lt;/contributors&gt;&lt;titles&gt;&lt;title&gt;Tackling the impacts of Covid-19 on construction projects: an exploration of contractual dispute avoidance measures adopted by construction firms&lt;/title&gt;&lt;secondary-title&gt;International Journal of Construction Management&lt;/secondary-title&gt;&lt;/titles&gt;&lt;periodical&gt;&lt;full-title&gt;International Journal of Construction Management&lt;/full-title&gt;&lt;/periodical&gt;&lt;pages&gt;1196-1204&lt;/pages&gt;&lt;volume&gt;23&lt;/volume&gt;&lt;number&gt;7&lt;/number&gt;&lt;section&gt;1196&lt;/section&gt;&lt;dates&gt;&lt;year&gt;2021&lt;/year&gt;&lt;/dates&gt;&lt;isbn&gt;1562-3599&amp;#xD;2331-2327&lt;/isbn&gt;&lt;work-type&gt;Article&lt;/work-type&gt;&lt;urls&gt;&lt;related-urls&gt;&lt;url&gt;https://www.scopus.com/inward/record.uri?eid=2-s2.0-85112151848&amp;amp;doi=10.1080%2f15623599.2021.1963561&amp;amp;partnerID=40&amp;amp;md5=f6f329242f3f8fa81e29fdf063fb199e&lt;/url&gt;&lt;/related-urls&gt;&lt;/urls&gt;&lt;electronic-resource-num&gt;10.1080/15623599.2021.1963561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Salami et al. (2021)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examined strategies to prevent COVID-19 related litigation in construction, suggesting maintaining good relationships and addressing disputes early.</w:t>
            </w:r>
          </w:p>
          <w:p w14:paraId="445CE018" w14:textId="77777777" w:rsidR="00C010F8" w:rsidRPr="007F23AD" w:rsidRDefault="00C010F8" w:rsidP="005B4EA9">
            <w:pPr>
              <w:rPr>
                <w:rFonts w:ascii="Calibri" w:eastAsia="DengXian" w:hAnsi="Calibri" w:cs="Calibri"/>
                <w:color w:val="000000" w:themeColor="text1"/>
                <w:sz w:val="22"/>
                <w:szCs w:val="22"/>
                <w:lang w:val="en-GB"/>
              </w:rPr>
            </w:pPr>
          </w:p>
          <w:p w14:paraId="3A0DDDDF"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AuthorYear="1"&gt;&lt;Author&gt;Tang&lt;/Author&gt;&lt;Year&gt;2023&lt;/Year&gt;&lt;RecNum&gt;904&lt;/RecNum&gt;&lt;DisplayText&gt;Tang et al. (2023)&lt;/DisplayText&gt;&lt;record&gt;&lt;rec-number&gt;904&lt;/rec-number&gt;&lt;foreign-keys&gt;&lt;key app="EN" db-id="vxw0ffesn9zzt0ewpdx5r5a3fpw92aep9re9" timestamp="1684849455" guid="29f5917c-c32c-4162-9b7f-1159a44b8c3a"&gt;904&lt;/key&gt;&lt;/foreign-keys&gt;&lt;ref-type name="Journal Article"&gt;17&lt;/ref-type&gt;&lt;contributors&gt;&lt;authors&gt;&lt;author&gt;Tang, Yinqiu&lt;/author&gt;&lt;author&gt;Chen, Yongqiang&lt;/author&gt;&lt;author&gt;Arditi, David&lt;/author&gt;&lt;author&gt;Meng, Fansheng&lt;/author&gt;&lt;/authors&gt;&lt;/contributors&gt;&lt;titles&gt;&lt;title&gt;Effects of the General Contractor&amp;apos;s Governance Capabilities and Project Goals on the Organizational Arrangement of Subcontracting&lt;/title&gt;&lt;secondary-title&gt;IEEE Transactions on Engineering Management&lt;/secondary-title&gt;&lt;/titles&gt;&lt;periodical&gt;&lt;full-title&gt;IEEE Transactions on Engineering Management&lt;/full-title&gt;&lt;/periodical&gt;&lt;pages&gt;1724-1737&lt;/pages&gt;&lt;volume&gt;70&lt;/volume&gt;&lt;number&gt;5&lt;/number&gt;&lt;section&gt;1724&lt;/section&gt;&lt;dates&gt;&lt;year&gt;2023&lt;/year&gt;&lt;/dates&gt;&lt;isbn&gt;0018-9391&amp;#xD;1558-0040&lt;/isbn&gt;&lt;work-type&gt;Article&lt;/work-type&gt;&lt;urls&gt;&lt;related-urls&gt;&lt;url&gt;https://www.scopus.com/inward/record.uri?eid=2-s2.0-85103879926&amp;amp;doi=10.1109%2fTEM.2021.3064020&amp;amp;partnerID=40&amp;amp;md5=e8aaa861c37b873e86575aa0426e3582&lt;/url&gt;&lt;/related-urls&gt;&lt;/urls&gt;&lt;electronic-resource-num&gt;10.1109/tem.2021.3064020&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Tang et al. (2023)</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combined transaction cost economics and resource-based view to show how a general contractor’s governance capabilities affect subcontracting in construction, impacting subcontracting extent and diversity based on project goals.</w:t>
            </w:r>
          </w:p>
          <w:p w14:paraId="41059618" w14:textId="77777777" w:rsidR="00C010F8" w:rsidRPr="007F23AD" w:rsidRDefault="00C010F8" w:rsidP="005B4EA9">
            <w:pPr>
              <w:rPr>
                <w:rFonts w:ascii="Calibri" w:eastAsia="DengXian" w:hAnsi="Calibri" w:cs="Calibri"/>
                <w:color w:val="000000" w:themeColor="text1"/>
                <w:sz w:val="22"/>
                <w:szCs w:val="22"/>
                <w:lang w:val="en-GB"/>
              </w:rPr>
            </w:pPr>
          </w:p>
        </w:tc>
      </w:tr>
      <w:tr w:rsidR="00C010F8" w:rsidRPr="007F23AD" w14:paraId="73A06924" w14:textId="77777777" w:rsidTr="005B4EA9">
        <w:trPr>
          <w:trHeight w:val="320"/>
          <w:jc w:val="center"/>
        </w:trPr>
        <w:tc>
          <w:tcPr>
            <w:tcW w:w="2547" w:type="dxa"/>
            <w:shd w:val="clear" w:color="auto" w:fill="auto"/>
            <w:noWrap/>
            <w:vAlign w:val="center"/>
          </w:tcPr>
          <w:p w14:paraId="76D25F02" w14:textId="77777777" w:rsidR="00C010F8" w:rsidRPr="007F23AD" w:rsidRDefault="00C010F8" w:rsidP="005B4EA9">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lastRenderedPageBreak/>
              <w:t>3. Strategy Risk</w:t>
            </w:r>
          </w:p>
        </w:tc>
        <w:tc>
          <w:tcPr>
            <w:tcW w:w="11198" w:type="dxa"/>
            <w:shd w:val="clear" w:color="auto" w:fill="auto"/>
            <w:noWrap/>
            <w:vAlign w:val="center"/>
          </w:tcPr>
          <w:p w14:paraId="7F93C729" w14:textId="77777777" w:rsidR="00C010F8" w:rsidRPr="007F23AD" w:rsidRDefault="00C010F8" w:rsidP="005B4EA9">
            <w:pPr>
              <w:rPr>
                <w:rFonts w:ascii="Calibri" w:eastAsia="DengXian" w:hAnsi="Calibri" w:cs="Calibri"/>
                <w:color w:val="000000" w:themeColor="text1"/>
                <w:sz w:val="22"/>
                <w:szCs w:val="22"/>
              </w:rPr>
            </w:pPr>
            <w:proofErr w:type="spellStart"/>
            <w:r w:rsidRPr="007F23AD">
              <w:rPr>
                <w:rFonts w:ascii="Calibri" w:eastAsia="DengXian" w:hAnsi="Calibri" w:cs="Calibri"/>
                <w:color w:val="000000" w:themeColor="text1"/>
                <w:sz w:val="22"/>
                <w:szCs w:val="22"/>
                <w:lang w:val="en-GB"/>
              </w:rPr>
              <w:t>Setijono</w:t>
            </w:r>
            <w:proofErr w:type="spellEnd"/>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ExcludeAuth="1"&gt;&lt;Author&gt;Setijono&lt;/Author&gt;&lt;Year&gt;2010&lt;/Year&gt;&lt;RecNum&gt;0&lt;/RecNum&gt;&lt;IDText&gt;A conceptual framework for managing the performance of construction supply chain&lt;/IDText&gt;&lt;DisplayText&gt;(2010)&lt;/DisplayText&gt;&lt;record&gt;&lt;rec-number&gt;63&lt;/rec-number&gt;&lt;foreign-keys&gt;&lt;key app="EN" db-id="pzdwvt0zxepzzqe2zdmp5zajvd0tv5sdtt2w" timestamp="1701253332"&gt;63&lt;/key&gt;&lt;/foreign-keys&gt;&lt;ref-type name="Journal Article"&gt;17&lt;/ref-type&gt;&lt;contributors&gt;&lt;authors&gt;&lt;author&gt;Setijono, Djoko&lt;/author&gt;&lt;/authors&gt;&lt;/contributors&gt;&lt;titles&gt;&lt;title&gt;A conceptual framework for managing the performance of construction supply chain&lt;/title&gt;&lt;secondary-title&gt;International Journal of Productivity and Quality Management&lt;/secondary-title&gt;&lt;/titles&gt;&lt;periodical&gt;&lt;full-title&gt;International Journal of Productivity and Quality Management&lt;/full-title&gt;&lt;/periodical&gt;&lt;pages&gt;1-20&lt;/pages&gt;&lt;volume&gt;5&lt;/volume&gt;&lt;number&gt;1&lt;/number&gt;&lt;section&gt;1&lt;/section&gt;&lt;dates&gt;&lt;year&gt;2010&lt;/year&gt;&lt;pub-dates&gt;&lt;date&gt;2010/01/01&lt;/date&gt;&lt;/pub-dates&gt;&lt;/dates&gt;&lt;publisher&gt;Inderscience Publishers&lt;/publisher&gt;&lt;isbn&gt;1746-6474&amp;#xD;1746-6482&lt;/isbn&gt;&lt;urls&gt;&lt;related-urls&gt;&lt;url&gt;https://www.inderscienceonline.com/doi/abs/10.1504/IJPQM.2010.029503&lt;/url&gt;&lt;/related-urls&gt;&lt;/urls&gt;&lt;electronic-resource-num&gt;10.1504/ijpqm.2010.029503&lt;/electronic-resource-num&gt;&lt;access-date&gt;2022/06/15&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presented a conceptual framework of construction supply chain states based on strategic dimensions of industrial 'modes' and partnership integration levels, emphasizing the role of improvement methodologies like Total Quality Management (TQM) and lean thinking. It underscores the importance of benchmarking and the need for value-related performance measures to foster trust and collaboration among supply chain partners.</w:t>
            </w:r>
          </w:p>
          <w:p w14:paraId="634C5E69" w14:textId="77777777" w:rsidR="00C010F8" w:rsidRPr="007F23AD" w:rsidRDefault="00C010F8" w:rsidP="005B4EA9">
            <w:pPr>
              <w:rPr>
                <w:rFonts w:ascii="Calibri" w:eastAsia="DengXian" w:hAnsi="Calibri" w:cs="Calibri"/>
                <w:color w:val="000000" w:themeColor="text1"/>
                <w:sz w:val="22"/>
                <w:szCs w:val="22"/>
                <w:lang w:val="en-GB"/>
              </w:rPr>
            </w:pPr>
          </w:p>
          <w:p w14:paraId="03CEDF5B"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Nagarajan and Bernstein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ExcludeAuth="1"&gt;&lt;Author&gt;Nagarajan&lt;/Author&gt;&lt;Year&gt;2012&lt;/Year&gt;&lt;RecNum&gt;0&lt;/RecNum&gt;&lt;IDText&gt;Competition and Cooperative Bargaining Models in Supply Chains&lt;/IDText&gt;&lt;DisplayText&gt;(2012)&lt;/DisplayText&gt;&lt;record&gt;&lt;rec-number&gt;64&lt;/rec-number&gt;&lt;foreign-keys&gt;&lt;key app="EN" db-id="pzdwvt0zxepzzqe2zdmp5zajvd0tv5sdtt2w" timestamp="1701253332"&gt;64&lt;/key&gt;&lt;/foreign-keys&gt;&lt;ref-type name="Journal Article"&gt;17&lt;/ref-type&gt;&lt;contributors&gt;&lt;authors&gt;&lt;author&gt;Nagarajan, Mahesh&lt;/author&gt;&lt;author&gt;Bernstein, Fernando&lt;/author&gt;&lt;/authors&gt;&lt;/contributors&gt;&lt;titles&gt;&lt;title&gt;Competition and Cooperative Bargaining Models in Supply Chains&lt;/title&gt;&lt;secondary-title&gt;Foundations and Trends® in Technology, Information and Operations Management&lt;/secondary-title&gt;&lt;/titles&gt;&lt;periodical&gt;&lt;full-title&gt;Foundations and Trends® in Technology, Information and Operations Management&lt;/full-title&gt;&lt;/periodical&gt;&lt;pages&gt;87-145&lt;/pages&gt;&lt;volume&gt;5&lt;/volume&gt;&lt;number&gt;2&lt;/number&gt;&lt;section&gt;87&lt;/section&gt;&lt;dates&gt;&lt;year&gt;2012&lt;/year&gt;&lt;/dates&gt;&lt;isbn&gt;1571-9545&amp;#xD;1571-9553&lt;/isbn&gt;&lt;work-type&gt;Article&lt;/work-type&gt;&lt;urls&gt;&lt;related-urls&gt;&lt;url&gt;https://www.scopus.com/inward/record.uri?eid=2-s2.0-84861452474&amp;amp;doi=10.1561%2f0200000016&amp;amp;partnerID=40&amp;amp;md5=8841f7a31c6426ad8932118f81ef0ca0&lt;/url&gt;&lt;/related-urls&gt;&lt;/urls&gt;&lt;electronic-resource-num&gt;10.1561/0200000016&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(2012)</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reviewed two decades of operations management, synthesizing non-cooperative game theory and cooperative strategies in supply chains to optimize efficiencies and profits, providing a comprehensive overview and future research directions.</w:t>
            </w:r>
          </w:p>
          <w:p w14:paraId="325B472E" w14:textId="77777777" w:rsidR="00C010F8" w:rsidRPr="007F23AD" w:rsidRDefault="00C010F8" w:rsidP="005B4EA9">
            <w:pPr>
              <w:rPr>
                <w:rFonts w:ascii="Calibri" w:eastAsia="DengXian" w:hAnsi="Calibri" w:cs="Calibri"/>
                <w:color w:val="000000" w:themeColor="text1"/>
                <w:sz w:val="22"/>
                <w:szCs w:val="22"/>
                <w:lang w:val="en-GB"/>
              </w:rPr>
            </w:pPr>
          </w:p>
          <w:p w14:paraId="72C66E20"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Seth and Rastogi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ExcludeAuth="1"&gt;&lt;Author&gt;Seth&lt;/Author&gt;&lt;Year&gt;2019&lt;/Year&gt;&lt;RecNum&gt;0&lt;/RecNum&gt;&lt;IDText&gt;Application of vendor rationalization strategy for manufacturing cycle time reduction in engineer to order (ETO) environment&lt;/IDText&gt;&lt;DisplayText&gt;(2019)&lt;/DisplayText&gt;&lt;record&gt;&lt;rec-number&gt;65&lt;/rec-number&gt;&lt;foreign-keys&gt;&lt;key app="EN" db-id="pzdwvt0zxepzzqe2zdmp5zajvd0tv5sdtt2w" timestamp="1701253332"&gt;65&lt;/key&gt;&lt;/foreign-keys&gt;&lt;ref-type name="Journal Article"&gt;17&lt;/ref-type&gt;&lt;contributors&gt;&lt;authors&gt;&lt;author&gt;Seth, Dinesh&lt;/author&gt;&lt;author&gt;Rastogi, Subhash&lt;/author&gt;&lt;/authors&gt;&lt;/contributors&gt;&lt;titles&gt;&lt;title&gt;Application of vendor rationalization strategy for manufacturing cycle time reduction in engineer to order (ETO) environment&lt;/title&gt;&lt;secondary-title&gt;Journal of Manufacturing Technology Management&lt;/secondary-title&gt;&lt;/titles&gt;&lt;periodical&gt;&lt;full-title&gt;Journal of Manufacturing Technology Management&lt;/full-title&gt;&lt;/periodical&gt;&lt;pages&gt;261-290&lt;/pages&gt;&lt;volume&gt;30&lt;/volume&gt;&lt;number&gt;1&lt;/number&gt;&lt;section&gt;261&lt;/section&gt;&lt;dates&gt;&lt;year&gt;2019&lt;/year&gt;&lt;/dates&gt;&lt;publisher&gt;Emerald Publishing Limited&lt;/publisher&gt;&lt;isbn&gt;1741-038X&lt;/isbn&gt;&lt;urls&gt;&lt;related-urls&gt;&lt;url&gt;https://doi.org/10.1108/JMTM-03-2018-0095&lt;/url&gt;&lt;/related-urls&gt;&lt;/urls&gt;&lt;electronic-resource-num&gt;10.1108/jmtm-03-2018-0095&lt;/electronic-resource-num&gt;&lt;access-date&gt;2022/06/14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(2019)</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illustrated how vendor rationalization strategy can optimize supplies and reduce manufacturing cycle time in Indian engineer-to-order (ETO) firms, using </w:t>
            </w:r>
            <w:proofErr w:type="spellStart"/>
            <w:r w:rsidRPr="007F23AD">
              <w:rPr>
                <w:rFonts w:ascii="Calibri" w:eastAsia="DengXian" w:hAnsi="Calibri" w:cs="Calibri"/>
                <w:color w:val="000000" w:themeColor="text1"/>
                <w:sz w:val="22"/>
                <w:szCs w:val="22"/>
                <w:lang w:val="en-GB"/>
              </w:rPr>
              <w:t>Kraljic’s</w:t>
            </w:r>
            <w:proofErr w:type="spellEnd"/>
            <w:r w:rsidRPr="007F23AD">
              <w:rPr>
                <w:rFonts w:ascii="Calibri" w:eastAsia="DengXian" w:hAnsi="Calibri" w:cs="Calibri"/>
                <w:color w:val="000000" w:themeColor="text1"/>
                <w:sz w:val="22"/>
                <w:szCs w:val="22"/>
                <w:lang w:val="en-GB"/>
              </w:rPr>
              <w:t xml:space="preserve"> matrix and case-based observations, and emphasizes the broader benefits of this approach beyond just minimizing the supplier base in the context of ETO operations in rapidly developing nations.</w:t>
            </w:r>
          </w:p>
          <w:p w14:paraId="417BA73A" w14:textId="77777777" w:rsidR="00C010F8" w:rsidRPr="007F23AD" w:rsidRDefault="00C010F8" w:rsidP="005B4EA9">
            <w:pPr>
              <w:rPr>
                <w:rFonts w:ascii="Calibri" w:eastAsia="DengXian" w:hAnsi="Calibri" w:cs="Calibri"/>
                <w:color w:val="000000" w:themeColor="text1"/>
                <w:sz w:val="22"/>
                <w:szCs w:val="22"/>
                <w:lang w:val="en-GB"/>
              </w:rPr>
            </w:pPr>
          </w:p>
          <w:p w14:paraId="3FCB4199" w14:textId="77777777" w:rsidR="00C010F8" w:rsidRPr="007F23AD" w:rsidRDefault="00C010F8" w:rsidP="005B4EA9">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Crovini</w:t>
            </w:r>
            <w:proofErr w:type="spellEnd"/>
            <w:r w:rsidRPr="007F23AD">
              <w:rPr>
                <w:rFonts w:ascii="Calibri" w:eastAsia="DengXian" w:hAnsi="Calibri" w:cs="Calibri"/>
                <w:color w:val="000000" w:themeColor="text1"/>
                <w:sz w:val="22"/>
                <w:szCs w:val="22"/>
                <w:lang w:val="en-GB"/>
              </w:rPr>
              <w:t xml:space="preserve">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ExcludeAuth="1"&gt;&lt;Author&gt;Crovini&lt;/Author&gt;&lt;Year&gt;2021&lt;/Year&gt;&lt;RecNum&gt;0&lt;/RecNum&gt;&lt;IDText&gt;How to reconsider risk management in SMEs? An Advanced, Reasoned and Organised Literature Review&lt;/IDText&gt;&lt;DisplayText&gt;(2021)&lt;/DisplayText&gt;&lt;record&gt;&lt;rec-number&gt;26&lt;/rec-number&gt;&lt;foreign-keys&gt;&lt;key app="EN" db-id="pzdwvt0zxepzzqe2zdmp5zajvd0tv5sdtt2w" timestamp="1701253332"&gt;26&lt;/key&gt;&lt;/foreign-keys&gt;&lt;ref-type name="Journal Article"&gt;17&lt;/ref-type&gt;&lt;contributors&gt;&lt;authors&gt;&lt;author&gt;Crovini, Chiara&lt;/author&gt;&lt;author&gt;Ossola, Giovanni&lt;/author&gt;&lt;author&gt;Britzelmaier, Bernd&lt;/author&gt;&lt;/authors&gt;&lt;/contributors&gt;&lt;titles&gt;&lt;title&gt;How to reconsider risk management in SMEs? An Advanced, Reasoned and Organised Literature Review&lt;/title&gt;&lt;secondary-title&gt;European Management Journal&lt;/secondary-title&gt;&lt;/titles&gt;&lt;periodical&gt;&lt;full-title&gt;European Management Journal&lt;/full-title&gt;&lt;/periodical&gt;&lt;pages&gt;118-134&lt;/pages&gt;&lt;volume&gt;39&lt;/volume&gt;&lt;number&gt;1&lt;/number&gt;&lt;keywords&gt;&lt;keyword&gt;Risk management&lt;/keyword&gt;&lt;keyword&gt;SMEs&lt;/keyword&gt;&lt;keyword&gt;ARO&lt;/keyword&gt;&lt;keyword&gt;Literature review&lt;/keyword&gt;&lt;keyword&gt;Decision making&lt;/keyword&gt;&lt;keyword&gt;Risk approach&lt;/keyword&gt;&lt;/keywords&gt;&lt;dates&gt;&lt;year&gt;2021&lt;/year&gt;&lt;pub-dates&gt;&lt;date&gt;2021/02/01/&lt;/date&gt;&lt;/pub-dates&gt;&lt;/dates&gt;&lt;isbn&gt;0263-2373&lt;/isbn&gt;&lt;urls&gt;&lt;related-urls&gt;&lt;url&gt;https://www.sciencedirect.com/science/article/pii/S0263237320301742&lt;/url&gt;&lt;/related-urls&gt;&lt;/urls&gt;&lt;electronic-resource-num&gt;https://doi.org/10.1016/j.emj.2020.11.002&lt;/electronic-resource-num&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used the Advanced, Reasoned and Organised (ARO) literature review method to examine risk management in SMEs, finding that many overlook comprehensive risk strategies due to managerial attitudes and lack of awareness, underscoring the need for better risk understanding.</w:t>
            </w:r>
          </w:p>
        </w:tc>
      </w:tr>
      <w:tr w:rsidR="00C010F8" w:rsidRPr="007F23AD" w14:paraId="5A72A77D" w14:textId="77777777" w:rsidTr="005B4EA9">
        <w:trPr>
          <w:trHeight w:val="32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E6CC2" w14:textId="77777777" w:rsidR="00C010F8" w:rsidRPr="007F23AD" w:rsidRDefault="00C010F8" w:rsidP="005B4EA9">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4. Stakeholders Risk </w:t>
            </w:r>
          </w:p>
        </w:tc>
        <w:tc>
          <w:tcPr>
            <w:tcW w:w="1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F30DC"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Khalfan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ExcludeAuth="1"&gt;&lt;Author&gt;Khalfan&lt;/Author&gt;&lt;Year&gt;2008&lt;/Year&gt;&lt;RecNum&gt;0&lt;/RecNum&gt;&lt;IDText&gt;The integration of suppliers and manufacturers within construction supply chains through innovative procurement strategies&lt;/IDText&gt;&lt;DisplayText&gt;(2008)&lt;/DisplayText&gt;&lt;record&gt;&lt;rec-number&gt;50&lt;/rec-number&gt;&lt;foreign-keys&gt;&lt;key app="EN" db-id="pzdwvt0zxepzzqe2zdmp5zajvd0tv5sdtt2w" timestamp="1701253332"&gt;50&lt;/key&gt;&lt;/foreign-keys&gt;&lt;ref-type name="Journal Article"&gt;17&lt;/ref-type&gt;&lt;contributors&gt;&lt;authors&gt;&lt;author&gt;Khalfan, Malik M. A.&lt;/author&gt;&lt;author&gt;McDermott, Peter&lt;/author&gt;&lt;author&gt;Li, Xianguang&lt;/author&gt;&lt;author&gt;Arif, Mohammed&lt;/author&gt;&lt;author&gt;Kashyap, Mukesh&lt;/author&gt;&lt;/authors&gt;&lt;/contributors&gt;&lt;titles&gt;&lt;title&gt;The integration of suppliers and manufacturers within construction supply chains through innovative procurement strategies&lt;/title&gt;&lt;secondary-title&gt;International Journal of Value Chain Management&lt;/secondary-title&gt;&lt;/titles&gt;&lt;periodical&gt;&lt;full-title&gt;International Journal of Value Chain Management&lt;/full-title&gt;&lt;/periodical&gt;&lt;pages&gt;358-370&lt;/pages&gt;&lt;volume&gt;2&lt;/volume&gt;&lt;number&gt;3&lt;/number&gt;&lt;section&gt;358&lt;/section&gt;&lt;dates&gt;&lt;year&gt;2008&lt;/year&gt;&lt;pub-dates&gt;&lt;date&gt;2008/01/01&lt;/date&gt;&lt;/pub-dates&gt;&lt;/dates&gt;&lt;publisher&gt;Inderscience Publishers&lt;/publisher&gt;&lt;isbn&gt;1741-5357&amp;#xD;1741-5365&lt;/isbn&gt;&lt;urls&gt;&lt;related-urls&gt;&lt;url&gt;https://www.inderscienceonline.com/doi/abs/10.1504/IJVCM.2008.019518&lt;/url&gt;&lt;/related-urls&gt;&lt;/urls&gt;&lt;electronic-resource-num&gt;10.1504/ijvcm.2008.019518&lt;/electronic-resource-num&gt;&lt;access-date&gt;2022/06/14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(2008)</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examined innovative procurement in the UK construction industry, emphasizing early involvement of suppliers and manufacturers for better project planning and the benefits of enhanced supply chain integration.</w:t>
            </w:r>
          </w:p>
          <w:p w14:paraId="0B922E6F" w14:textId="77777777" w:rsidR="00C010F8" w:rsidRPr="007F23AD" w:rsidRDefault="00C010F8" w:rsidP="005B4EA9">
            <w:pPr>
              <w:rPr>
                <w:rFonts w:ascii="Calibri" w:eastAsia="DengXian" w:hAnsi="Calibri" w:cs="Calibri"/>
                <w:color w:val="000000" w:themeColor="text1"/>
                <w:sz w:val="22"/>
                <w:szCs w:val="22"/>
                <w:lang w:val="en-GB"/>
              </w:rPr>
            </w:pPr>
          </w:p>
          <w:p w14:paraId="020C08E2"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Oppong et al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ExcludeAuth="1"&gt;&lt;Author&gt;Oppong&lt;/Author&gt;&lt;Year&gt;2017&lt;/Year&gt;&lt;RecNum&gt;0&lt;/RecNum&gt;&lt;IDText&gt;A review of stakeholder management performance attributes in construction projects&lt;/IDText&gt;&lt;DisplayText&gt;(2017)&lt;/DisplayText&gt;&lt;record&gt;&lt;rec-number&gt;66&lt;/rec-number&gt;&lt;foreign-keys&gt;&lt;key app="EN" db-id="pzdwvt0zxepzzqe2zdmp5zajvd0tv5sdtt2w" timestamp="1701253332"&gt;66&lt;/key&gt;&lt;/foreign-keys&gt;&lt;ref-type name="Journal Article"&gt;17&lt;/ref-type&gt;&lt;contributors&gt;&lt;authors&gt;&lt;author&gt;Oppong, Goodenough D.&lt;/author&gt;&lt;author&gt;Chan, Albert P. C.&lt;/author&gt;&lt;author&gt;Dansoh, Ayirebi&lt;/author&gt;&lt;/authors&gt;&lt;/contributors&gt;&lt;titles&gt;&lt;title&gt;A review of stakeholder management performance attributes in construction projects&lt;/title&gt;&lt;secondary-title&gt;International Journal of Project Management&lt;/secondary-title&gt;&lt;/titles&gt;&lt;periodical&gt;&lt;full-title&gt;International Journal of Project Management&lt;/full-title&gt;&lt;/periodical&gt;&lt;pages&gt;1037-1051&lt;/pages&gt;&lt;volume&gt;35&lt;/volume&gt;&lt;number&gt;6&lt;/number&gt;&lt;section&gt;1037&lt;/section&gt;&lt;dates&gt;&lt;year&gt;2017&lt;/year&gt;&lt;/dates&gt;&lt;isbn&gt;02637863&lt;/isbn&gt;&lt;work-type&gt;Article&lt;/work-type&gt;&lt;urls&gt;&lt;related-urls&gt;&lt;url&gt;https://www.scopus.com/inward/record.uri?eid=2-s2.0-85019618685&amp;amp;doi=10.1016%2fj.ijproman.2017.04.015&amp;amp;partnerID=40&amp;amp;md5=9eb6e0e21fed1255ef5c96f21ba6a7c3&lt;/url&gt;&lt;/related-urls&gt;&lt;/urls&gt;&lt;electronic-resource-num&gt;10.1016/j.ijproman.2017.04.015&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(2017)</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developed a flexible conceptual model for construction stakeholder management, including performance objectives and indicators, allowing for tailored application to projects and comprehensive success measurement.</w:t>
            </w:r>
          </w:p>
          <w:p w14:paraId="22BD6E31" w14:textId="77777777" w:rsidR="00C010F8" w:rsidRPr="007F23AD" w:rsidRDefault="00C010F8" w:rsidP="005B4EA9">
            <w:pPr>
              <w:rPr>
                <w:rFonts w:ascii="Calibri" w:eastAsia="DengXian" w:hAnsi="Calibri" w:cs="Calibri"/>
                <w:color w:val="000000" w:themeColor="text1"/>
                <w:sz w:val="22"/>
                <w:szCs w:val="22"/>
                <w:lang w:val="en-GB"/>
              </w:rPr>
            </w:pPr>
          </w:p>
          <w:p w14:paraId="58390819" w14:textId="77777777" w:rsidR="00C010F8" w:rsidRPr="007F23AD" w:rsidRDefault="00C010F8" w:rsidP="005B4EA9">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AuthorYear="1"&gt;&lt;Author&gt;Abas&lt;/Author&gt;&lt;Year&gt;2020&lt;/Year&gt;&lt;RecNum&gt;40&lt;/RecNum&gt;&lt;DisplayText&gt;Abas et al. (2020)&lt;/DisplayText&gt;&lt;record&gt;&lt;rec-number&gt;40&lt;/rec-number&gt;&lt;foreign-keys&gt;&lt;key app="EN" db-id="9zdawedfqdf50aedzs7p29dtpwd9fav0at52" timestamp="1701688170"&gt;40&lt;/key&gt;&lt;/foreign-keys&gt;&lt;ref-type name="Journal Article"&gt;17&lt;/ref-type&gt;&lt;contributors&gt;&lt;authors&gt;&lt;author&gt;Abas, Muhammad&lt;/author&gt;&lt;author&gt;Khattak, Sikandar Bilal&lt;/author&gt;&lt;author&gt;Habib, Tufail&lt;/author&gt;&lt;author&gt;Nadir, Uroosa&lt;/author&gt;&lt;/authors&gt;&lt;/contributors&gt;&lt;titles&gt;&lt;title&gt;Assessment of critical risk and success factors in construction supply chain: a case of Pakistan&lt;/title&gt;&lt;secondary-title&gt;International Journal of Construction Management&lt;/secondary-title&gt;&lt;/titles&gt;&lt;pages&gt;1-9&lt;/pages&gt;&lt;section&gt;1&lt;/section&gt;&lt;dates&gt;&lt;year&gt;2020&lt;/year&gt;&lt;/dates&gt;&lt;isbn&gt;1562-3599&amp;#xD;2331-2327&lt;/isbn&gt;&lt;work-type&gt;Article&lt;/work-type&gt;&lt;urls&gt;&lt;related-urls&gt;&lt;url&gt;https://www.scopus.com/inward/record.uri?eid=2-s2.0-85087555770&amp;amp;doi=10.1080%2f15623599.2020.1783597&amp;amp;partnerID=40&amp;amp;md5=f9b7c911486434647dbb4538fc357187&lt;/url&gt;&lt;/related-urls&gt;&lt;/urls&gt;&lt;electronic-resource-num&gt;10.1080/15623599.2020.1783597&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Abas et al. (2020)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identified key risk and success factors in Pakistan's construction supply chain, such as funding issues and stakeholder communication, providing valuable industry insights.</w:t>
            </w:r>
          </w:p>
          <w:p w14:paraId="1EF87DB4" w14:textId="77777777" w:rsidR="00C010F8" w:rsidRPr="007F23AD" w:rsidRDefault="00C010F8" w:rsidP="005B4EA9">
            <w:pPr>
              <w:rPr>
                <w:rFonts w:ascii="Calibri" w:eastAsia="DengXian" w:hAnsi="Calibri" w:cs="Calibri"/>
                <w:color w:val="000000" w:themeColor="text1"/>
                <w:sz w:val="22"/>
                <w:szCs w:val="22"/>
                <w:lang w:val="en-GB"/>
              </w:rPr>
            </w:pPr>
          </w:p>
          <w:p w14:paraId="3DFB14F8" w14:textId="77777777" w:rsidR="00C010F8" w:rsidRPr="007F23AD" w:rsidRDefault="00C010F8" w:rsidP="005B4EA9">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Aladag</w:t>
            </w:r>
            <w:proofErr w:type="spellEnd"/>
            <w:r w:rsidRPr="007F23AD">
              <w:rPr>
                <w:rFonts w:ascii="Calibri" w:eastAsia="DengXian" w:hAnsi="Calibri" w:cs="Calibri"/>
                <w:color w:val="000000" w:themeColor="text1"/>
                <w:sz w:val="22"/>
                <w:szCs w:val="22"/>
                <w:lang w:val="en-GB"/>
              </w:rPr>
              <w:t xml:space="preserve"> and Isik </w:t>
            </w: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ExcludeAuth="1"&gt;&lt;Author&gt;Aladag&lt;/Author&gt;&lt;Year&gt;2020&lt;/Year&gt;&lt;RecNum&gt;0&lt;/RecNum&gt;&lt;IDText&gt;The Effect of Stakeholder-Associated Risks in Mega-Engineering Projects: A Case Study of a PPP Airport Project&lt;/IDText&gt;&lt;DisplayText&gt;(2020)&lt;/DisplayText&gt;&lt;record&gt;&lt;rec-number&gt;67&lt;/rec-number&gt;&lt;foreign-keys&gt;&lt;key app="EN" db-id="pzdwvt0zxepzzqe2zdmp5zajvd0tv5sdtt2w" timestamp="1701253332"&gt;67&lt;/key&gt;&lt;/foreign-keys&gt;&lt;ref-type name="Journal Article"&gt;17&lt;/ref-type&gt;&lt;contributors&gt;&lt;authors&gt;&lt;author&gt;Aladag, Hande&lt;/author&gt;&lt;author&gt;Isik, Zeynep&lt;/author&gt;&lt;/authors&gt;&lt;/contributors&gt;&lt;titles&gt;&lt;title&gt;The Effect of Stakeholder-Associated Risks in Mega-Engineering Projects: A Case Study of a PPP Airport Project&lt;/title&gt;&lt;secondary-title&gt;IEEE Transactions on Engineering Management&lt;/secondary-title&gt;&lt;/titles&gt;&lt;periodical&gt;&lt;full-title&gt;IEEE Transactions on Engineering Management&lt;/full-title&gt;&lt;/periodical&gt;&lt;pages&gt;174-186&lt;/pages&gt;&lt;volume&gt;67&lt;/volume&gt;&lt;number&gt;1&lt;/number&gt;&lt;section&gt;174&lt;/section&gt;&lt;dates&gt;&lt;year&gt;2020&lt;/year&gt;&lt;/dates&gt;&lt;isbn&gt;0018-9391&amp;#xD;1558-0040&lt;/isbn&gt;&lt;work-type&gt;Article&lt;/work-type&gt;&lt;urls&gt;&lt;related-urls&gt;&lt;url&gt;https://www.scopus.com/inward/record.uri?eid=2-s2.0-85053145870&amp;amp;doi=10.1109%2fTEM.2018.2866269&amp;amp;partnerID=40&amp;amp;md5=e4034b93d54cf27ff377971616bc7504&lt;/url&gt;&lt;/related-urls&gt;&lt;/urls&gt;&lt;custom7&gt;8457281&lt;/custom7&gt;&lt;electronic-resource-num&gt;10.1109/tem.2018.2866269&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w:t>
            </w:r>
            <w:proofErr w:type="spellStart"/>
            <w:r w:rsidRPr="007F23AD">
              <w:rPr>
                <w:rFonts w:ascii="Calibri" w:eastAsia="DengXian" w:hAnsi="Calibri" w:cs="Calibri"/>
                <w:color w:val="000000" w:themeColor="text1"/>
                <w:sz w:val="22"/>
                <w:szCs w:val="22"/>
                <w:lang w:val="en-GB"/>
              </w:rPr>
              <w:t>analyzed</w:t>
            </w:r>
            <w:proofErr w:type="spellEnd"/>
            <w:r w:rsidRPr="007F23AD">
              <w:rPr>
                <w:rFonts w:ascii="Calibri" w:eastAsia="DengXian" w:hAnsi="Calibri" w:cs="Calibri"/>
                <w:color w:val="000000" w:themeColor="text1"/>
                <w:sz w:val="22"/>
                <w:szCs w:val="22"/>
                <w:lang w:val="en-GB"/>
              </w:rPr>
              <w:t xml:space="preserve"> stakeholder-related risks in mega-engineering projects, underlining the significance of partner selection and the necessity of risk management for enhanced project performance.</w:t>
            </w:r>
          </w:p>
          <w:p w14:paraId="646038DF" w14:textId="77777777" w:rsidR="00C010F8" w:rsidRPr="007F23AD" w:rsidRDefault="00C010F8" w:rsidP="005B4EA9">
            <w:pPr>
              <w:rPr>
                <w:rFonts w:ascii="Calibri" w:eastAsia="DengXian" w:hAnsi="Calibri" w:cs="Calibri"/>
                <w:color w:val="000000" w:themeColor="text1"/>
                <w:sz w:val="22"/>
                <w:szCs w:val="22"/>
                <w:lang w:val="en-GB"/>
              </w:rPr>
            </w:pPr>
          </w:p>
        </w:tc>
      </w:tr>
    </w:tbl>
    <w:p w14:paraId="115536B1" w14:textId="4F9A58F3" w:rsidR="00C010F8" w:rsidRDefault="00C010F8" w:rsidP="00C010F8">
      <w:pPr>
        <w:spacing w:line="480" w:lineRule="auto"/>
        <w:jc w:val="both"/>
        <w:rPr>
          <w:rFonts w:ascii="Calibri" w:eastAsia="DengXian" w:hAnsi="Calibri" w:cs="Calibri" w:hint="eastAsia"/>
          <w:color w:val="000000" w:themeColor="text1"/>
          <w:sz w:val="22"/>
          <w:szCs w:val="22"/>
          <w:lang w:val="en-GB"/>
        </w:rPr>
        <w:sectPr w:rsidR="00C010F8" w:rsidSect="00C010F8">
          <w:pgSz w:w="16840" w:h="11900" w:orient="landscape"/>
          <w:pgMar w:top="1800" w:right="1440" w:bottom="1800" w:left="1440" w:header="708" w:footer="708" w:gutter="0"/>
          <w:cols w:space="708"/>
          <w:docGrid w:linePitch="360"/>
        </w:sectPr>
      </w:pPr>
    </w:p>
    <w:p w14:paraId="23851A60" w14:textId="5C88760A" w:rsidR="006F7A9A" w:rsidRPr="007F23AD" w:rsidRDefault="0079178C" w:rsidP="007C675E">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lastRenderedPageBreak/>
        <w:t>Contractual risk</w:t>
      </w:r>
    </w:p>
    <w:p w14:paraId="77FBB25E" w14:textId="2BF39F02" w:rsidR="004F269E" w:rsidRPr="007F23AD" w:rsidRDefault="00D4763B" w:rsidP="00CB4F3C">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rPr>
        <w:t xml:space="preserve">The contract is considered the cornerstone of </w:t>
      </w:r>
      <w:r w:rsidR="00F2058B" w:rsidRPr="007F23AD">
        <w:rPr>
          <w:rFonts w:ascii="Calibri" w:eastAsia="DengXian" w:hAnsi="Calibri" w:cs="Calibri"/>
          <w:color w:val="000000" w:themeColor="text1"/>
          <w:sz w:val="22"/>
          <w:szCs w:val="22"/>
        </w:rPr>
        <w:t>collaboration</w:t>
      </w:r>
      <w:r w:rsidRPr="007F23AD">
        <w:rPr>
          <w:rFonts w:ascii="Calibri" w:eastAsia="DengXian" w:hAnsi="Calibri" w:cs="Calibri"/>
          <w:color w:val="000000" w:themeColor="text1"/>
          <w:sz w:val="22"/>
          <w:szCs w:val="22"/>
        </w:rPr>
        <w:t xml:space="preserve"> among companies in supply chain management. It </w:t>
      </w:r>
      <w:r w:rsidR="008069D7" w:rsidRPr="007F23AD">
        <w:rPr>
          <w:rFonts w:ascii="Calibri" w:eastAsia="DengXian" w:hAnsi="Calibri" w:cs="Calibri"/>
          <w:color w:val="000000" w:themeColor="text1"/>
          <w:sz w:val="22"/>
          <w:szCs w:val="22"/>
        </w:rPr>
        <w:t>outlines</w:t>
      </w:r>
      <w:r w:rsidRPr="007F23AD">
        <w:rPr>
          <w:rFonts w:ascii="Calibri" w:eastAsia="DengXian" w:hAnsi="Calibri" w:cs="Calibri"/>
          <w:color w:val="000000" w:themeColor="text1"/>
          <w:sz w:val="22"/>
          <w:szCs w:val="22"/>
        </w:rPr>
        <w:t xml:space="preserve"> the obligations and tasks of both parties and serves as the foundation for communication and, importantly, risk sharing. </w:t>
      </w:r>
      <w:r w:rsidR="00F86FBF" w:rsidRPr="007F23AD">
        <w:rPr>
          <w:rFonts w:ascii="Calibri" w:eastAsia="DengXian" w:hAnsi="Calibri" w:cs="Calibri"/>
          <w:color w:val="000000" w:themeColor="text1"/>
          <w:sz w:val="22"/>
          <w:szCs w:val="22"/>
        </w:rPr>
        <w:t xml:space="preserve">This </w:t>
      </w:r>
      <w:r w:rsidR="00CC6E00" w:rsidRPr="007F23AD">
        <w:rPr>
          <w:rFonts w:ascii="Calibri" w:eastAsia="DengXian" w:hAnsi="Calibri" w:cs="Calibri"/>
          <w:color w:val="000000" w:themeColor="text1"/>
          <w:sz w:val="22"/>
          <w:szCs w:val="22"/>
        </w:rPr>
        <w:t>r</w:t>
      </w:r>
      <w:r w:rsidR="00CB4F3C" w:rsidRPr="007F23AD">
        <w:rPr>
          <w:rFonts w:ascii="Calibri" w:eastAsia="DengXian" w:hAnsi="Calibri" w:cs="Calibri"/>
          <w:color w:val="000000" w:themeColor="text1"/>
          <w:sz w:val="22"/>
          <w:szCs w:val="22"/>
        </w:rPr>
        <w:t xml:space="preserve">esearch predominantly focuses on relational contracts, with some scholars highlighting their benefits in synchronizing the </w:t>
      </w:r>
      <w:r w:rsidR="00F86FBF" w:rsidRPr="007F23AD">
        <w:rPr>
          <w:rFonts w:ascii="Calibri" w:eastAsia="DengXian" w:hAnsi="Calibri" w:cs="Calibri"/>
          <w:color w:val="000000" w:themeColor="text1"/>
          <w:sz w:val="22"/>
          <w:szCs w:val="22"/>
        </w:rPr>
        <w:t xml:space="preserve">interests of </w:t>
      </w:r>
      <w:r w:rsidR="00CB4F3C" w:rsidRPr="007F23AD">
        <w:rPr>
          <w:rFonts w:ascii="Calibri" w:eastAsia="DengXian" w:hAnsi="Calibri" w:cs="Calibri"/>
          <w:color w:val="000000" w:themeColor="text1"/>
          <w:sz w:val="22"/>
          <w:szCs w:val="22"/>
        </w:rPr>
        <w:t xml:space="preserve">stakeholders, thus enhancing cost and time management in construction projects </w:t>
      </w:r>
      <w:r w:rsidR="00502925"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&lt;EndNote&gt;&lt;Cite&gt;&lt;Author&gt;Ling&lt;/Author&gt;&lt;Year&gt;2014&lt;/Year&gt;&lt;RecNum&gt;0&lt;/RecNum&gt;&lt;IDText&gt;Drivers and barriers to adopting relational contracting practices in public projects: Comparative study of Beijing and Sydney&lt;/IDText&gt;&lt;DisplayText&gt;(Ling et al. 2014)&lt;/DisplayText&gt;&lt;record&gt;&lt;rec-number&gt;57&lt;/rec-number&gt;&lt;foreign-keys&gt;&lt;key app="EN" db-id="pzdwvt0zxepzzqe2zdmp5zajvd0tv5sdtt2w" timestamp="1701253332"&gt;57&lt;/key&gt;&lt;/foreign-keys&gt;&lt;ref-type name="Journal Article"&gt;17&lt;/ref-type&gt;&lt;contributors&gt;&lt;authors&gt;&lt;author&gt;Ling, Florence Yean Yng&lt;/author&gt;&lt;author&gt;Ong, Shi Ying&lt;/author&gt;&lt;author&gt;Ke, Yongjian&lt;/author&gt;&lt;author&gt;Wang, Shouqing&lt;/author&gt;&lt;author&gt;Zou, Patrick&lt;/author&gt;&lt;/authors&gt;&lt;/contributors&gt;&lt;titles&gt;&lt;title&gt;Drivers and barriers to adopting relational contracting practices in public projects: Comparative study of Beijing and Sydney&lt;/title&gt;&lt;secondary-title&gt;International Journal of Project Management&lt;/secondary-title&gt;&lt;/titles&gt;&lt;periodical&gt;&lt;full-title&gt;International Journal of Project Management&lt;/full-title&gt;&lt;/periodical&gt;&lt;pages&gt;275-285&lt;/pages&gt;&lt;volume&gt;32&lt;/volume&gt;&lt;number&gt;2&lt;/number&gt;&lt;section&gt;275&lt;/section&gt;&lt;dates&gt;&lt;year&gt;2014&lt;/year&gt;&lt;/dates&gt;&lt;isbn&gt;02637863&lt;/isbn&gt;&lt;work-type&gt;Article&lt;/work-type&gt;&lt;urls&gt;&lt;related-urls&gt;&lt;url&gt;https://www.scopus.com/inward/record.uri?eid=2-s2.0-84890236950&amp;amp;doi=10.1016%2fj.ijproman.2013.04.008&amp;amp;partnerID=40&amp;amp;md5=909db4fea7ddfb789fc518297c001f0e&lt;/url&gt;&lt;/related-urls&gt;&lt;/urls&gt;&lt;electronic-resource-num&gt;10.1016/j.ijproman.2013.04.008&lt;/electronic-resource-num&gt;&lt;remote-database-name&gt;Scopus&lt;/remote-database-name&gt;&lt;/record&gt;&lt;/Cite&gt;&lt;/EndNote&gt;</w:instrText>
      </w:r>
      <w:r w:rsidR="00502925" w:rsidRPr="007F23AD">
        <w:rPr>
          <w:rFonts w:ascii="Calibri" w:eastAsia="DengXian" w:hAnsi="Calibri" w:cs="Calibri"/>
          <w:color w:val="000000" w:themeColor="text1"/>
          <w:sz w:val="22"/>
          <w:szCs w:val="22"/>
          <w:lang w:val="en-GB"/>
        </w:rPr>
        <w:fldChar w:fldCharType="separate"/>
      </w:r>
      <w:r w:rsidR="00502925" w:rsidRPr="007F23AD">
        <w:rPr>
          <w:rFonts w:ascii="Calibri" w:eastAsia="DengXian" w:hAnsi="Calibri" w:cs="Calibri"/>
          <w:noProof/>
          <w:color w:val="000000" w:themeColor="text1"/>
          <w:sz w:val="22"/>
          <w:szCs w:val="22"/>
          <w:lang w:val="en-GB"/>
        </w:rPr>
        <w:t>(Ling et al. 2014)</w:t>
      </w:r>
      <w:r w:rsidR="00502925" w:rsidRPr="007F23AD">
        <w:rPr>
          <w:rFonts w:ascii="Calibri" w:eastAsia="DengXian" w:hAnsi="Calibri" w:cs="Calibri"/>
          <w:color w:val="000000" w:themeColor="text1"/>
          <w:sz w:val="22"/>
          <w:szCs w:val="22"/>
          <w:lang w:val="en-GB"/>
        </w:rPr>
        <w:fldChar w:fldCharType="end"/>
      </w:r>
      <w:r w:rsidR="00CB4F3C" w:rsidRPr="007F23AD">
        <w:rPr>
          <w:rFonts w:ascii="Calibri" w:eastAsia="DengXian" w:hAnsi="Calibri" w:cs="Calibri"/>
          <w:color w:val="000000" w:themeColor="text1"/>
          <w:sz w:val="22"/>
          <w:szCs w:val="22"/>
        </w:rPr>
        <w:t xml:space="preserve">. Nonetheless, there is skepticism about their efficacy, with concerns such as potential corruption due to overly close relationships that might </w:t>
      </w:r>
      <w:r w:rsidR="00366D6A" w:rsidRPr="007F23AD">
        <w:rPr>
          <w:rFonts w:ascii="Calibri" w:eastAsia="DengXian" w:hAnsi="Calibri" w:cs="Calibri"/>
          <w:color w:val="000000" w:themeColor="text1"/>
          <w:sz w:val="22"/>
          <w:szCs w:val="22"/>
        </w:rPr>
        <w:t>priorities</w:t>
      </w:r>
      <w:r w:rsidR="00CB4F3C" w:rsidRPr="007F23AD">
        <w:rPr>
          <w:rFonts w:ascii="Calibri" w:eastAsia="DengXian" w:hAnsi="Calibri" w:cs="Calibri"/>
          <w:color w:val="000000" w:themeColor="text1"/>
          <w:sz w:val="22"/>
          <w:szCs w:val="22"/>
        </w:rPr>
        <w:t xml:space="preserve"> relational over contractual value </w:t>
      </w:r>
      <w:r w:rsidR="00502925"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&lt;EndNote&gt;&lt;Cite&gt;&lt;Author&gt;Ling&lt;/Author&gt;&lt;Year&gt;2014&lt;/Year&gt;&lt;RecNum&gt;0&lt;/RecNum&gt;&lt;IDText&gt;Drivers and barriers to adopting relational contracting practices in public projects: Comparative study of Beijing and Sydney&lt;/IDText&gt;&lt;DisplayText&gt;(Ling et al. 2014)&lt;/DisplayText&gt;&lt;record&gt;&lt;rec-number&gt;57&lt;/rec-number&gt;&lt;foreign-keys&gt;&lt;key app="EN" db-id="pzdwvt0zxepzzqe2zdmp5zajvd0tv5sdtt2w" timestamp="1701253332"&gt;57&lt;/key&gt;&lt;/foreign-keys&gt;&lt;ref-type name="Journal Article"&gt;17&lt;/ref-type&gt;&lt;contributors&gt;&lt;authors&gt;&lt;author&gt;Ling, Florence Yean Yng&lt;/author&gt;&lt;author&gt;Ong, Shi Ying&lt;/author&gt;&lt;author&gt;Ke, Yongjian&lt;/author&gt;&lt;author&gt;Wang, Shouqing&lt;/author&gt;&lt;author&gt;Zou, Patrick&lt;/author&gt;&lt;/authors&gt;&lt;/contributors&gt;&lt;titles&gt;&lt;title&gt;Drivers and barriers to adopting relational contracting practices in public projects: Comparative study of Beijing and Sydney&lt;/title&gt;&lt;secondary-title&gt;International Journal of Project Management&lt;/secondary-title&gt;&lt;/titles&gt;&lt;periodical&gt;&lt;full-title&gt;International Journal of Project Management&lt;/full-title&gt;&lt;/periodical&gt;&lt;pages&gt;275-285&lt;/pages&gt;&lt;volume&gt;32&lt;/volume&gt;&lt;number&gt;2&lt;/number&gt;&lt;section&gt;275&lt;/section&gt;&lt;dates&gt;&lt;year&gt;2014&lt;/year&gt;&lt;/dates&gt;&lt;isbn&gt;02637863&lt;/isbn&gt;&lt;work-type&gt;Article&lt;/work-type&gt;&lt;urls&gt;&lt;related-urls&gt;&lt;url&gt;https://www.scopus.com/inward/record.uri?eid=2-s2.0-84890236950&amp;amp;doi=10.1016%2fj.ijproman.2013.04.008&amp;amp;partnerID=40&amp;amp;md5=909db4fea7ddfb789fc518297c001f0e&lt;/url&gt;&lt;/related-urls&gt;&lt;/urls&gt;&lt;electronic-resource-num&gt;10.1016/j.ijproman.2013.04.008&lt;/electronic-resource-num&gt;&lt;remote-database-name&gt;Scopus&lt;/remote-database-name&gt;&lt;/record&gt;&lt;/Cite&gt;&lt;/EndNote&gt;</w:instrText>
      </w:r>
      <w:r w:rsidR="00502925" w:rsidRPr="007F23AD">
        <w:rPr>
          <w:rFonts w:ascii="Calibri" w:eastAsia="DengXian" w:hAnsi="Calibri" w:cs="Calibri"/>
          <w:color w:val="000000" w:themeColor="text1"/>
          <w:sz w:val="22"/>
          <w:szCs w:val="22"/>
          <w:lang w:val="en-GB"/>
        </w:rPr>
        <w:fldChar w:fldCharType="separate"/>
      </w:r>
      <w:r w:rsidR="00502925" w:rsidRPr="007F23AD">
        <w:rPr>
          <w:rFonts w:ascii="Calibri" w:eastAsia="DengXian" w:hAnsi="Calibri" w:cs="Calibri"/>
          <w:noProof/>
          <w:color w:val="000000" w:themeColor="text1"/>
          <w:sz w:val="22"/>
          <w:szCs w:val="22"/>
          <w:lang w:val="en-GB"/>
        </w:rPr>
        <w:t>(Ling et al. 2014)</w:t>
      </w:r>
      <w:r w:rsidR="00502925" w:rsidRPr="007F23AD">
        <w:rPr>
          <w:rFonts w:ascii="Calibri" w:eastAsia="DengXian" w:hAnsi="Calibri" w:cs="Calibri"/>
          <w:color w:val="000000" w:themeColor="text1"/>
          <w:sz w:val="22"/>
          <w:szCs w:val="22"/>
          <w:lang w:val="en-GB"/>
        </w:rPr>
        <w:fldChar w:fldCharType="end"/>
      </w:r>
      <w:r w:rsidR="00AC4DDC" w:rsidRPr="007F23AD">
        <w:rPr>
          <w:rFonts w:ascii="Calibri" w:eastAsia="DengXian" w:hAnsi="Calibri" w:cs="Calibri"/>
          <w:color w:val="000000" w:themeColor="text1"/>
          <w:sz w:val="22"/>
          <w:szCs w:val="22"/>
          <w:lang w:val="en-GB"/>
        </w:rPr>
        <w:t xml:space="preserve">. </w:t>
      </w:r>
      <w:r w:rsidR="00D90396" w:rsidRPr="007F23AD">
        <w:rPr>
          <w:rFonts w:ascii="Calibri" w:eastAsia="DengXian" w:hAnsi="Calibri" w:cs="Calibri"/>
          <w:color w:val="000000" w:themeColor="text1"/>
          <w:sz w:val="22"/>
          <w:szCs w:val="22"/>
          <w:lang w:val="en-GB"/>
        </w:rPr>
        <w:t>Contractual risk in construction SMEs is often linked to financial risk, primarily the challenge of securing funding within contractual deadlines</w:t>
      </w:r>
      <w:r w:rsidR="00A86B03" w:rsidRPr="007F23AD">
        <w:rPr>
          <w:rFonts w:ascii="Calibri" w:eastAsia="DengXian" w:hAnsi="Calibri" w:cs="Calibri"/>
          <w:color w:val="000000" w:themeColor="text1"/>
          <w:sz w:val="22"/>
          <w:szCs w:val="22"/>
          <w:lang w:val="en-GB"/>
        </w:rPr>
        <w:t xml:space="preserve"> </w:t>
      </w:r>
      <w:r w:rsidR="00A86B03" w:rsidRPr="007F23AD">
        <w:rPr>
          <w:rFonts w:ascii="Calibri" w:eastAsia="DengXian" w:hAnsi="Calibri" w:cs="Calibri"/>
          <w:color w:val="000000" w:themeColor="text1"/>
          <w:sz w:val="22"/>
          <w:szCs w:val="22"/>
          <w:lang w:val="en-GB"/>
        </w:rPr>
        <w:fldChar w:fldCharType="begin"/>
      </w:r>
      <w:r w:rsidR="005727DB" w:rsidRPr="007F23AD">
        <w:rPr>
          <w:rFonts w:ascii="Calibri" w:eastAsia="DengXian" w:hAnsi="Calibri" w:cs="Calibri"/>
          <w:color w:val="000000" w:themeColor="text1"/>
          <w:sz w:val="22"/>
          <w:szCs w:val="22"/>
          <w:lang w:val="en-GB"/>
        </w:rPr>
        <w:instrText xml:space="preserve"> ADDIN EN.CITE &lt;EndNote&gt;&lt;Cite&gt;&lt;Author&gt;Maemura&lt;/Author&gt;&lt;Year&gt;2018&lt;/Year&gt;&lt;RecNum&gt;1457&lt;/RecNum&gt;&lt;DisplayText&gt;(Maemura et al. 2018)&lt;/DisplayText&gt;&lt;record&gt;&lt;rec-number&gt;1457&lt;/rec-number&gt;&lt;foreign-keys&gt;&lt;key app="EN" db-id="vxw0ffesn9zzt0ewpdx5r5a3fpw92aep9re9" timestamp="1701250316" guid="70d35b41-b996-430c-b83f-8abd658b36db"&gt;1457&lt;/key&gt;&lt;/foreign-keys&gt;&lt;ref-type name="Journal Article"&gt;17&lt;/ref-type&gt;&lt;contributors&gt;&lt;authors&gt;&lt;author&gt;Maemura, Yu&lt;/author&gt;&lt;author&gt;Kim, Eugene&lt;/author&gt;&lt;author&gt;Ozawa, Kazumasa&lt;/author&gt;&lt;/authors&gt;&lt;/contributors&gt;&lt;titles&gt;&lt;title&gt;Root causes of recurring contractual conflicts in international construction projects: Five case studies from Vietnam&lt;/title&gt;&lt;secondary-title&gt;Journal of Construction Engineering and Management&lt;/secondary-title&gt;&lt;/titles&gt;&lt;periodical&gt;&lt;full-title&gt;Journal of Construction Engineering and Management&lt;/full-title&gt;&lt;/periodical&gt;&lt;pages&gt;05018008&lt;/pages&gt;&lt;volume&gt;144&lt;/volume&gt;&lt;number&gt;8&lt;/number&gt;&lt;dates&gt;&lt;year&gt;2018&lt;/year&gt;&lt;/dates&gt;&lt;isbn&gt;0733-9364&lt;/isbn&gt;&lt;urls&gt;&lt;/urls&gt;&lt;/record&gt;&lt;/Cite&gt;&lt;/EndNote&gt;</w:instrText>
      </w:r>
      <w:r w:rsidR="00A86B03" w:rsidRPr="007F23AD">
        <w:rPr>
          <w:rFonts w:ascii="Calibri" w:eastAsia="DengXian" w:hAnsi="Calibri" w:cs="Calibri"/>
          <w:color w:val="000000" w:themeColor="text1"/>
          <w:sz w:val="22"/>
          <w:szCs w:val="22"/>
          <w:lang w:val="en-GB"/>
        </w:rPr>
        <w:fldChar w:fldCharType="separate"/>
      </w:r>
      <w:r w:rsidR="00A86B03" w:rsidRPr="007F23AD">
        <w:rPr>
          <w:rFonts w:ascii="Calibri" w:eastAsia="DengXian" w:hAnsi="Calibri" w:cs="Calibri"/>
          <w:noProof/>
          <w:color w:val="000000" w:themeColor="text1"/>
          <w:sz w:val="22"/>
          <w:szCs w:val="22"/>
          <w:lang w:val="en-GB"/>
        </w:rPr>
        <w:t>(Maemura et al. 2018)</w:t>
      </w:r>
      <w:r w:rsidR="00A86B03" w:rsidRPr="007F23AD">
        <w:rPr>
          <w:rFonts w:ascii="Calibri" w:eastAsia="DengXian" w:hAnsi="Calibri" w:cs="Calibri"/>
          <w:color w:val="000000" w:themeColor="text1"/>
          <w:sz w:val="22"/>
          <w:szCs w:val="22"/>
          <w:lang w:val="en-GB"/>
        </w:rPr>
        <w:fldChar w:fldCharType="end"/>
      </w:r>
      <w:r w:rsidR="00D90396" w:rsidRPr="007F23AD">
        <w:rPr>
          <w:rFonts w:ascii="Calibri" w:eastAsia="DengXian" w:hAnsi="Calibri" w:cs="Calibri"/>
          <w:color w:val="000000" w:themeColor="text1"/>
          <w:sz w:val="22"/>
          <w:szCs w:val="22"/>
          <w:lang w:val="en-GB"/>
        </w:rPr>
        <w:t>. Current research shows a gap in a systematic review of these financial risks in the construction SME sector</w:t>
      </w:r>
      <w:r w:rsidR="009228C5" w:rsidRPr="007F23AD">
        <w:rPr>
          <w:rFonts w:ascii="Calibri" w:eastAsia="DengXian" w:hAnsi="Calibri" w:cs="Calibri"/>
          <w:color w:val="000000" w:themeColor="text1"/>
          <w:sz w:val="22"/>
          <w:szCs w:val="22"/>
          <w:lang w:val="en-GB"/>
        </w:rPr>
        <w:t xml:space="preserve"> </w:t>
      </w:r>
      <w:r w:rsidR="009228C5" w:rsidRPr="007F23AD">
        <w:rPr>
          <w:rFonts w:ascii="Calibri" w:eastAsia="DengXian" w:hAnsi="Calibri" w:cs="Calibri"/>
          <w:b/>
          <w:bCs/>
          <w:color w:val="000000" w:themeColor="text1"/>
          <w:sz w:val="22"/>
          <w:szCs w:val="22"/>
        </w:rPr>
        <w:t>(Gap 5)</w:t>
      </w:r>
      <w:r w:rsidR="00D90396" w:rsidRPr="007F23AD">
        <w:rPr>
          <w:rFonts w:ascii="Calibri" w:eastAsia="DengXian" w:hAnsi="Calibri" w:cs="Calibri" w:hint="eastAsia"/>
          <w:color w:val="000000" w:themeColor="text1"/>
          <w:sz w:val="22"/>
          <w:szCs w:val="22"/>
          <w:lang w:val="en-GB"/>
        </w:rPr>
        <w:t>.</w:t>
      </w:r>
    </w:p>
    <w:p w14:paraId="54F41C70" w14:textId="77777777" w:rsidR="00405246" w:rsidRPr="007F23AD" w:rsidRDefault="00405246" w:rsidP="00CB4F3C">
      <w:pPr>
        <w:spacing w:line="480" w:lineRule="auto"/>
        <w:jc w:val="both"/>
        <w:rPr>
          <w:rFonts w:ascii="Calibri" w:eastAsia="DengXian" w:hAnsi="Calibri" w:cs="Calibri"/>
          <w:color w:val="000000" w:themeColor="text1"/>
          <w:sz w:val="22"/>
          <w:szCs w:val="22"/>
          <w:highlight w:val="yellow"/>
        </w:rPr>
      </w:pPr>
    </w:p>
    <w:p w14:paraId="5BDFEB90" w14:textId="5E227D77" w:rsidR="006B7C14" w:rsidRPr="007F23AD" w:rsidRDefault="001E55D1" w:rsidP="007C675E">
      <w:pPr>
        <w:spacing w:line="480" w:lineRule="auto"/>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t>S</w:t>
      </w:r>
      <w:r w:rsidR="006B7C14" w:rsidRPr="007F23AD">
        <w:rPr>
          <w:rFonts w:ascii="Calibri" w:eastAsia="DengXian" w:hAnsi="Calibri" w:cs="Calibri"/>
          <w:i/>
          <w:iCs/>
          <w:color w:val="000000" w:themeColor="text1"/>
          <w:sz w:val="22"/>
          <w:szCs w:val="22"/>
          <w:lang w:val="en-GB"/>
        </w:rPr>
        <w:t>trategy</w:t>
      </w:r>
      <w:r w:rsidR="007F7EF2" w:rsidRPr="007F23AD">
        <w:rPr>
          <w:rFonts w:ascii="Calibri" w:eastAsia="DengXian" w:hAnsi="Calibri" w:cs="Calibri"/>
          <w:i/>
          <w:iCs/>
          <w:color w:val="000000" w:themeColor="text1"/>
          <w:sz w:val="22"/>
          <w:szCs w:val="22"/>
          <w:lang w:val="en-GB"/>
        </w:rPr>
        <w:t xml:space="preserve"> risk</w:t>
      </w:r>
    </w:p>
    <w:p w14:paraId="4269C683" w14:textId="0AC8200E" w:rsidR="00405246" w:rsidRPr="007F23AD" w:rsidRDefault="001E55D1" w:rsidP="001E55D1">
      <w:pPr>
        <w:spacing w:line="480" w:lineRule="auto"/>
        <w:jc w:val="both"/>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rPr>
        <w:t>Supply chain strategy risk is a comprehensive topic that encompasses subsidiary themes</w:t>
      </w:r>
      <w:r w:rsidR="004D5605" w:rsidRPr="007F23AD">
        <w:rPr>
          <w:rFonts w:ascii="Calibri" w:eastAsia="DengXian" w:hAnsi="Calibri" w:cs="Calibri"/>
          <w:color w:val="000000" w:themeColor="text1"/>
          <w:sz w:val="22"/>
          <w:szCs w:val="22"/>
        </w:rPr>
        <w:t xml:space="preserve">. This study </w:t>
      </w:r>
      <w:r w:rsidR="00FB097C" w:rsidRPr="007F23AD">
        <w:rPr>
          <w:rFonts w:ascii="Calibri" w:eastAsia="DengXian" w:hAnsi="Calibri" w:cs="Calibri"/>
          <w:color w:val="000000" w:themeColor="text1"/>
          <w:sz w:val="22"/>
          <w:szCs w:val="22"/>
        </w:rPr>
        <w:t>focusses</w:t>
      </w:r>
      <w:r w:rsidR="002B3720" w:rsidRPr="007F23AD">
        <w:rPr>
          <w:rFonts w:ascii="Calibri" w:eastAsia="DengXian" w:hAnsi="Calibri" w:cs="Calibri"/>
          <w:color w:val="000000" w:themeColor="text1"/>
          <w:sz w:val="22"/>
          <w:szCs w:val="22"/>
        </w:rPr>
        <w:t xml:space="preserve"> on</w:t>
      </w:r>
      <w:r w:rsidRPr="007F23AD">
        <w:rPr>
          <w:rFonts w:ascii="Calibri" w:eastAsia="DengXian" w:hAnsi="Calibri" w:cs="Calibri"/>
          <w:color w:val="000000" w:themeColor="text1"/>
          <w:sz w:val="22"/>
          <w:szCs w:val="22"/>
        </w:rPr>
        <w:t xml:space="preserve"> the relationship between the characteristics of construction SMEs and their competitive strategies. The strategic risks in construction SME supply chains are commonly linked to their rudimentary business practices and lack of robust organizational frameworks, a direct consequence of their competitive approaches </w:t>
      </w:r>
      <w:r w:rsidR="006F62C4" w:rsidRPr="007F23AD">
        <w:rPr>
          <w:rFonts w:ascii="Calibri" w:eastAsia="DengXian" w:hAnsi="Calibri" w:cs="Calibri"/>
          <w:color w:val="000000" w:themeColor="text1"/>
          <w:sz w:val="22"/>
          <w:szCs w:val="22"/>
          <w:lang w:val="en-GB"/>
        </w:rPr>
        <w:fldChar w:fldCharType="begin"/>
      </w:r>
      <w:r w:rsidR="00922C2B" w:rsidRPr="007F23AD">
        <w:rPr>
          <w:rFonts w:ascii="Calibri" w:eastAsia="DengXian" w:hAnsi="Calibri" w:cs="Calibri"/>
          <w:color w:val="000000" w:themeColor="text1"/>
          <w:sz w:val="22"/>
          <w:szCs w:val="22"/>
          <w:lang w:val="en-GB"/>
        </w:rPr>
        <w:instrText xml:space="preserve"> ADDIN EN.CITE &lt;EndNote&gt;&lt;Cite&gt;&lt;Author&gt;Parnell&lt;/Author&gt;&lt;Year&gt;2015&lt;/Year&gt;&lt;RecNum&gt;661&lt;/RecNum&gt;&lt;IDText&gt;Competitive strategy, capabilities and uncertainty in small and medium sized enterprises (SMEs) in China and the United States&lt;/IDText&gt;&lt;DisplayText&gt;(Parnell et al. 2015)&lt;/DisplayText&gt;&lt;record&gt;&lt;rec-number&gt;661&lt;/rec-number&gt;&lt;foreign-keys&gt;&lt;key app="EN" db-id="vxw0ffesn9zzt0ewpdx5r5a3fpw92aep9re9" timestamp="1683538057" guid="f16c4baa-2c82-4296-9437-61d4d66efc31"&gt;661&lt;/key&gt;&lt;/foreign-keys&gt;&lt;ref-type name="Journal Article"&gt;17&lt;/ref-type&gt;&lt;contributors&gt;&lt;authors&gt;&lt;author&gt;Parnell, John A.&lt;/author&gt;&lt;author&gt;Long, Zhang&lt;/author&gt;&lt;author&gt;Lester, Don&lt;/author&gt;&lt;/authors&gt;&lt;/contributors&gt;&lt;titles&gt;&lt;title&gt;Competitive strategy, capabilities and uncertainty in small and medium sized enterprises (SMEs) in China and the United States&lt;/title&gt;&lt;secondary-title&gt;Management Decision&lt;/secondary-title&gt;&lt;/titles&gt;&lt;periodical&gt;&lt;full-title&gt;Management Decision&lt;/full-title&gt;&lt;/periodical&gt;&lt;pages&gt;402-431&lt;/pages&gt;&lt;volume&gt;53&lt;/volume&gt;&lt;number&gt;2&lt;/number&gt;&lt;dates&gt;&lt;year&gt;2015&lt;/year&gt;&lt;/dates&gt;&lt;publisher&gt;Emerald Group Publishing Limited&lt;/publisher&gt;&lt;isbn&gt;0025-1747&lt;/isbn&gt;&lt;urls&gt;&lt;related-urls&gt;&lt;url&gt;https://doi.org/10.1108/MD-04-2014-0222&lt;/url&gt;&lt;/related-urls&gt;&lt;/urls&gt;&lt;electronic-resource-num&gt;10.1108/MD-04-2014-0222&lt;/electronic-resource-num&gt;&lt;access-date&gt;2022/08/10&lt;/access-date&gt;&lt;/record&gt;&lt;/Cite&gt;&lt;/EndNote&gt;</w:instrText>
      </w:r>
      <w:r w:rsidR="006F62C4" w:rsidRPr="007F23AD">
        <w:rPr>
          <w:rFonts w:ascii="Calibri" w:eastAsia="DengXian" w:hAnsi="Calibri" w:cs="Calibri"/>
          <w:color w:val="000000" w:themeColor="text1"/>
          <w:sz w:val="22"/>
          <w:szCs w:val="22"/>
          <w:lang w:val="en-GB"/>
        </w:rPr>
        <w:fldChar w:fldCharType="separate"/>
      </w:r>
      <w:r w:rsidR="006F62C4" w:rsidRPr="007F23AD">
        <w:rPr>
          <w:rFonts w:ascii="Calibri" w:eastAsia="DengXian" w:hAnsi="Calibri" w:cs="Calibri"/>
          <w:noProof/>
          <w:color w:val="000000" w:themeColor="text1"/>
          <w:sz w:val="22"/>
          <w:szCs w:val="22"/>
          <w:lang w:val="en-GB"/>
        </w:rPr>
        <w:t>(Parnell et al. 2015)</w:t>
      </w:r>
      <w:r w:rsidR="006F62C4"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rPr>
        <w:t xml:space="preserve">. A notable problem is the tendency of construction SMEs to treat partnerships as ephemeral engagements, which often leads to overlooking sustainable practices and contractual </w:t>
      </w:r>
      <w:r w:rsidR="00D95995" w:rsidRPr="007F23AD">
        <w:rPr>
          <w:rFonts w:ascii="Calibri" w:eastAsia="DengXian" w:hAnsi="Calibri" w:cs="Calibri"/>
          <w:color w:val="000000" w:themeColor="text1"/>
          <w:sz w:val="22"/>
          <w:szCs w:val="22"/>
        </w:rPr>
        <w:t>awareness</w:t>
      </w:r>
      <w:r w:rsidRPr="007F23AD">
        <w:rPr>
          <w:rFonts w:ascii="Calibri" w:eastAsia="DengXian" w:hAnsi="Calibri" w:cs="Calibri"/>
          <w:color w:val="000000" w:themeColor="text1"/>
          <w:sz w:val="22"/>
          <w:szCs w:val="22"/>
        </w:rPr>
        <w:t xml:space="preserve">, thereby introducing </w:t>
      </w:r>
      <w:r w:rsidR="00915405" w:rsidRPr="007F23AD">
        <w:rPr>
          <w:rFonts w:ascii="Calibri" w:eastAsia="DengXian" w:hAnsi="Calibri" w:cs="Calibri"/>
          <w:color w:val="000000" w:themeColor="text1"/>
          <w:sz w:val="22"/>
          <w:szCs w:val="22"/>
        </w:rPr>
        <w:t>secondary</w:t>
      </w:r>
      <w:r w:rsidRPr="007F23AD">
        <w:rPr>
          <w:rFonts w:ascii="Calibri" w:eastAsia="DengXian" w:hAnsi="Calibri" w:cs="Calibri"/>
          <w:color w:val="000000" w:themeColor="text1"/>
          <w:sz w:val="22"/>
          <w:szCs w:val="22"/>
        </w:rPr>
        <w:t xml:space="preserve"> risks.</w:t>
      </w:r>
    </w:p>
    <w:p w14:paraId="1F1C9E83" w14:textId="77777777" w:rsidR="008478F7" w:rsidRPr="007F23AD" w:rsidRDefault="008478F7" w:rsidP="001E55D1">
      <w:pPr>
        <w:spacing w:line="480" w:lineRule="auto"/>
        <w:jc w:val="both"/>
        <w:rPr>
          <w:rFonts w:ascii="Calibri" w:eastAsia="DengXian" w:hAnsi="Calibri" w:cs="Calibri"/>
          <w:color w:val="000000" w:themeColor="text1"/>
          <w:sz w:val="22"/>
          <w:szCs w:val="22"/>
        </w:rPr>
      </w:pPr>
    </w:p>
    <w:p w14:paraId="75E89B78" w14:textId="0685E0FE" w:rsidR="003905E3" w:rsidRPr="007F23AD" w:rsidRDefault="001B0F3F" w:rsidP="007C675E">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t>Stakeholders risk</w:t>
      </w:r>
    </w:p>
    <w:p w14:paraId="3640B97C" w14:textId="5EA37414" w:rsidR="00DE02C4" w:rsidRPr="007F23AD" w:rsidRDefault="00F5527D" w:rsidP="00C3226C">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Supply chain stakeholder management as part of supply chain management is the process of endeavouring to manage stakeholder expectations and include stakeholders in actual </w:t>
      </w:r>
      <w:r w:rsidRPr="007F23AD">
        <w:rPr>
          <w:rFonts w:ascii="Calibri" w:eastAsia="DengXian" w:hAnsi="Calibri" w:cs="Calibri"/>
          <w:color w:val="000000" w:themeColor="text1"/>
          <w:sz w:val="22"/>
          <w:szCs w:val="22"/>
          <w:lang w:val="en-GB"/>
        </w:rPr>
        <w:lastRenderedPageBreak/>
        <w:t>activities</w:t>
      </w:r>
      <w:r w:rsidR="00596345" w:rsidRPr="007F23AD">
        <w:rPr>
          <w:rFonts w:ascii="Calibri" w:eastAsia="DengXian" w:hAnsi="Calibri" w:cs="Calibri"/>
          <w:color w:val="000000" w:themeColor="text1"/>
          <w:sz w:val="22"/>
          <w:szCs w:val="22"/>
          <w:lang w:val="en-GB"/>
        </w:rPr>
        <w:t xml:space="preserve"> </w:t>
      </w:r>
      <w:r w:rsidR="0014537C" w:rsidRPr="007F23AD">
        <w:rPr>
          <w:rFonts w:ascii="Calibri" w:eastAsia="DengXian" w:hAnsi="Calibri" w:cs="Calibri"/>
          <w:color w:val="000000" w:themeColor="text1"/>
          <w:sz w:val="22"/>
          <w:szCs w:val="22"/>
          <w:lang w:val="en-GB"/>
        </w:rPr>
        <w:fldChar w:fldCharType="begin">
          <w:fldData xml:space="preserve">PEVuZE5vdGU+PENpdGU+PEF1dGhvcj5PbGFuZGVyPC9BdXRob3I+PFllYXI+MjAwNTwvWWVhcj48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</w:fldData>
        </w:fldChar>
      </w:r>
      <w:r w:rsidR="00922C2B" w:rsidRPr="007F23AD">
        <w:rPr>
          <w:rFonts w:ascii="Calibri" w:eastAsia="DengXian" w:hAnsi="Calibri" w:cs="Calibri"/>
          <w:color w:val="000000" w:themeColor="text1"/>
          <w:sz w:val="22"/>
          <w:szCs w:val="22"/>
          <w:lang w:val="en-GB"/>
        </w:rPr>
        <w:instrText xml:space="preserve"> ADDIN EN.CITE </w:instrText>
      </w:r>
      <w:r w:rsidR="00922C2B" w:rsidRPr="007F23AD">
        <w:rPr>
          <w:rFonts w:ascii="Calibri" w:eastAsia="DengXian" w:hAnsi="Calibri" w:cs="Calibri"/>
          <w:color w:val="000000" w:themeColor="text1"/>
          <w:sz w:val="22"/>
          <w:szCs w:val="22"/>
          <w:lang w:val="en-GB"/>
        </w:rPr>
        <w:fldChar w:fldCharType="begin">
          <w:fldData xml:space="preserve">PEVuZE5vdGU+PENpdGU+PEF1dGhvcj5PbGFuZGVyPC9BdXRob3I+PFllYXI+MjAwNTwvWWVhcj48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</w:fldData>
        </w:fldChar>
      </w:r>
      <w:r w:rsidR="00922C2B" w:rsidRPr="007F23AD">
        <w:rPr>
          <w:rFonts w:ascii="Calibri" w:eastAsia="DengXian" w:hAnsi="Calibri" w:cs="Calibri"/>
          <w:color w:val="000000" w:themeColor="text1"/>
          <w:sz w:val="22"/>
          <w:szCs w:val="22"/>
          <w:lang w:val="en-GB"/>
        </w:rPr>
        <w:instrText xml:space="preserve"> ADDIN EN.CITE.DATA </w:instrText>
      </w:r>
      <w:r w:rsidR="00922C2B" w:rsidRPr="007F23AD">
        <w:rPr>
          <w:rFonts w:ascii="Calibri" w:eastAsia="DengXian" w:hAnsi="Calibri" w:cs="Calibri"/>
          <w:color w:val="000000" w:themeColor="text1"/>
          <w:sz w:val="22"/>
          <w:szCs w:val="22"/>
          <w:lang w:val="en-GB"/>
        </w:rPr>
      </w:r>
      <w:r w:rsidR="00922C2B" w:rsidRPr="007F23AD">
        <w:rPr>
          <w:rFonts w:ascii="Calibri" w:eastAsia="DengXian" w:hAnsi="Calibri" w:cs="Calibri"/>
          <w:color w:val="000000" w:themeColor="text1"/>
          <w:sz w:val="22"/>
          <w:szCs w:val="22"/>
          <w:lang w:val="en-GB"/>
        </w:rPr>
        <w:fldChar w:fldCharType="end"/>
      </w:r>
      <w:r w:rsidR="0014537C" w:rsidRPr="007F23AD">
        <w:rPr>
          <w:rFonts w:ascii="Calibri" w:eastAsia="DengXian" w:hAnsi="Calibri" w:cs="Calibri"/>
          <w:color w:val="000000" w:themeColor="text1"/>
          <w:sz w:val="22"/>
          <w:szCs w:val="22"/>
          <w:lang w:val="en-GB"/>
        </w:rPr>
      </w:r>
      <w:r w:rsidR="0014537C" w:rsidRPr="007F23AD">
        <w:rPr>
          <w:rFonts w:ascii="Calibri" w:eastAsia="DengXian" w:hAnsi="Calibri" w:cs="Calibri"/>
          <w:color w:val="000000" w:themeColor="text1"/>
          <w:sz w:val="22"/>
          <w:szCs w:val="22"/>
          <w:lang w:val="en-GB"/>
        </w:rPr>
        <w:fldChar w:fldCharType="separate"/>
      </w:r>
      <w:r w:rsidR="0014537C" w:rsidRPr="007F23AD">
        <w:rPr>
          <w:rFonts w:ascii="Calibri" w:eastAsia="DengXian" w:hAnsi="Calibri" w:cs="Calibri"/>
          <w:noProof/>
          <w:color w:val="000000" w:themeColor="text1"/>
          <w:sz w:val="22"/>
          <w:szCs w:val="22"/>
          <w:lang w:val="en-GB"/>
        </w:rPr>
        <w:t>(Olander and Landin 2005; Yang and Shen 2015)</w:t>
      </w:r>
      <w:r w:rsidR="0014537C"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w:t>
      </w:r>
      <w:r w:rsidR="00996CD4" w:rsidRPr="007F23AD">
        <w:rPr>
          <w:rFonts w:ascii="Calibri" w:eastAsia="DengXian" w:hAnsi="Calibri" w:cs="Calibri"/>
          <w:color w:val="000000" w:themeColor="text1"/>
          <w:sz w:val="22"/>
          <w:szCs w:val="22"/>
          <w:lang w:val="en-GB"/>
        </w:rPr>
        <w:t>In</w:t>
      </w:r>
      <w:r w:rsidRPr="007F23AD">
        <w:rPr>
          <w:rFonts w:ascii="Calibri" w:eastAsia="DengXian" w:hAnsi="Calibri" w:cs="Calibri"/>
          <w:color w:val="000000" w:themeColor="text1"/>
          <w:sz w:val="22"/>
          <w:szCs w:val="22"/>
          <w:lang w:val="en-GB"/>
        </w:rPr>
        <w:t xml:space="preserve"> </w:t>
      </w:r>
      <w:r w:rsidR="00787645" w:rsidRPr="007F23AD">
        <w:rPr>
          <w:rFonts w:ascii="Calibri" w:eastAsia="DengXian" w:hAnsi="Calibri" w:cs="Calibri"/>
          <w:color w:val="000000" w:themeColor="text1"/>
          <w:sz w:val="22"/>
          <w:szCs w:val="22"/>
          <w:lang w:val="en-GB"/>
        </w:rPr>
        <w:t>practice</w:t>
      </w:r>
      <w:r w:rsidRPr="007F23AD">
        <w:rPr>
          <w:rFonts w:ascii="Calibri" w:eastAsia="DengXian" w:hAnsi="Calibri" w:cs="Calibri"/>
          <w:color w:val="000000" w:themeColor="text1"/>
          <w:sz w:val="22"/>
          <w:szCs w:val="22"/>
          <w:lang w:val="en-GB"/>
        </w:rPr>
        <w:t xml:space="preserve">, key suppliers are often overlooked in commercial circumstances, leading to delays in project schedules or the failure to identify all relevant parties across different regions. Neglecting stakeholders can also result in legal and cultural risks </w:t>
      </w:r>
      <w:r w:rsidR="0014537C"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&lt;EndNote&gt;&lt;Cite&gt;&lt;Author&gt;Aladag&lt;/Author&gt;&lt;Year&gt;2020&lt;/Year&gt;&lt;RecNum&gt;0&lt;/RecNum&gt;&lt;IDText&gt;The Effect of Stakeholder-Associated Risks in Mega-Engineering Projects: A Case Study of a PPP Airport Project&lt;/IDText&gt;&lt;DisplayText&gt;(Aladag and Isik 2020)&lt;/DisplayText&gt;&lt;record&gt;&lt;rec-number&gt;67&lt;/rec-number&gt;&lt;foreign-keys&gt;&lt;key app="EN" db-id="pzdwvt0zxepzzqe2zdmp5zajvd0tv5sdtt2w" timestamp="1701253332"&gt;67&lt;/key&gt;&lt;/foreign-keys&gt;&lt;ref-type name="Journal Article"&gt;17&lt;/ref-type&gt;&lt;contributors&gt;&lt;authors&gt;&lt;author&gt;Aladag, Hande&lt;/author&gt;&lt;author&gt;Isik, Zeynep&lt;/author&gt;&lt;/authors&gt;&lt;/contributors&gt;&lt;titles&gt;&lt;title&gt;The Effect of Stakeholder-Associated Risks in Mega-Engineering Projects: A Case Study of a PPP Airport Project&lt;/title&gt;&lt;secondary-title&gt;IEEE Transactions on Engineering Management&lt;/secondary-title&gt;&lt;/titles&gt;&lt;periodical&gt;&lt;full-title&gt;IEEE Transactions on Engineering Management&lt;/full-title&gt;&lt;/periodical&gt;&lt;pages&gt;174-186&lt;/pages&gt;&lt;volume&gt;67&lt;/volume&gt;&lt;number&gt;1&lt;/number&gt;&lt;section&gt;174&lt;/section&gt;&lt;dates&gt;&lt;year&gt;2020&lt;/year&gt;&lt;/dates&gt;&lt;isbn&gt;0018-9391&amp;#xD;1558-0040&lt;/isbn&gt;&lt;work-type&gt;Article&lt;/work-type&gt;&lt;urls&gt;&lt;related-urls&gt;&lt;url&gt;https://www.scopus.com/inward/record.uri?eid=2-s2.0-85053145870&amp;amp;doi=10.1109%2fTEM.2018.2866269&amp;amp;partnerID=40&amp;amp;md5=e4034b93d54cf27ff377971616bc7504&lt;/url&gt;&lt;/related-urls&gt;&lt;/urls&gt;&lt;custom7&gt;8457281&lt;/custom7&gt;&lt;electronic-resource-num&gt;10.1109/tem.2018.2866269&lt;/electronic-resource-num&gt;&lt;remote-database-name&gt;Scopus&lt;/remote-database-name&gt;&lt;/record&gt;&lt;/Cite&gt;&lt;/EndNote&gt;</w:instrText>
      </w:r>
      <w:r w:rsidR="0014537C" w:rsidRPr="007F23AD">
        <w:rPr>
          <w:rFonts w:ascii="Calibri" w:eastAsia="DengXian" w:hAnsi="Calibri" w:cs="Calibri"/>
          <w:color w:val="000000" w:themeColor="text1"/>
          <w:sz w:val="22"/>
          <w:szCs w:val="22"/>
          <w:lang w:val="en-GB"/>
        </w:rPr>
        <w:fldChar w:fldCharType="separate"/>
      </w:r>
      <w:r w:rsidR="0014537C" w:rsidRPr="007F23AD">
        <w:rPr>
          <w:rFonts w:ascii="Calibri" w:eastAsia="DengXian" w:hAnsi="Calibri" w:cs="Calibri"/>
          <w:noProof/>
          <w:color w:val="000000" w:themeColor="text1"/>
          <w:sz w:val="22"/>
          <w:szCs w:val="22"/>
          <w:lang w:val="en-GB"/>
        </w:rPr>
        <w:t>(Aladag and Isik 2020)</w:t>
      </w:r>
      <w:r w:rsidR="0014537C"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However, in SMEs, stakeholder issues are often unforeseen due to the limited resources available. As a result, construction SMEs may struggle to meet the diverse interests of stakeholders </w:t>
      </w:r>
      <w:r w:rsidR="004C192F"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&lt;EndNote&gt;&lt;Cite&gt;&lt;Author&gt;Oppong&lt;/Author&gt;&lt;Year&gt;2017&lt;/Year&gt;&lt;RecNum&gt;0&lt;/RecNum&gt;&lt;IDText&gt;A review of stakeholder management performance attributes in construction projects&lt;/IDText&gt;&lt;DisplayText&gt;(Oppong et al. 2017)&lt;/DisplayText&gt;&lt;record&gt;&lt;rec-number&gt;66&lt;/rec-number&gt;&lt;foreign-keys&gt;&lt;key app="EN" db-id="pzdwvt0zxepzzqe2zdmp5zajvd0tv5sdtt2w" timestamp="1701253332"&gt;66&lt;/key&gt;&lt;/foreign-keys&gt;&lt;ref-type name="Journal Article"&gt;17&lt;/ref-type&gt;&lt;contributors&gt;&lt;authors&gt;&lt;author&gt;Oppong, Goodenough D.&lt;/author&gt;&lt;author&gt;Chan, Albert P. C.&lt;/author&gt;&lt;author&gt;Dansoh, Ayirebi&lt;/author&gt;&lt;/authors&gt;&lt;/contributors&gt;&lt;titles&gt;&lt;title&gt;A review of stakeholder management performance attributes in construction projects&lt;/title&gt;&lt;secondary-title&gt;International Journal of Project Management&lt;/secondary-title&gt;&lt;/titles&gt;&lt;periodical&gt;&lt;full-title&gt;International Journal of Project Management&lt;/full-title&gt;&lt;/periodical&gt;&lt;pages&gt;1037-1051&lt;/pages&gt;&lt;volume&gt;35&lt;/volume&gt;&lt;number&gt;6&lt;/number&gt;&lt;section&gt;1037&lt;/section&gt;&lt;dates&gt;&lt;year&gt;2017&lt;/year&gt;&lt;/dates&gt;&lt;isbn&gt;02637863&lt;/isbn&gt;&lt;work-type&gt;Article&lt;/work-type&gt;&lt;urls&gt;&lt;related-urls&gt;&lt;url&gt;https://www.scopus.com/inward/record.uri?eid=2-s2.0-85019618685&amp;amp;doi=10.1016%2fj.ijproman.2017.04.015&amp;amp;partnerID=40&amp;amp;md5=9eb6e0e21fed1255ef5c96f21ba6a7c3&lt;/url&gt;&lt;/related-urls&gt;&lt;/urls&gt;&lt;electronic-resource-num&gt;10.1016/j.ijproman.2017.04.015&lt;/electronic-resource-num&gt;&lt;remote-database-name&gt;Scopus&lt;/remote-database-name&gt;&lt;/record&gt;&lt;/Cite&gt;&lt;/EndNote&gt;</w:instrText>
      </w:r>
      <w:r w:rsidR="004C192F" w:rsidRPr="007F23AD">
        <w:rPr>
          <w:rFonts w:ascii="Calibri" w:eastAsia="DengXian" w:hAnsi="Calibri" w:cs="Calibri"/>
          <w:color w:val="000000" w:themeColor="text1"/>
          <w:sz w:val="22"/>
          <w:szCs w:val="22"/>
          <w:lang w:val="en-GB"/>
        </w:rPr>
        <w:fldChar w:fldCharType="separate"/>
      </w:r>
      <w:r w:rsidR="004C192F" w:rsidRPr="007F23AD">
        <w:rPr>
          <w:rFonts w:ascii="Calibri" w:eastAsia="DengXian" w:hAnsi="Calibri" w:cs="Calibri"/>
          <w:noProof/>
          <w:color w:val="000000" w:themeColor="text1"/>
          <w:sz w:val="22"/>
          <w:szCs w:val="22"/>
          <w:lang w:val="en-GB"/>
        </w:rPr>
        <w:t>(Oppong et al. 2017)</w:t>
      </w:r>
      <w:r w:rsidR="004C192F"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In addition, SMEs may lack the necessary information to identify the parties involved in subcontracting operations.</w:t>
      </w:r>
    </w:p>
    <w:p w14:paraId="6B6D3931" w14:textId="77777777" w:rsidR="001865E4" w:rsidRPr="007F23AD" w:rsidRDefault="001865E4" w:rsidP="00C3226C">
      <w:pPr>
        <w:spacing w:line="480" w:lineRule="auto"/>
        <w:jc w:val="both"/>
        <w:rPr>
          <w:rFonts w:ascii="Calibri" w:eastAsia="DengXian" w:hAnsi="Calibri" w:cs="Calibri"/>
          <w:color w:val="000000" w:themeColor="text1"/>
          <w:sz w:val="22"/>
          <w:szCs w:val="22"/>
          <w:lang w:val="en-GB"/>
        </w:rPr>
      </w:pPr>
    </w:p>
    <w:p w14:paraId="4840F376" w14:textId="3C6FAB51" w:rsidR="00A50E3A" w:rsidRPr="007F23AD" w:rsidRDefault="00A50E3A" w:rsidP="007C675E">
      <w:pPr>
        <w:pStyle w:val="a3"/>
        <w:numPr>
          <w:ilvl w:val="2"/>
          <w:numId w:val="2"/>
        </w:numPr>
        <w:spacing w:line="480" w:lineRule="auto"/>
        <w:rPr>
          <w:rFonts w:ascii="Calibri" w:hAnsi="Calibri" w:cs="Calibri"/>
          <w:i/>
          <w:iCs/>
          <w:color w:val="000000" w:themeColor="text1"/>
          <w:sz w:val="22"/>
          <w:szCs w:val="22"/>
          <w:lang w:val="en-GB"/>
        </w:rPr>
      </w:pPr>
      <w:r w:rsidRPr="007F23AD">
        <w:rPr>
          <w:rFonts w:ascii="Calibri" w:eastAsia="DengXian" w:hAnsi="Calibri" w:cs="Calibri"/>
          <w:b/>
          <w:bCs/>
          <w:i/>
          <w:iCs/>
          <w:color w:val="000000" w:themeColor="text1"/>
          <w:sz w:val="22"/>
          <w:szCs w:val="22"/>
          <w:lang w:val="en-GB"/>
        </w:rPr>
        <w:t xml:space="preserve">Risks related to operation and </w:t>
      </w:r>
      <w:r w:rsidR="00E4737D" w:rsidRPr="007F23AD">
        <w:rPr>
          <w:rFonts w:ascii="Calibri" w:eastAsia="DengXian" w:hAnsi="Calibri" w:cs="Calibri"/>
          <w:b/>
          <w:bCs/>
          <w:i/>
          <w:iCs/>
          <w:color w:val="000000" w:themeColor="text1"/>
          <w:sz w:val="22"/>
          <w:szCs w:val="22"/>
          <w:lang w:val="en-GB"/>
        </w:rPr>
        <w:t>process</w:t>
      </w:r>
      <w:r w:rsidRPr="007F23AD">
        <w:rPr>
          <w:rFonts w:ascii="Calibri" w:eastAsia="DengXian" w:hAnsi="Calibri" w:cs="Calibri"/>
          <w:b/>
          <w:bCs/>
          <w:i/>
          <w:iCs/>
          <w:color w:val="000000" w:themeColor="text1"/>
          <w:sz w:val="22"/>
          <w:szCs w:val="22"/>
          <w:lang w:val="en-GB"/>
        </w:rPr>
        <w:t>.</w:t>
      </w:r>
    </w:p>
    <w:p w14:paraId="3DA00DC0" w14:textId="016347BD" w:rsidR="0097397E" w:rsidRPr="007F23AD" w:rsidRDefault="00847A07" w:rsidP="00342B6D">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The second </w:t>
      </w:r>
      <w:r w:rsidR="00932FB1" w:rsidRPr="007F23AD">
        <w:rPr>
          <w:rFonts w:ascii="Calibri" w:hAnsi="Calibri" w:cs="Calibri"/>
          <w:color w:val="000000" w:themeColor="text1"/>
          <w:sz w:val="22"/>
          <w:szCs w:val="22"/>
          <w:lang w:val="en-GB"/>
        </w:rPr>
        <w:t>theme</w:t>
      </w:r>
      <w:r w:rsidRPr="007F23AD">
        <w:rPr>
          <w:rFonts w:ascii="Calibri" w:hAnsi="Calibri" w:cs="Calibri"/>
          <w:color w:val="000000" w:themeColor="text1"/>
          <w:sz w:val="22"/>
          <w:szCs w:val="22"/>
          <w:lang w:val="en-GB"/>
        </w:rPr>
        <w:t xml:space="preserve"> of the construction SME study pertains to the impact of operational and process risks on the supply chain. This theme encompasses safety risks</w:t>
      </w:r>
      <w:r w:rsidR="00C32875" w:rsidRPr="007F23AD">
        <w:rPr>
          <w:rFonts w:ascii="Calibri" w:hAnsi="Calibri" w:cs="Calibri"/>
          <w:color w:val="000000" w:themeColor="text1"/>
          <w:sz w:val="22"/>
          <w:szCs w:val="22"/>
        </w:rPr>
        <w:t xml:space="preserve"> and </w:t>
      </w:r>
      <w:r w:rsidR="00B62CED" w:rsidRPr="007F23AD">
        <w:rPr>
          <w:rFonts w:ascii="Calibri" w:hAnsi="Calibri" w:cs="Calibri" w:hint="eastAsia"/>
          <w:color w:val="000000" w:themeColor="text1"/>
          <w:sz w:val="22"/>
          <w:szCs w:val="22"/>
          <w:lang w:val="en-GB"/>
        </w:rPr>
        <w:t>i</w:t>
      </w:r>
      <w:r w:rsidR="00B62CED" w:rsidRPr="007F23AD">
        <w:rPr>
          <w:rFonts w:ascii="Calibri" w:hAnsi="Calibri" w:cs="Calibri"/>
          <w:color w:val="000000" w:themeColor="text1"/>
          <w:sz w:val="22"/>
          <w:szCs w:val="22"/>
          <w:lang w:val="en-GB"/>
        </w:rPr>
        <w:t>mplementation</w:t>
      </w:r>
      <w:r w:rsidRPr="007F23AD">
        <w:rPr>
          <w:rFonts w:ascii="Calibri" w:hAnsi="Calibri" w:cs="Calibri"/>
          <w:color w:val="000000" w:themeColor="text1"/>
          <w:sz w:val="22"/>
          <w:szCs w:val="22"/>
          <w:lang w:val="en-GB"/>
        </w:rPr>
        <w:t xml:space="preserve"> risks. The classification of this group is grounded in the understanding that operational and process risks in the supply chain may be a source of other risks and that these risks are often </w:t>
      </w:r>
      <w:r w:rsidR="007746EC" w:rsidRPr="007F23AD">
        <w:rPr>
          <w:rFonts w:ascii="Calibri" w:hAnsi="Calibri" w:cs="Calibri"/>
          <w:color w:val="000000" w:themeColor="text1"/>
          <w:sz w:val="22"/>
          <w:szCs w:val="22"/>
          <w:lang w:val="en-GB"/>
        </w:rPr>
        <w:t>hidden</w:t>
      </w:r>
      <w:r w:rsidRPr="007F23AD">
        <w:rPr>
          <w:rFonts w:ascii="Calibri" w:hAnsi="Calibri" w:cs="Calibri"/>
          <w:color w:val="000000" w:themeColor="text1"/>
          <w:sz w:val="22"/>
          <w:szCs w:val="22"/>
          <w:lang w:val="en-GB"/>
        </w:rPr>
        <w:t xml:space="preserve"> within the daily activities of construction SMEs</w:t>
      </w:r>
      <w:r w:rsidR="000B6FAB" w:rsidRPr="007F23AD">
        <w:rPr>
          <w:rFonts w:ascii="Calibri" w:hAnsi="Calibri" w:cs="Calibri"/>
          <w:color w:val="000000" w:themeColor="text1"/>
          <w:sz w:val="22"/>
          <w:szCs w:val="22"/>
          <w:lang w:val="en-GB"/>
        </w:rPr>
        <w:t>.</w:t>
      </w:r>
    </w:p>
    <w:p w14:paraId="30D61A1E" w14:textId="77777777" w:rsidR="0002476E" w:rsidRPr="007F23AD" w:rsidRDefault="0002476E">
      <w:pPr>
        <w:rPr>
          <w:rFonts w:ascii="Calibri" w:hAnsi="Calibri" w:cs="Calibri"/>
          <w:color w:val="000000" w:themeColor="text1"/>
          <w:sz w:val="22"/>
          <w:szCs w:val="22"/>
          <w:lang w:val="en-GB"/>
        </w:rPr>
        <w:sectPr w:rsidR="0002476E" w:rsidRPr="007F23AD" w:rsidSect="002F0FBC">
          <w:pgSz w:w="11900" w:h="16840"/>
          <w:pgMar w:top="1440" w:right="1800" w:bottom="1440" w:left="1800" w:header="708" w:footer="708" w:gutter="0"/>
          <w:cols w:space="708"/>
          <w:docGrid w:linePitch="360"/>
        </w:sectPr>
      </w:pPr>
    </w:p>
    <w:p w14:paraId="5817EC4D" w14:textId="74688EB6" w:rsidR="0002476E" w:rsidRDefault="00B62063" w:rsidP="00DB476A">
      <w:pPr>
        <w:jc w:val="cente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lastRenderedPageBreak/>
        <w:t>Table IV</w:t>
      </w:r>
      <w:r w:rsidR="00DB476A" w:rsidRPr="007F23AD">
        <w:rPr>
          <w:rFonts w:ascii="Calibri" w:eastAsia="DengXian" w:hAnsi="Calibri" w:cs="Calibri"/>
          <w:color w:val="000000" w:themeColor="text1"/>
          <w:sz w:val="22"/>
          <w:szCs w:val="22"/>
          <w:lang w:val="en-GB"/>
        </w:rPr>
        <w:t>: Supply Chain Operational and Process</w:t>
      </w:r>
    </w:p>
    <w:p w14:paraId="3996E7CF" w14:textId="73449427" w:rsidR="00C010F8" w:rsidRPr="00C010F8" w:rsidRDefault="00C010F8" w:rsidP="00C010F8">
      <w:pPr>
        <w:jc w:val="center"/>
        <w:rPr>
          <w:rFonts w:ascii="Calibri" w:hAnsi="Calibri" w:cs="Calibri" w:hint="eastAsia"/>
          <w:color w:val="000000" w:themeColor="text1"/>
          <w:sz w:val="22"/>
          <w:szCs w:val="22"/>
          <w:lang w:val="en-GB"/>
        </w:rPr>
      </w:pPr>
      <w:r w:rsidRPr="003E6EF8">
        <w:rPr>
          <w:rFonts w:ascii="Calibri" w:hAnsi="Calibri" w:cs="Calibri"/>
          <w:color w:val="000000" w:themeColor="text1"/>
          <w:sz w:val="22"/>
          <w:szCs w:val="22"/>
          <w:lang w:val="en-GB"/>
        </w:rPr>
        <w:t>Source: Authors own work</w:t>
      </w:r>
    </w:p>
    <w:tbl>
      <w:tblPr>
        <w:tblpPr w:leftFromText="181" w:rightFromText="181" w:vertAnchor="text" w:horzAnchor="margin" w:tblpY="1"/>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487"/>
      </w:tblGrid>
      <w:tr w:rsidR="007F23AD" w:rsidRPr="007F23AD" w14:paraId="7249E74A" w14:textId="77777777" w:rsidTr="00834F56">
        <w:trPr>
          <w:trHeight w:val="320"/>
        </w:trPr>
        <w:tc>
          <w:tcPr>
            <w:tcW w:w="13892" w:type="dxa"/>
            <w:gridSpan w:val="2"/>
            <w:shd w:val="clear" w:color="auto" w:fill="auto"/>
            <w:noWrap/>
            <w:vAlign w:val="center"/>
            <w:hideMark/>
          </w:tcPr>
          <w:p w14:paraId="15C99AF2" w14:textId="768ACAD0" w:rsidR="00834F56" w:rsidRPr="007F23AD" w:rsidRDefault="00834F56" w:rsidP="00834F56">
            <w:pPr>
              <w:spacing w:line="480" w:lineRule="auto"/>
              <w:jc w:val="both"/>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 xml:space="preserve">Scope: </w:t>
            </w:r>
            <w:r w:rsidRPr="007F23AD">
              <w:rPr>
                <w:rFonts w:ascii="Calibri" w:eastAsia="DengXian" w:hAnsi="Calibri" w:cs="Calibri"/>
                <w:color w:val="000000" w:themeColor="text1"/>
                <w:sz w:val="22"/>
                <w:szCs w:val="22"/>
                <w:lang w:val="en-GB"/>
              </w:rPr>
              <w:t>The scope of this study encompasses various aspects of operational and process</w:t>
            </w:r>
            <w:r w:rsidRPr="007F23AD" w:rsidDel="00D81EC1">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t>risk that affect construction SMEs, including safety risk</w:t>
            </w:r>
            <w:r w:rsidR="009C65B0" w:rsidRPr="007F23AD">
              <w:rPr>
                <w:rFonts w:ascii="Calibri" w:eastAsia="DengXian" w:hAnsi="Calibri" w:cs="Calibri"/>
                <w:color w:val="000000" w:themeColor="text1"/>
                <w:sz w:val="22"/>
                <w:szCs w:val="22"/>
                <w:lang w:val="en-GB"/>
              </w:rPr>
              <w:t xml:space="preserve"> and</w:t>
            </w:r>
            <w:r w:rsidRPr="007F23AD">
              <w:rPr>
                <w:rFonts w:ascii="Calibri" w:eastAsia="DengXian" w:hAnsi="Calibri" w:cs="Calibri"/>
                <w:color w:val="000000" w:themeColor="text1"/>
                <w:sz w:val="22"/>
                <w:szCs w:val="22"/>
                <w:lang w:val="en-GB"/>
              </w:rPr>
              <w:t xml:space="preserve"> implementation</w:t>
            </w:r>
            <w:r w:rsidR="009C65B0" w:rsidRPr="007F23AD">
              <w:rPr>
                <w:rFonts w:ascii="Calibri" w:eastAsia="DengXian" w:hAnsi="Calibri" w:cs="Calibri"/>
                <w:color w:val="000000" w:themeColor="text1"/>
                <w:sz w:val="22"/>
                <w:szCs w:val="22"/>
                <w:lang w:val="en-GB"/>
              </w:rPr>
              <w:t xml:space="preserve"> risk</w:t>
            </w:r>
            <w:r w:rsidRPr="007F23AD">
              <w:rPr>
                <w:rFonts w:ascii="Calibri" w:eastAsia="DengXian" w:hAnsi="Calibri" w:cs="Calibri"/>
                <w:color w:val="000000" w:themeColor="text1"/>
                <w:sz w:val="22"/>
                <w:szCs w:val="22"/>
                <w:lang w:val="en-GB"/>
              </w:rPr>
              <w:t>.</w:t>
            </w:r>
          </w:p>
        </w:tc>
      </w:tr>
      <w:tr w:rsidR="007F23AD" w:rsidRPr="007F23AD" w14:paraId="010DE49F" w14:textId="77777777" w:rsidTr="00834F56">
        <w:trPr>
          <w:trHeight w:val="320"/>
        </w:trPr>
        <w:tc>
          <w:tcPr>
            <w:tcW w:w="2405" w:type="dxa"/>
            <w:shd w:val="clear" w:color="auto" w:fill="auto"/>
            <w:noWrap/>
            <w:vAlign w:val="center"/>
            <w:hideMark/>
          </w:tcPr>
          <w:p w14:paraId="183AF6A0" w14:textId="77777777" w:rsidR="00834F56" w:rsidRPr="007F23AD" w:rsidRDefault="00834F56" w:rsidP="00834F56">
            <w:pPr>
              <w:spacing w:line="480" w:lineRule="auto"/>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rPr>
              <w:t>R</w:t>
            </w:r>
            <w:r w:rsidRPr="007F23AD">
              <w:rPr>
                <w:rFonts w:ascii="Calibri" w:eastAsia="DengXian" w:hAnsi="Calibri" w:cs="Calibri" w:hint="eastAsia"/>
                <w:b/>
                <w:bCs/>
                <w:color w:val="000000" w:themeColor="text1"/>
                <w:sz w:val="22"/>
                <w:szCs w:val="22"/>
              </w:rPr>
              <w:t>isk</w:t>
            </w:r>
            <w:r w:rsidRPr="007F23AD">
              <w:rPr>
                <w:rFonts w:ascii="Calibri" w:eastAsia="DengXian" w:hAnsi="Calibri" w:cs="Calibri"/>
                <w:b/>
                <w:bCs/>
                <w:color w:val="000000" w:themeColor="text1"/>
                <w:sz w:val="22"/>
                <w:szCs w:val="22"/>
              </w:rPr>
              <w:t xml:space="preserve">s </w:t>
            </w:r>
            <w:r w:rsidRPr="007F23AD">
              <w:rPr>
                <w:rFonts w:ascii="Calibri" w:eastAsia="DengXian" w:hAnsi="Calibri" w:cs="Calibri"/>
                <w:b/>
                <w:bCs/>
                <w:color w:val="000000" w:themeColor="text1"/>
                <w:sz w:val="22"/>
                <w:szCs w:val="22"/>
                <w:lang w:val="en-GB"/>
              </w:rPr>
              <w:t xml:space="preserve">under this </w:t>
            </w:r>
            <w:r w:rsidRPr="007F23AD">
              <w:rPr>
                <w:rFonts w:ascii="Calibri" w:eastAsia="DengXian" w:hAnsi="Calibri" w:cs="Calibri" w:hint="eastAsia"/>
                <w:b/>
                <w:bCs/>
                <w:color w:val="000000" w:themeColor="text1"/>
                <w:sz w:val="22"/>
                <w:szCs w:val="22"/>
                <w:lang w:val="en-GB"/>
              </w:rPr>
              <w:t>the</w:t>
            </w:r>
            <w:r w:rsidRPr="007F23AD">
              <w:rPr>
                <w:rFonts w:ascii="Calibri" w:eastAsia="DengXian" w:hAnsi="Calibri" w:cs="Calibri"/>
                <w:b/>
                <w:bCs/>
                <w:color w:val="000000" w:themeColor="text1"/>
                <w:sz w:val="22"/>
                <w:szCs w:val="22"/>
              </w:rPr>
              <w:t>me</w:t>
            </w:r>
            <w:r w:rsidRPr="007F23AD">
              <w:rPr>
                <w:rFonts w:ascii="Calibri" w:eastAsia="DengXian" w:hAnsi="Calibri" w:cs="Calibri"/>
                <w:b/>
                <w:bCs/>
                <w:color w:val="000000" w:themeColor="text1"/>
                <w:sz w:val="22"/>
                <w:szCs w:val="22"/>
                <w:lang w:val="en-GB"/>
              </w:rPr>
              <w:t>:</w:t>
            </w:r>
          </w:p>
        </w:tc>
        <w:tc>
          <w:tcPr>
            <w:tcW w:w="11487" w:type="dxa"/>
            <w:shd w:val="clear" w:color="auto" w:fill="auto"/>
            <w:noWrap/>
            <w:vAlign w:val="center"/>
            <w:hideMark/>
          </w:tcPr>
          <w:p w14:paraId="29140B9A" w14:textId="0469ACB8" w:rsidR="00834F56" w:rsidRPr="007F23AD" w:rsidRDefault="00834F56" w:rsidP="00834F56">
            <w:pPr>
              <w:spacing w:line="480" w:lineRule="auto"/>
              <w:jc w:val="center"/>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Publication</w:t>
            </w:r>
            <w:r w:rsidR="00EE2CD6" w:rsidRPr="007F23AD">
              <w:rPr>
                <w:rFonts w:ascii="Calibri" w:eastAsia="DengXian" w:hAnsi="Calibri" w:cs="Calibri"/>
                <w:b/>
                <w:bCs/>
                <w:color w:val="000000" w:themeColor="text1"/>
                <w:sz w:val="22"/>
                <w:szCs w:val="22"/>
                <w:lang w:val="en-GB"/>
              </w:rPr>
              <w:t>s</w:t>
            </w:r>
            <w:r w:rsidR="004C4D87" w:rsidRPr="007F23AD">
              <w:rPr>
                <w:rFonts w:ascii="Calibri" w:eastAsia="DengXian" w:hAnsi="Calibri" w:cs="Calibri"/>
                <w:b/>
                <w:bCs/>
                <w:color w:val="000000" w:themeColor="text1"/>
                <w:sz w:val="22"/>
                <w:szCs w:val="22"/>
                <w:lang w:val="en-GB"/>
              </w:rPr>
              <w:t xml:space="preserve"> (</w:t>
            </w:r>
            <w:r w:rsidR="00AE5913" w:rsidRPr="007F23AD">
              <w:rPr>
                <w:rFonts w:ascii="Calibri" w:eastAsia="DengXian" w:hAnsi="Calibri" w:cs="Calibri"/>
                <w:b/>
                <w:bCs/>
                <w:color w:val="000000" w:themeColor="text1"/>
                <w:sz w:val="22"/>
                <w:szCs w:val="22"/>
                <w:lang w:val="en-GB"/>
              </w:rPr>
              <w:t>7</w:t>
            </w:r>
            <w:r w:rsidR="004C4D87" w:rsidRPr="007F23AD">
              <w:rPr>
                <w:rFonts w:ascii="Calibri" w:eastAsia="DengXian" w:hAnsi="Calibri" w:cs="Calibri"/>
                <w:b/>
                <w:bCs/>
                <w:color w:val="000000" w:themeColor="text1"/>
                <w:sz w:val="22"/>
                <w:szCs w:val="22"/>
                <w:lang w:val="en-GB"/>
              </w:rPr>
              <w:t xml:space="preserve"> articles)</w:t>
            </w:r>
            <w:r w:rsidRPr="007F23AD">
              <w:rPr>
                <w:rFonts w:ascii="Calibri" w:eastAsia="DengXian" w:hAnsi="Calibri" w:cs="Calibri"/>
                <w:b/>
                <w:bCs/>
                <w:color w:val="000000" w:themeColor="text1"/>
                <w:sz w:val="22"/>
                <w:szCs w:val="22"/>
                <w:lang w:val="en-GB"/>
              </w:rPr>
              <w:t xml:space="preserve">  </w:t>
            </w:r>
          </w:p>
        </w:tc>
      </w:tr>
      <w:tr w:rsidR="007F23AD" w:rsidRPr="007F23AD" w14:paraId="566FC877" w14:textId="77777777" w:rsidTr="00834F56">
        <w:trPr>
          <w:trHeight w:val="320"/>
        </w:trPr>
        <w:tc>
          <w:tcPr>
            <w:tcW w:w="2405" w:type="dxa"/>
            <w:shd w:val="clear" w:color="auto" w:fill="auto"/>
            <w:noWrap/>
            <w:vAlign w:val="center"/>
            <w:hideMark/>
          </w:tcPr>
          <w:p w14:paraId="0D085ACB" w14:textId="77777777" w:rsidR="00834F56" w:rsidRPr="007F23AD" w:rsidRDefault="00834F56" w:rsidP="00834F56">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1. Safety risk </w:t>
            </w:r>
          </w:p>
        </w:tc>
        <w:tc>
          <w:tcPr>
            <w:tcW w:w="11487" w:type="dxa"/>
            <w:shd w:val="clear" w:color="auto" w:fill="auto"/>
            <w:noWrap/>
            <w:vAlign w:val="center"/>
            <w:hideMark/>
          </w:tcPr>
          <w:p w14:paraId="148FC59D" w14:textId="642E74E9" w:rsidR="00834F56" w:rsidRPr="007F23AD" w:rsidRDefault="00834F56" w:rsidP="00834F56">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Barreto and Pires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 ExcludeAuth="1"&gt;&lt;Author&gt;Barreto&lt;/Author&gt;&lt;Year&gt;2015&lt;/Year&gt;&lt;RecNum&gt;0&lt;/RecNum&gt;&lt;IDText&gt;Occupational risk management in construction supply chain&lt;/IDText&gt;&lt;DisplayText&gt;(2015)&lt;/DisplayText&gt;&lt;record&gt;&lt;rec-number&gt;78&lt;/rec-number&gt;&lt;foreign-keys&gt;&lt;key app="EN" db-id="pzdwvt0zxepzzqe2zdmp5zajvd0tv5sdtt2w" timestamp="1701253332"&gt;78&lt;/key&gt;&lt;/foreign-keys&gt;&lt;ref-type name="Journal Article"&gt;17&lt;/ref-type&gt;&lt;contributors&gt;&lt;authors&gt;&lt;author&gt;Barreto, Matheus de Faria e Oliveira&lt;/author&gt;&lt;author&gt;Pires, Karina Ribeiro&lt;/author&gt;&lt;/authors&gt;&lt;/contributors&gt;&lt;titles&gt;&lt;title&gt;Occupational risk management in construction supply chain&lt;/title&gt;&lt;secondary-title&gt;International Journal of Business Performance and Supply Chain Modelling&lt;/secondary-title&gt;&lt;/titles&gt;&lt;periodical&gt;&lt;full-title&gt;International Journal of Business Performance and Supply Chain Modelling&lt;/full-title&gt;&lt;/periodical&gt;&lt;pages&gt;1-11&lt;/pages&gt;&lt;volume&gt;7&lt;/volume&gt;&lt;number&gt;1&lt;/number&gt;&lt;section&gt;1&lt;/section&gt;&lt;dates&gt;&lt;year&gt;2015&lt;/year&gt;&lt;/dates&gt;&lt;isbn&gt;1758-9401&amp;#xD;1758-941X&lt;/isbn&gt;&lt;work-type&gt;Article&lt;/work-type&gt;&lt;urls&gt;&lt;related-urls&gt;&lt;url&gt;https://www.scopus.com/inward/record.uri?eid=2-s2.0-85027407362&amp;amp;doi=10.1504%2fIJBPSCM.2015.068125&amp;amp;partnerID=40&amp;amp;md5=b87317ca86a89df1095b275f0ed13a9f&lt;/url&gt;&lt;/related-urls&gt;&lt;/urls&gt;&lt;electronic-resource-num&gt;10.1504/ijbpscm.2015.068125&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(2015)</w:t>
            </w:r>
            <w:r w:rsidRPr="007F23AD">
              <w:rPr>
                <w:rFonts w:ascii="Calibri" w:eastAsia="DengXian" w:hAnsi="Calibri" w:cs="Calibri"/>
                <w:color w:val="000000" w:themeColor="text1"/>
                <w:sz w:val="22"/>
                <w:szCs w:val="22"/>
                <w:lang w:val="en-GB"/>
              </w:rPr>
              <w:fldChar w:fldCharType="end"/>
            </w:r>
            <w:r w:rsidRPr="007F23AD">
              <w:rPr>
                <w:color w:val="000000" w:themeColor="text1"/>
              </w:rPr>
              <w:t xml:space="preserve"> </w:t>
            </w:r>
            <w:r w:rsidRPr="007F23AD">
              <w:rPr>
                <w:rFonts w:ascii="Calibri" w:eastAsia="DengXian" w:hAnsi="Calibri" w:cs="Calibri"/>
                <w:color w:val="000000" w:themeColor="text1"/>
                <w:sz w:val="22"/>
                <w:szCs w:val="22"/>
                <w:lang w:val="en-GB"/>
              </w:rPr>
              <w:t>examine</w:t>
            </w:r>
            <w:r w:rsidRPr="007F23AD">
              <w:rPr>
                <w:rFonts w:ascii="Calibri" w:eastAsia="DengXian" w:hAnsi="Calibri" w:cs="Calibri" w:hint="eastAsia"/>
                <w:color w:val="000000" w:themeColor="text1"/>
                <w:sz w:val="22"/>
                <w:szCs w:val="22"/>
                <w:lang w:val="en-GB"/>
              </w:rPr>
              <w:t>d</w:t>
            </w:r>
            <w:r w:rsidRPr="007F23AD">
              <w:rPr>
                <w:rFonts w:ascii="Calibri" w:eastAsia="DengXian" w:hAnsi="Calibri" w:cs="Calibri"/>
                <w:color w:val="000000" w:themeColor="text1"/>
                <w:sz w:val="22"/>
                <w:szCs w:val="22"/>
                <w:lang w:val="en-GB"/>
              </w:rPr>
              <w:t xml:space="preserve"> occupational hazards in the construction industry, focusing on small and medium-sized residential construction businesses, and offers solutions for risk management to enhance worker safety, health, and overall quality of work life. </w:t>
            </w:r>
          </w:p>
          <w:p w14:paraId="6A9CC8EC" w14:textId="77777777" w:rsidR="00834F56" w:rsidRPr="007F23AD" w:rsidRDefault="00834F56" w:rsidP="00834F56">
            <w:pPr>
              <w:rPr>
                <w:rFonts w:ascii="Calibri" w:eastAsia="DengXian" w:hAnsi="Calibri" w:cs="Calibri"/>
                <w:color w:val="000000" w:themeColor="text1"/>
                <w:sz w:val="22"/>
                <w:szCs w:val="22"/>
                <w:lang w:val="en-GB"/>
              </w:rPr>
            </w:pPr>
          </w:p>
          <w:p w14:paraId="11EFD3D0" w14:textId="4CC672E1" w:rsidR="00834F56" w:rsidRPr="007F23AD" w:rsidRDefault="00834F56" w:rsidP="00834F56">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 Yap et al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 ExcludeAuth="1"&gt;&lt;Author&gt;Yap&lt;/Author&gt;&lt;Year&gt;2019&lt;/Year&gt;&lt;RecNum&gt;0&lt;/RecNum&gt;&lt;IDText&gt;Analysing the underlying factors affecting safety performance in building construction&lt;/IDText&gt;&lt;DisplayText&gt;(2019)&lt;/DisplayText&gt;&lt;record&gt;&lt;rec-number&gt;79&lt;/rec-number&gt;&lt;foreign-keys&gt;&lt;key app="EN" db-id="pzdwvt0zxepzzqe2zdmp5zajvd0tv5sdtt2w" timestamp="1701253332"&gt;79&lt;/key&gt;&lt;/foreign-keys&gt;&lt;ref-type name="Journal Article"&gt;17&lt;/ref-type&gt;&lt;contributors&gt;&lt;authors&gt;&lt;author&gt;Yap, Jeffrey Boon Hui&lt;/author&gt;&lt;author&gt;Lee, Wen Kai&lt;/author&gt;&lt;/authors&gt;&lt;/contributors&gt;&lt;titles&gt;&lt;title&gt;Analysing the underlying factors affecting safety performance in building construction&lt;/title&gt;&lt;secondary-title&gt;Production Planning &amp;amp; Control&lt;/secondary-title&gt;&lt;/titles&gt;&lt;periodical&gt;&lt;full-title&gt;Production Planning &amp;amp; Control&lt;/full-title&gt;&lt;/periodical&gt;&lt;pages&gt;1061-1076&lt;/pages&gt;&lt;volume&gt;31&lt;/volume&gt;&lt;number&gt;13&lt;/number&gt;&lt;section&gt;1061&lt;/section&gt;&lt;dates&gt;&lt;year&gt;2019&lt;/year&gt;&lt;/dates&gt;&lt;isbn&gt;0953-7287&amp;#xD;1366-5871&lt;/isbn&gt;&lt;work-type&gt;Article&lt;/work-type&gt;&lt;urls&gt;&lt;related-urls&gt;&lt;url&gt;https://www.scopus.com/inward/record.uri?eid=2-s2.0-85075972814&amp;amp;doi=10.1080%2f09537287.2019.1695292&amp;amp;partnerID=40&amp;amp;md5=c7146f4a8fb3ea9476766859a156efb8&lt;/url&gt;&lt;/related-urls&gt;&lt;/urls&gt;&lt;electronic-resource-num&gt;10.1080/09537287.2019.1695292&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(2019)</w:t>
            </w:r>
            <w:r w:rsidRPr="007F23AD">
              <w:rPr>
                <w:rFonts w:ascii="Calibri" w:eastAsia="DengXian" w:hAnsi="Calibri" w:cs="Calibri"/>
                <w:color w:val="000000" w:themeColor="text1"/>
                <w:sz w:val="22"/>
                <w:szCs w:val="22"/>
                <w:lang w:val="en-GB"/>
              </w:rPr>
              <w:fldChar w:fldCharType="end"/>
            </w:r>
            <w:r w:rsidRPr="007F23AD">
              <w:rPr>
                <w:color w:val="000000" w:themeColor="text1"/>
              </w:rPr>
              <w:t xml:space="preserve"> </w:t>
            </w:r>
            <w:r w:rsidRPr="007F23AD">
              <w:rPr>
                <w:rFonts w:ascii="Calibri" w:eastAsia="DengXian" w:hAnsi="Calibri" w:cs="Calibri"/>
                <w:color w:val="000000" w:themeColor="text1"/>
                <w:sz w:val="22"/>
                <w:szCs w:val="22"/>
                <w:lang w:val="en-GB"/>
              </w:rPr>
              <w:t>evaluates the safety awareness in the Malaysian construction industry, identifies the primary safety concerns and underlying factors affecting safety performance through a survey, and recommends measures to enhance safety awareness among construction personnel.</w:t>
            </w:r>
          </w:p>
          <w:p w14:paraId="1BD506BA" w14:textId="77777777" w:rsidR="003561B3" w:rsidRPr="007F23AD" w:rsidRDefault="003561B3" w:rsidP="00834F56">
            <w:pPr>
              <w:rPr>
                <w:rFonts w:ascii="Calibri" w:eastAsia="DengXian" w:hAnsi="Calibri" w:cs="Calibri"/>
                <w:color w:val="000000" w:themeColor="text1"/>
                <w:sz w:val="22"/>
                <w:szCs w:val="22"/>
                <w:lang w:val="en-GB"/>
              </w:rPr>
            </w:pPr>
          </w:p>
        </w:tc>
      </w:tr>
      <w:tr w:rsidR="007F23AD" w:rsidRPr="007F23AD" w14:paraId="57FF79EF" w14:textId="77777777" w:rsidTr="00834F56">
        <w:trPr>
          <w:trHeight w:val="320"/>
        </w:trPr>
        <w:tc>
          <w:tcPr>
            <w:tcW w:w="2405" w:type="dxa"/>
            <w:shd w:val="clear" w:color="auto" w:fill="auto"/>
            <w:noWrap/>
            <w:vAlign w:val="center"/>
            <w:hideMark/>
          </w:tcPr>
          <w:p w14:paraId="04A49570" w14:textId="534CE5F2" w:rsidR="00E05DED" w:rsidRPr="007F23AD" w:rsidRDefault="00E05DED" w:rsidP="00E05DED">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2.Implemention risk </w:t>
            </w:r>
          </w:p>
        </w:tc>
        <w:tc>
          <w:tcPr>
            <w:tcW w:w="11487" w:type="dxa"/>
            <w:shd w:val="clear" w:color="auto" w:fill="auto"/>
            <w:noWrap/>
            <w:vAlign w:val="center"/>
            <w:hideMark/>
          </w:tcPr>
          <w:p w14:paraId="481E4C5B" w14:textId="77777777" w:rsidR="00E05DED" w:rsidRPr="007F23AD" w:rsidRDefault="00E05DED" w:rsidP="00E05DED">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r>
            <w:r w:rsidRPr="007F23AD">
              <w:rPr>
                <w:rFonts w:ascii="Calibri" w:eastAsia="DengXian" w:hAnsi="Calibri" w:cs="Calibri"/>
                <w:color w:val="000000" w:themeColor="text1"/>
                <w:sz w:val="22"/>
                <w:szCs w:val="22"/>
                <w:lang w:val="en-GB"/>
              </w:rPr>
              <w:instrText xml:space="preserve"> ADDIN EN.CITE &lt;EndNote&gt;&lt;Cite AuthorYear="1"&gt;&lt;Author&gt;Thomas&lt;/Author&gt;&lt;Year&gt;2005&lt;/Year&gt;&lt;RecNum&gt;107&lt;/RecNum&gt;&lt;DisplayText&gt;Thomas and Webb (2005)&lt;/DisplayText&gt;&lt;record&gt;&lt;rec-number&gt;107&lt;/rec-number&gt;&lt;foreign-keys&gt;&lt;key app="EN" db-id="vxw0ffesn9zzt0ewpdx5r5a3fpw92aep9re9" timestamp="1683536878" guid="bd6c7f57-d3af-4a22-ac62-d713caebfe54"&gt;107&lt;/key&gt;&lt;/foreign-keys&gt;&lt;ref-type name="Journal Article"&gt;17&lt;/ref-type&gt;&lt;contributors&gt;&lt;authors&gt;&lt;author&gt;Thomas, A. J.&lt;/author&gt;&lt;author&gt;Webb, D.&lt;/author&gt;&lt;/authors&gt;&lt;/contributors&gt;&lt;titles&gt;&lt;title&gt;Quality systems implementation in Welsh small- to medium-sized enterprises: A global comparison and a model for change&lt;/title&gt;&lt;secondary-title&gt;Proceedings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573-579&lt;/pages&gt;&lt;volume&gt;217&lt;/volume&gt;&lt;number&gt;4&lt;/number&gt;&lt;section&gt;573&lt;/section&gt;&lt;dates&gt;&lt;year&gt;2005&lt;/year&gt;&lt;pub-dates&gt;&lt;date&gt;2003/04/01&lt;/date&gt;&lt;/pub-dates&gt;&lt;/dates&gt;&lt;publisher&gt;IMECHE&lt;/publisher&gt;&lt;isbn&gt;0954-4054&amp;#xD;2041-2975&lt;/isbn&gt;&lt;urls&gt;&lt;related-urls&gt;&lt;url&gt;https://doi.org/10.1243/095440503321628251&lt;/url&gt;&lt;/related-urls&gt;&lt;/urls&gt;&lt;electronic-resource-num&gt;10.1243/095440503321628251&lt;/electronic-resource-num&gt;&lt;access-date&gt;2022/06/14&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Thomas and Webb (2005)</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assessed the adoption rate of formal quality management systems in SMEs in South Wales, explores reasons for low implementation, compares findings with studies from other countries, and suggests a conceptual framework for a tailored quality model for SMEs.</w:t>
            </w:r>
          </w:p>
          <w:p w14:paraId="4D6417EC" w14:textId="77777777" w:rsidR="00E05DED" w:rsidRPr="007F23AD" w:rsidRDefault="00E05DED" w:rsidP="00E05DED">
            <w:pPr>
              <w:rPr>
                <w:rFonts w:ascii="Calibri" w:eastAsia="DengXian" w:hAnsi="Calibri" w:cs="Calibri"/>
                <w:color w:val="000000" w:themeColor="text1"/>
                <w:sz w:val="22"/>
                <w:szCs w:val="22"/>
                <w:lang w:val="en-GB"/>
              </w:rPr>
            </w:pPr>
          </w:p>
          <w:p w14:paraId="13F6A2E9" w14:textId="77777777" w:rsidR="00E05DED" w:rsidRPr="007F23AD" w:rsidRDefault="00E05DED" w:rsidP="00E05DED">
            <w:pPr>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rPr>
              <w:fldChar w:fldCharType="begin"/>
            </w:r>
            <w:r w:rsidRPr="007F23AD">
              <w:rPr>
                <w:rFonts w:ascii="Calibri" w:eastAsia="DengXian" w:hAnsi="Calibri" w:cs="Calibri"/>
                <w:color w:val="000000" w:themeColor="text1"/>
                <w:sz w:val="22"/>
                <w:szCs w:val="22"/>
              </w:rPr>
              <w:instrText xml:space="preserve"> ADDIN EN.CITE &lt;EndNote&gt;&lt;Cite AuthorYear="1"&gt;&lt;Author&gt;Deshmukh&lt;/Author&gt;&lt;Year&gt;2012&lt;/Year&gt;&lt;RecNum&gt;236&lt;/RecNum&gt;&lt;DisplayText&gt;Deshmukh and Chavan (2012)&lt;/DisplayText&gt;&lt;record&gt;&lt;rec-number&gt;236&lt;/rec-number&gt;&lt;foreign-keys&gt;&lt;key app="EN" db-id="vxw0ffesn9zzt0ewpdx5r5a3fpw92aep9re9" timestamp="1683537632" guid="b81aa787-7e35-424a-9eb8-ee73a5fc3274"&gt;236&lt;/key&gt;&lt;/foreign-keys&gt;&lt;ref-type name="Journal Article"&gt;17&lt;/ref-type&gt;&lt;contributors&gt;&lt;authors&gt;&lt;author&gt;Deshmukh, Sunil V.&lt;/author&gt;&lt;author&gt;Chavan, Ashish&lt;/author&gt;&lt;/authors&gt;&lt;/contributors&gt;&lt;titles&gt;&lt;title&gt;Six Sigma and SMEs: a critical review of literature&lt;/title&gt;&lt;secondary-title&gt;International Journal of Lean Six Sigma&lt;/secondary-title&gt;&lt;/titles&gt;&lt;periodical&gt;&lt;full-title&gt;International Journal of Lean Six Sigma&lt;/full-title&gt;&lt;/periodical&gt;&lt;pages&gt;157-167&lt;/pages&gt;&lt;volume&gt;3&lt;/volume&gt;&lt;number&gt;2&lt;/number&gt;&lt;section&gt;157&lt;/section&gt;&lt;dates&gt;&lt;year&gt;2012&lt;/year&gt;&lt;/dates&gt;&lt;publisher&gt;Emerald Group Publishing Limited&lt;/publisher&gt;&lt;isbn&gt;2040-4166&lt;/isbn&gt;&lt;urls&gt;&lt;related-urls&gt;&lt;url&gt;https://doi.org/10.1108/20401461211243720&lt;/url&gt;&lt;/related-urls&gt;&lt;/urls&gt;&lt;electronic-resource-num&gt;10.1108/20401461211243720&lt;/electronic-resource-num&gt;&lt;access-date&gt;2022/06/15&lt;/access-date&gt;&lt;/record&gt;&lt;/Cite&gt;&lt;/EndNote&gt;</w:instrText>
            </w:r>
            <w:r w:rsidRPr="007F23AD">
              <w:rPr>
                <w:rFonts w:ascii="Calibri" w:eastAsia="DengXian" w:hAnsi="Calibri" w:cs="Calibri"/>
                <w:color w:val="000000" w:themeColor="text1"/>
                <w:sz w:val="22"/>
                <w:szCs w:val="22"/>
              </w:rPr>
              <w:fldChar w:fldCharType="separate"/>
            </w:r>
            <w:r w:rsidRPr="007F23AD">
              <w:rPr>
                <w:rFonts w:ascii="Calibri" w:eastAsia="DengXian" w:hAnsi="Calibri" w:cs="Calibri"/>
                <w:noProof/>
                <w:color w:val="000000" w:themeColor="text1"/>
                <w:sz w:val="22"/>
                <w:szCs w:val="22"/>
              </w:rPr>
              <w:t>Deshmukh and Chavan (2012)</w:t>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t xml:space="preserve"> explored the application of the Six Sigma methodology in SMEs through a systematic literature review, highlighting the importance of management commitment, the limited embrace of quality management culture in SMEs, and the need for SME-specific Six Sigma approaches for quality improvement.</w:t>
            </w:r>
          </w:p>
          <w:p w14:paraId="5EA63CBF" w14:textId="77777777" w:rsidR="00E05DED" w:rsidRPr="007F23AD" w:rsidRDefault="00E05DED" w:rsidP="00E05DED">
            <w:pPr>
              <w:rPr>
                <w:rFonts w:ascii="Calibri" w:eastAsia="DengXian" w:hAnsi="Calibri" w:cs="Calibri"/>
                <w:color w:val="000000" w:themeColor="text1"/>
                <w:sz w:val="22"/>
                <w:szCs w:val="22"/>
              </w:rPr>
            </w:pPr>
          </w:p>
          <w:p w14:paraId="2A756406" w14:textId="6F57181B" w:rsidR="00E05DED" w:rsidRPr="007F23AD" w:rsidRDefault="00E05DED" w:rsidP="00E05DED">
            <w:pPr>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rPr>
              <w:fldChar w:fldCharType="begin">
                <w:fldData xml:space="preserve">PEVuZE5vdGU+PENpdGUgQXV0aG9yWWVhcj0iMSI+PEF1dGhvcj5ZYWRhdjwvQXV0aG9yPjxZZWFy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</w:fldData>
              </w:fldChar>
            </w:r>
            <w:r w:rsidRPr="007F23AD">
              <w:rPr>
                <w:rFonts w:ascii="Calibri" w:eastAsia="DengXian" w:hAnsi="Calibri" w:cs="Calibri"/>
                <w:color w:val="000000" w:themeColor="text1"/>
                <w:sz w:val="22"/>
                <w:szCs w:val="22"/>
              </w:rPr>
              <w:instrText xml:space="preserve"> ADDIN EN.CITE </w:instrText>
            </w:r>
            <w:r w:rsidRPr="007F23AD">
              <w:rPr>
                <w:rFonts w:ascii="Calibri" w:eastAsia="DengXian" w:hAnsi="Calibri" w:cs="Calibri"/>
                <w:color w:val="000000" w:themeColor="text1"/>
                <w:sz w:val="22"/>
                <w:szCs w:val="22"/>
              </w:rPr>
              <w:fldChar w:fldCharType="begin">
                <w:fldData xml:space="preserve">PEVuZE5vdGU+PENpdGUgQXV0aG9yWWVhcj0iMSI+PEF1dGhvcj5ZYWRhdjwvQXV0aG9yPjxZZWFy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</w:fldData>
              </w:fldChar>
            </w:r>
            <w:r w:rsidRPr="007F23AD">
              <w:rPr>
                <w:rFonts w:ascii="Calibri" w:eastAsia="DengXian" w:hAnsi="Calibri" w:cs="Calibri"/>
                <w:color w:val="000000" w:themeColor="text1"/>
                <w:sz w:val="22"/>
                <w:szCs w:val="22"/>
              </w:rPr>
              <w:instrText xml:space="preserve"> ADDIN EN.CITE.DATA </w:instrText>
            </w:r>
            <w:r w:rsidRPr="007F23AD">
              <w:rPr>
                <w:rFonts w:ascii="Calibri" w:eastAsia="DengXian" w:hAnsi="Calibri" w:cs="Calibri"/>
                <w:color w:val="000000" w:themeColor="text1"/>
                <w:sz w:val="22"/>
                <w:szCs w:val="22"/>
              </w:rPr>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r>
            <w:r w:rsidRPr="007F23AD">
              <w:rPr>
                <w:rFonts w:ascii="Calibri" w:eastAsia="DengXian" w:hAnsi="Calibri" w:cs="Calibri"/>
                <w:color w:val="000000" w:themeColor="text1"/>
                <w:sz w:val="22"/>
                <w:szCs w:val="22"/>
              </w:rPr>
              <w:fldChar w:fldCharType="separate"/>
            </w:r>
            <w:r w:rsidRPr="007F23AD">
              <w:rPr>
                <w:rFonts w:ascii="Calibri" w:eastAsia="DengXian" w:hAnsi="Calibri" w:cs="Calibri"/>
                <w:noProof/>
                <w:color w:val="000000" w:themeColor="text1"/>
                <w:sz w:val="22"/>
                <w:szCs w:val="22"/>
              </w:rPr>
              <w:t>Yadav et al. (2019)</w:t>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t xml:space="preserve"> examined lean implementation barriers in Indian SMEs using case studies and mathematical analysis, highlighting management commitment, leadership, and communication as key challenges.</w:t>
            </w:r>
          </w:p>
          <w:p w14:paraId="748AFE96" w14:textId="77777777" w:rsidR="00E05DED" w:rsidRPr="007F23AD" w:rsidRDefault="00E05DED" w:rsidP="00E05DED">
            <w:pPr>
              <w:rPr>
                <w:rFonts w:ascii="Calibri" w:eastAsia="DengXian" w:hAnsi="Calibri" w:cs="Calibri"/>
                <w:color w:val="000000" w:themeColor="text1"/>
                <w:sz w:val="22"/>
                <w:szCs w:val="22"/>
              </w:rPr>
            </w:pPr>
          </w:p>
          <w:p w14:paraId="1355BA7A" w14:textId="59529B89" w:rsidR="00E05DED" w:rsidRPr="007F23AD" w:rsidRDefault="00E05DED" w:rsidP="00E05DED">
            <w:pPr>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rPr>
              <w:fldChar w:fldCharType="begin">
                <w:fldData xml:space="preserve">PEVuZE5vdGU+PENpdGUgQXV0aG9yWWVhcj0iMSI+PEF1dGhvcj5Nb2hhbW1hZGk8L0F1dGhvcj48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</w:fldData>
              </w:fldChar>
            </w:r>
            <w:r w:rsidRPr="007F23AD">
              <w:rPr>
                <w:rFonts w:ascii="Calibri" w:eastAsia="DengXian" w:hAnsi="Calibri" w:cs="Calibri"/>
                <w:color w:val="000000" w:themeColor="text1"/>
                <w:sz w:val="22"/>
                <w:szCs w:val="22"/>
              </w:rPr>
              <w:instrText xml:space="preserve"> ADDIN EN.CITE </w:instrText>
            </w:r>
            <w:r w:rsidRPr="007F23AD">
              <w:rPr>
                <w:rFonts w:ascii="Calibri" w:eastAsia="DengXian" w:hAnsi="Calibri" w:cs="Calibri"/>
                <w:color w:val="000000" w:themeColor="text1"/>
                <w:sz w:val="22"/>
                <w:szCs w:val="22"/>
              </w:rPr>
              <w:fldChar w:fldCharType="begin">
                <w:fldData xml:space="preserve">PEVuZE5vdGU+PENpdGUgQXV0aG9yWWVhcj0iMSI+PEF1dGhvcj5Nb2hhbW1hZGk8L0F1dGhvcj48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</w:fldData>
              </w:fldChar>
            </w:r>
            <w:r w:rsidRPr="007F23AD">
              <w:rPr>
                <w:rFonts w:ascii="Calibri" w:eastAsia="DengXian" w:hAnsi="Calibri" w:cs="Calibri"/>
                <w:color w:val="000000" w:themeColor="text1"/>
                <w:sz w:val="22"/>
                <w:szCs w:val="22"/>
              </w:rPr>
              <w:instrText xml:space="preserve"> ADDIN EN.CITE.DATA </w:instrText>
            </w:r>
            <w:r w:rsidRPr="007F23AD">
              <w:rPr>
                <w:rFonts w:ascii="Calibri" w:eastAsia="DengXian" w:hAnsi="Calibri" w:cs="Calibri"/>
                <w:color w:val="000000" w:themeColor="text1"/>
                <w:sz w:val="22"/>
                <w:szCs w:val="22"/>
              </w:rPr>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r>
            <w:r w:rsidRPr="007F23AD">
              <w:rPr>
                <w:rFonts w:ascii="Calibri" w:eastAsia="DengXian" w:hAnsi="Calibri" w:cs="Calibri"/>
                <w:color w:val="000000" w:themeColor="text1"/>
                <w:sz w:val="22"/>
                <w:szCs w:val="22"/>
              </w:rPr>
              <w:fldChar w:fldCharType="separate"/>
            </w:r>
            <w:r w:rsidRPr="007F23AD">
              <w:rPr>
                <w:rFonts w:ascii="Calibri" w:eastAsia="DengXian" w:hAnsi="Calibri" w:cs="Calibri"/>
                <w:noProof/>
                <w:color w:val="000000" w:themeColor="text1"/>
                <w:sz w:val="22"/>
                <w:szCs w:val="22"/>
              </w:rPr>
              <w:t>Mohammadi et al. (2022)</w:t>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t xml:space="preserve"> combined qualitative and quantitative methods to identify nine key factors affecting the success and failure of quality management systems implementation in SMEs, highlighting the importance of addressing both financial and human resource challenges, as well as technical knowledge gaps and employee indifference.</w:t>
            </w:r>
          </w:p>
          <w:p w14:paraId="6F16608E" w14:textId="77777777" w:rsidR="00E05DED" w:rsidRPr="007F23AD" w:rsidRDefault="00E05DED" w:rsidP="00E05DED">
            <w:pPr>
              <w:rPr>
                <w:rFonts w:ascii="Calibri" w:eastAsia="DengXian" w:hAnsi="Calibri" w:cs="Calibri"/>
                <w:color w:val="000000" w:themeColor="text1"/>
                <w:sz w:val="22"/>
                <w:szCs w:val="22"/>
              </w:rPr>
            </w:pPr>
          </w:p>
          <w:p w14:paraId="48832CCF" w14:textId="24064963" w:rsidR="00E05DED" w:rsidRPr="007F23AD" w:rsidRDefault="00E05DED" w:rsidP="00E05DED">
            <w:pPr>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rPr>
              <w:fldChar w:fldCharType="begin"/>
            </w:r>
            <w:r w:rsidRPr="007F23AD">
              <w:rPr>
                <w:rFonts w:ascii="Calibri" w:eastAsia="DengXian" w:hAnsi="Calibri" w:cs="Calibri"/>
                <w:color w:val="000000" w:themeColor="text1"/>
                <w:sz w:val="22"/>
                <w:szCs w:val="22"/>
              </w:rPr>
              <w:instrText xml:space="preserve"> ADDIN EN.CITE &lt;EndNote&gt;&lt;Cite AuthorYear="1"&gt;&lt;Author&gt;Mansour&lt;/Author&gt;&lt;Year&gt;2021&lt;/Year&gt;&lt;RecNum&gt;918&lt;/RecNum&gt;&lt;DisplayText&gt;Mansour et al. (2021)&lt;/DisplayText&gt;&lt;record&gt;&lt;rec-number&gt;918&lt;/rec-number&gt;&lt;foreign-keys&gt;&lt;key app="EN" db-id="vxw0ffesn9zzt0ewpdx5r5a3fpw92aep9re9" timestamp="1684851507" guid="541054e5-fc35-4ec5-b6a5-a156258197a9"&gt;918&lt;/key&gt;&lt;/foreign-keys&gt;&lt;ref-type name="Journal Article"&gt;17&lt;/ref-type&gt;&lt;contributors&gt;&lt;authors&gt;&lt;author&gt;Mansour, Husam&lt;/author&gt;&lt;author&gt;Aminudin, Eeydzah&lt;/author&gt;&lt;author&gt;Mansour, Tahseen&lt;/author&gt;&lt;/authors&gt;&lt;/contributors&gt;&lt;titles&gt;&lt;title&gt;Implementing industry 4.0 in the construction industry- strategic readiness perspective&lt;/title&gt;&lt;secondary-title&gt;International Journal of Construction Management&lt;/secondary-title&gt;&lt;/titles&gt;&lt;periodical&gt;&lt;full-title&gt;International Journal of Construction Management&lt;/full-title&gt;&lt;/periodical&gt;&lt;pages&gt;1457-1470&lt;/pages&gt;&lt;volume&gt;23&lt;/volume&gt;&lt;number&gt;9&lt;/number&gt;&lt;section&gt;1457&lt;/section&gt;&lt;dates&gt;&lt;year&gt;2021&lt;/year&gt;&lt;/dates&gt;&lt;isbn&gt;1562-3599&amp;#xD;2331-2327&lt;/isbn&gt;&lt;work-type&gt;Article&lt;/work-type&gt;&lt;urls&gt;&lt;related-urls&gt;&lt;url&gt;https://www.scopus.com/inward/record.uri?eid=2-s2.0-85114679529&amp;amp;doi=10.1080%2f15623599.2021.1975351&amp;amp;partnerID=40&amp;amp;md5=ff7d1ac19238322084fba7b99692b754&lt;/url&gt;&lt;/related-urls&gt;&lt;/urls&gt;&lt;electronic-resource-num&gt;10.1080/15623599.2021.1975351&lt;/electronic-resource-num&gt;&lt;remote-database-name&gt;Scopus&lt;/remote-database-name&gt;&lt;/record&gt;&lt;/Cite&gt;&lt;/EndNote&gt;</w:instrText>
            </w:r>
            <w:r w:rsidRPr="007F23AD">
              <w:rPr>
                <w:rFonts w:ascii="Calibri" w:eastAsia="DengXian" w:hAnsi="Calibri" w:cs="Calibri"/>
                <w:color w:val="000000" w:themeColor="text1"/>
                <w:sz w:val="22"/>
                <w:szCs w:val="22"/>
              </w:rPr>
              <w:fldChar w:fldCharType="separate"/>
            </w:r>
            <w:r w:rsidRPr="007F23AD">
              <w:rPr>
                <w:rFonts w:ascii="Calibri" w:eastAsia="DengXian" w:hAnsi="Calibri" w:cs="Calibri"/>
                <w:noProof/>
                <w:color w:val="000000" w:themeColor="text1"/>
                <w:sz w:val="22"/>
                <w:szCs w:val="22"/>
              </w:rPr>
              <w:t>Mansour et al. (2021)</w:t>
            </w:r>
            <w:r w:rsidRPr="007F23AD">
              <w:rPr>
                <w:rFonts w:ascii="Calibri" w:eastAsia="DengXian" w:hAnsi="Calibri" w:cs="Calibri"/>
                <w:color w:val="000000" w:themeColor="text1"/>
                <w:sz w:val="22"/>
                <w:szCs w:val="22"/>
              </w:rPr>
              <w:fldChar w:fldCharType="end"/>
            </w:r>
            <w:r w:rsidRPr="007F23AD">
              <w:rPr>
                <w:rFonts w:ascii="Calibri" w:eastAsia="DengXian" w:hAnsi="Calibri" w:cs="Calibri"/>
                <w:color w:val="000000" w:themeColor="text1"/>
                <w:sz w:val="22"/>
                <w:szCs w:val="22"/>
              </w:rPr>
              <w:t xml:space="preserve"> introduced </w:t>
            </w:r>
            <w:proofErr w:type="spellStart"/>
            <w:r w:rsidRPr="007F23AD">
              <w:rPr>
                <w:rFonts w:ascii="Calibri" w:eastAsia="DengXian" w:hAnsi="Calibri" w:cs="Calibri"/>
                <w:color w:val="000000" w:themeColor="text1"/>
                <w:sz w:val="22"/>
                <w:szCs w:val="22"/>
              </w:rPr>
              <w:t>ConFIRM</w:t>
            </w:r>
            <w:proofErr w:type="spellEnd"/>
            <w:r w:rsidRPr="007F23AD">
              <w:rPr>
                <w:rFonts w:ascii="Calibri" w:eastAsia="DengXian" w:hAnsi="Calibri" w:cs="Calibri"/>
                <w:color w:val="000000" w:themeColor="text1"/>
                <w:sz w:val="22"/>
                <w:szCs w:val="22"/>
              </w:rPr>
              <w:t>, a unique model for assessing the strategic readiness of construction firms for Industry 4.0, emphasizing the crucial role of human capital, particularly the expertise of construction professionals, in successful implementation, validated using a Malaysian case study.</w:t>
            </w:r>
          </w:p>
          <w:p w14:paraId="3058C161" w14:textId="79E14823" w:rsidR="00E05DED" w:rsidRPr="007F23AD" w:rsidRDefault="00E05DED" w:rsidP="00E05DED">
            <w:pPr>
              <w:spacing w:line="480" w:lineRule="auto"/>
              <w:rPr>
                <w:rFonts w:ascii="Calibri" w:eastAsia="DengXian" w:hAnsi="Calibri" w:cs="Calibri"/>
                <w:color w:val="000000" w:themeColor="text1"/>
                <w:sz w:val="22"/>
                <w:szCs w:val="22"/>
                <w:lang w:val="en-GB"/>
              </w:rPr>
            </w:pPr>
          </w:p>
        </w:tc>
      </w:tr>
    </w:tbl>
    <w:p w14:paraId="7BDA5FD8" w14:textId="3ACAD3BF" w:rsidR="00834F56" w:rsidRPr="007F23AD" w:rsidRDefault="00834F56" w:rsidP="00834F56">
      <w:pPr>
        <w:rPr>
          <w:rFonts w:ascii="Calibri" w:hAnsi="Calibri" w:cs="Calibri"/>
          <w:color w:val="000000" w:themeColor="text1"/>
          <w:sz w:val="22"/>
          <w:szCs w:val="22"/>
          <w:lang w:val="en-GB"/>
        </w:rPr>
        <w:sectPr w:rsidR="00834F56" w:rsidRPr="007F23AD" w:rsidSect="002F0FBC">
          <w:pgSz w:w="16840" w:h="11900" w:orient="landscape"/>
          <w:pgMar w:top="1800" w:right="1440" w:bottom="1800" w:left="1440" w:header="708" w:footer="708" w:gutter="0"/>
          <w:cols w:space="708"/>
          <w:docGrid w:linePitch="360"/>
        </w:sectPr>
      </w:pPr>
    </w:p>
    <w:p w14:paraId="262A0C87" w14:textId="77777777" w:rsidR="0080644F" w:rsidRPr="007F23AD" w:rsidRDefault="0080644F" w:rsidP="007C675E">
      <w:pPr>
        <w:spacing w:line="480" w:lineRule="auto"/>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lastRenderedPageBreak/>
        <w:t xml:space="preserve">Safety risk </w:t>
      </w:r>
    </w:p>
    <w:p w14:paraId="3A1785DD" w14:textId="47728A38" w:rsidR="009C65B0" w:rsidRPr="007F23AD" w:rsidRDefault="00E941C6" w:rsidP="00C3226C">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The construction industry has </w:t>
      </w:r>
      <w:r w:rsidR="00073BDC" w:rsidRPr="007F23AD">
        <w:rPr>
          <w:rFonts w:ascii="Calibri" w:eastAsia="DengXian" w:hAnsi="Calibri" w:cs="Calibri" w:hint="eastAsia"/>
          <w:color w:val="000000" w:themeColor="text1"/>
          <w:sz w:val="22"/>
          <w:szCs w:val="22"/>
          <w:lang w:val="en-GB"/>
        </w:rPr>
        <w:t>rig</w:t>
      </w:r>
      <w:proofErr w:type="spellStart"/>
      <w:r w:rsidR="00690D45" w:rsidRPr="007F23AD">
        <w:rPr>
          <w:rFonts w:ascii="Calibri" w:eastAsia="DengXian" w:hAnsi="Calibri" w:cs="Calibri"/>
          <w:color w:val="000000" w:themeColor="text1"/>
          <w:sz w:val="22"/>
          <w:szCs w:val="22"/>
        </w:rPr>
        <w:t>orous</w:t>
      </w:r>
      <w:proofErr w:type="spellEnd"/>
      <w:r w:rsidR="00690D45" w:rsidRPr="007F23AD">
        <w:rPr>
          <w:rFonts w:ascii="Calibri" w:eastAsia="DengXian" w:hAnsi="Calibri" w:cs="Calibri"/>
          <w:color w:val="000000" w:themeColor="text1"/>
          <w:sz w:val="22"/>
          <w:szCs w:val="22"/>
        </w:rPr>
        <w:t xml:space="preserve"> </w:t>
      </w:r>
      <w:r w:rsidRPr="007F23AD">
        <w:rPr>
          <w:rFonts w:ascii="Calibri" w:eastAsia="DengXian" w:hAnsi="Calibri" w:cs="Calibri"/>
          <w:color w:val="000000" w:themeColor="text1"/>
          <w:sz w:val="22"/>
          <w:szCs w:val="22"/>
          <w:lang w:val="en-GB"/>
        </w:rPr>
        <w:t>operational demands and substantial risks. Consequently, the supply chain of construction SMEs imposes added responsibilities on workers, making them less replaceable. While workers in the construction sector frequently depend on their experience, the evaluation of personal protective equipment in SMEs is not rigorous</w:t>
      </w:r>
      <w:r w:rsidR="00D02ECC" w:rsidRPr="007F23AD">
        <w:rPr>
          <w:rFonts w:ascii="Calibri" w:eastAsia="DengXian" w:hAnsi="Calibri" w:cs="Calibri"/>
          <w:color w:val="000000" w:themeColor="text1"/>
          <w:sz w:val="22"/>
          <w:szCs w:val="22"/>
          <w:lang w:val="en-GB"/>
        </w:rPr>
        <w:t xml:space="preserve"> </w:t>
      </w:r>
      <w:r w:rsidR="001D099F" w:rsidRPr="007F23AD">
        <w:rPr>
          <w:rFonts w:ascii="Calibri" w:eastAsia="DengXian" w:hAnsi="Calibri" w:cs="Calibri"/>
          <w:color w:val="000000" w:themeColor="text1"/>
          <w:sz w:val="22"/>
          <w:szCs w:val="22"/>
          <w:lang w:val="en-GB"/>
        </w:rPr>
        <w:fldChar w:fldCharType="begin"/>
      </w:r>
      <w:r w:rsidR="00922C2B" w:rsidRPr="007F23AD">
        <w:rPr>
          <w:rFonts w:ascii="Calibri" w:eastAsia="DengXian" w:hAnsi="Calibri" w:cs="Calibri"/>
          <w:color w:val="000000" w:themeColor="text1"/>
          <w:sz w:val="22"/>
          <w:szCs w:val="22"/>
          <w:lang w:val="en-GB"/>
        </w:rPr>
        <w:instrText xml:space="preserve"> ADDIN EN.CITE &lt;EndNote&gt;&lt;Cite&gt;&lt;Author&gt;Saunders&lt;/Author&gt;&lt;Year&gt;2016&lt;/Year&gt;&lt;RecNum&gt;125&lt;/RecNum&gt;&lt;DisplayText&gt;(Saunders et al. 2016)&lt;/DisplayText&gt;&lt;record&gt;&lt;rec-number&gt;125&lt;/rec-number&gt;&lt;foreign-keys&gt;&lt;key app="EN" db-id="vxw0ffesn9zzt0ewpdx5r5a3fpw92aep9re9" timestamp="1683537023" guid="273adf39-4e46-4c88-8e70-ebb240a796fe"&gt;125&lt;/key&gt;&lt;/foreign-keys&gt;&lt;ref-type name="Journal Article"&gt;17&lt;/ref-type&gt;&lt;contributors&gt;&lt;authors&gt;&lt;author&gt;Saunders, Lance W.&lt;/author&gt;&lt;author&gt;McCoy, Andrew P.&lt;/author&gt;&lt;author&gt;Kleiner, Brian M.&lt;/author&gt;&lt;author&gt;Lingard, Helen&lt;/author&gt;&lt;author&gt;Cooke, Tracy&lt;/author&gt;&lt;author&gt;Mills, Thomas&lt;/author&gt;&lt;author&gt;Blismas, Nick&lt;/author&gt;&lt;author&gt;Wakefield, Ronald&lt;/author&gt;&lt;/authors&gt;&lt;/contributors&gt;&lt;titles&gt;&lt;title&gt;International benchmarking for performance improvement in construction safety and health&lt;/title&gt;&lt;secondary-title&gt;Benchmarking: An International Journal&lt;/secondary-title&gt;&lt;/titles&gt;&lt;periodical&gt;&lt;full-title&gt;Benchmarking: An International Journal&lt;/full-title&gt;&lt;/periodical&gt;&lt;pages&gt;916-936&lt;/pages&gt;&lt;volume&gt;23&lt;/volume&gt;&lt;number&gt;4&lt;/number&gt;&lt;section&gt;916&lt;/section&gt;&lt;dates&gt;&lt;year&gt;2016&lt;/year&gt;&lt;/dates&gt;&lt;isbn&gt;1463-5771&lt;/isbn&gt;&lt;work-type&gt;Article&lt;/work-type&gt;&lt;urls&gt;&lt;related-urls&gt;&lt;url&gt;https://www.scopus.com/inward/record.uri?eid=2-s2.0-84976354831&amp;amp;doi=10.1108%2fBIJ-11-2013-0105&amp;amp;partnerID=40&amp;amp;md5=6f636dc80b58d81a2ee412649b910e3f&lt;/url&gt;&lt;/related-urls&gt;&lt;/urls&gt;&lt;electronic-resource-num&gt;10.1108/bij-11-2013-0105&lt;/electronic-resource-num&gt;&lt;remote-database-name&gt;Scopus&lt;/remote-database-name&gt;&lt;/record&gt;&lt;/Cite&gt;&lt;/EndNote&gt;</w:instrText>
      </w:r>
      <w:r w:rsidR="001D099F" w:rsidRPr="007F23AD">
        <w:rPr>
          <w:rFonts w:ascii="Calibri" w:eastAsia="DengXian" w:hAnsi="Calibri" w:cs="Calibri"/>
          <w:color w:val="000000" w:themeColor="text1"/>
          <w:sz w:val="22"/>
          <w:szCs w:val="22"/>
          <w:lang w:val="en-GB"/>
        </w:rPr>
        <w:fldChar w:fldCharType="separate"/>
      </w:r>
      <w:r w:rsidR="001D099F" w:rsidRPr="007F23AD">
        <w:rPr>
          <w:rFonts w:ascii="Calibri" w:eastAsia="DengXian" w:hAnsi="Calibri" w:cs="Calibri"/>
          <w:noProof/>
          <w:color w:val="000000" w:themeColor="text1"/>
          <w:sz w:val="22"/>
          <w:szCs w:val="22"/>
          <w:lang w:val="en-GB"/>
        </w:rPr>
        <w:t>(Saunders et al. 2016)</w:t>
      </w:r>
      <w:r w:rsidR="001D099F"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Despite the growing emphasis on safety improvements, construction SMEs supply chain often overlooks safety risks due to inadequate management practices and disregard </w:t>
      </w:r>
      <w:r w:rsidR="00E058B7" w:rsidRPr="007F23AD">
        <w:rPr>
          <w:rFonts w:ascii="Calibri" w:eastAsia="DengXian" w:hAnsi="Calibri" w:cs="Calibri"/>
          <w:color w:val="000000" w:themeColor="text1"/>
          <w:sz w:val="22"/>
          <w:szCs w:val="22"/>
          <w:lang w:val="en-GB"/>
        </w:rPr>
        <w:t xml:space="preserve">of workers </w:t>
      </w:r>
      <w:r w:rsidRPr="007F23AD">
        <w:rPr>
          <w:rFonts w:ascii="Calibri" w:eastAsia="DengXian" w:hAnsi="Calibri" w:cs="Calibri"/>
          <w:color w:val="000000" w:themeColor="text1"/>
          <w:sz w:val="22"/>
          <w:szCs w:val="22"/>
          <w:lang w:val="en-GB"/>
        </w:rPr>
        <w:t xml:space="preserve">for standard procedures and safety awareness. As highlighted in </w:t>
      </w:r>
      <w:r w:rsidR="00B62063" w:rsidRPr="007F23AD">
        <w:rPr>
          <w:rFonts w:ascii="Calibri" w:eastAsia="DengXian" w:hAnsi="Calibri" w:cs="Calibri"/>
          <w:color w:val="000000" w:themeColor="text1"/>
          <w:sz w:val="22"/>
          <w:szCs w:val="22"/>
          <w:lang w:val="en-GB"/>
        </w:rPr>
        <w:t>Table IV</w:t>
      </w:r>
      <w:r w:rsidRPr="007F23AD">
        <w:rPr>
          <w:rFonts w:ascii="Calibri" w:eastAsia="DengXian" w:hAnsi="Calibri" w:cs="Calibri"/>
          <w:color w:val="000000" w:themeColor="text1"/>
          <w:sz w:val="22"/>
          <w:szCs w:val="22"/>
          <w:lang w:val="en-GB"/>
        </w:rPr>
        <w:t>, numerous researchers have identified safety concerns for SME workers</w:t>
      </w:r>
      <w:r w:rsidR="004A00FB" w:rsidRPr="007F23AD">
        <w:rPr>
          <w:rFonts w:ascii="Calibri" w:eastAsia="DengXian" w:hAnsi="Calibri" w:cs="Calibri"/>
          <w:color w:val="000000" w:themeColor="text1"/>
          <w:sz w:val="22"/>
          <w:szCs w:val="22"/>
          <w:lang w:val="en-GB"/>
        </w:rPr>
        <w:t xml:space="preserve"> </w:t>
      </w:r>
      <w:r w:rsidR="004A00FB" w:rsidRPr="007F23AD">
        <w:rPr>
          <w:rFonts w:ascii="Calibri" w:eastAsia="DengXian" w:hAnsi="Calibri" w:cs="Calibri"/>
          <w:color w:val="000000" w:themeColor="text1"/>
          <w:sz w:val="22"/>
          <w:szCs w:val="22"/>
          <w:lang w:val="en-GB"/>
        </w:rPr>
        <w:fldChar w:fldCharType="begin">
          <w:fldData xml:space="preserve">PEVuZE5vdGU+PENpdGU+PEF1dGhvcj5CYXJyZXRvPC9BdXRob3I+PFllYXI+MjAxNTwvWWVhcj48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=
</w:fldData>
        </w:fldChar>
      </w:r>
      <w:r w:rsidR="005727DB" w:rsidRPr="007F23AD">
        <w:rPr>
          <w:rFonts w:ascii="Calibri" w:eastAsia="DengXian" w:hAnsi="Calibri" w:cs="Calibri"/>
          <w:color w:val="000000" w:themeColor="text1"/>
          <w:sz w:val="22"/>
          <w:szCs w:val="22"/>
          <w:lang w:val="en-GB"/>
        </w:rPr>
        <w:instrText xml:space="preserve"> ADDIN EN.CITE </w:instrText>
      </w:r>
      <w:r w:rsidR="005727DB" w:rsidRPr="007F23AD">
        <w:rPr>
          <w:rFonts w:ascii="Calibri" w:eastAsia="DengXian" w:hAnsi="Calibri" w:cs="Calibri"/>
          <w:color w:val="000000" w:themeColor="text1"/>
          <w:sz w:val="22"/>
          <w:szCs w:val="22"/>
          <w:lang w:val="en-GB"/>
        </w:rPr>
        <w:fldChar w:fldCharType="begin">
          <w:fldData xml:space="preserve">PEVuZE5vdGU+PENpdGU+PEF1dGhvcj5CYXJyZXRvPC9BdXRob3I+PFllYXI+MjAxNTwvWWVhcj48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=
</w:fldData>
        </w:fldChar>
      </w:r>
      <w:r w:rsidR="005727DB" w:rsidRPr="007F23AD">
        <w:rPr>
          <w:rFonts w:ascii="Calibri" w:eastAsia="DengXian" w:hAnsi="Calibri" w:cs="Calibri"/>
          <w:color w:val="000000" w:themeColor="text1"/>
          <w:sz w:val="22"/>
          <w:szCs w:val="22"/>
          <w:lang w:val="en-GB"/>
        </w:rPr>
        <w:instrText xml:space="preserve"> ADDIN EN.CITE.DATA </w:instrText>
      </w:r>
      <w:r w:rsidR="005727DB" w:rsidRPr="007F23AD">
        <w:rPr>
          <w:rFonts w:ascii="Calibri" w:eastAsia="DengXian" w:hAnsi="Calibri" w:cs="Calibri"/>
          <w:color w:val="000000" w:themeColor="text1"/>
          <w:sz w:val="22"/>
          <w:szCs w:val="22"/>
          <w:lang w:val="en-GB"/>
        </w:rPr>
      </w:r>
      <w:r w:rsidR="005727DB" w:rsidRPr="007F23AD">
        <w:rPr>
          <w:rFonts w:ascii="Calibri" w:eastAsia="DengXian" w:hAnsi="Calibri" w:cs="Calibri"/>
          <w:color w:val="000000" w:themeColor="text1"/>
          <w:sz w:val="22"/>
          <w:szCs w:val="22"/>
          <w:lang w:val="en-GB"/>
        </w:rPr>
        <w:fldChar w:fldCharType="end"/>
      </w:r>
      <w:r w:rsidR="004A00FB" w:rsidRPr="007F23AD">
        <w:rPr>
          <w:rFonts w:ascii="Calibri" w:eastAsia="DengXian" w:hAnsi="Calibri" w:cs="Calibri"/>
          <w:color w:val="000000" w:themeColor="text1"/>
          <w:sz w:val="22"/>
          <w:szCs w:val="22"/>
          <w:lang w:val="en-GB"/>
        </w:rPr>
      </w:r>
      <w:r w:rsidR="004A00FB"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(Barreto and Pires 2015; Yap and Lee 2020)</w:t>
      </w:r>
      <w:r w:rsidR="004A00FB"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w:t>
      </w:r>
      <w:r w:rsidR="00BA7E22" w:rsidRPr="007F23AD">
        <w:rPr>
          <w:color w:val="000000" w:themeColor="text1"/>
        </w:rPr>
        <w:t xml:space="preserve"> </w:t>
      </w:r>
      <w:r w:rsidR="0026703B" w:rsidRPr="007F23AD">
        <w:rPr>
          <w:rFonts w:ascii="Calibri" w:eastAsia="DengXian" w:hAnsi="Calibri" w:cs="Calibri"/>
          <w:color w:val="000000" w:themeColor="text1"/>
          <w:sz w:val="22"/>
          <w:szCs w:val="22"/>
          <w:lang w:val="en-GB"/>
        </w:rPr>
        <w:t>Larger organisations have more regulated control procedures and managerial involvement to address safety risks compared to SMEs</w:t>
      </w:r>
      <w:r w:rsidR="00A14AEA" w:rsidRPr="007F23AD">
        <w:rPr>
          <w:rFonts w:ascii="Calibri" w:eastAsia="DengXian" w:hAnsi="Calibri" w:cs="Calibri" w:hint="eastAsia"/>
          <w:color w:val="000000" w:themeColor="text1"/>
          <w:sz w:val="22"/>
          <w:szCs w:val="22"/>
          <w:lang w:val="en-GB"/>
        </w:rPr>
        <w:t xml:space="preserve"> </w:t>
      </w:r>
      <w:r w:rsidR="0026703B" w:rsidRPr="007F23AD">
        <w:rPr>
          <w:rFonts w:ascii="Calibri" w:eastAsia="DengXian" w:hAnsi="Calibri" w:cs="Calibri"/>
          <w:color w:val="000000" w:themeColor="text1"/>
          <w:sz w:val="22"/>
          <w:szCs w:val="22"/>
          <w:lang w:val="en-GB"/>
        </w:rPr>
        <w:fldChar w:fldCharType="begin"/>
      </w:r>
      <w:r w:rsidR="00A14AEA" w:rsidRPr="007F23AD">
        <w:rPr>
          <w:rFonts w:ascii="Calibri" w:eastAsia="DengXian" w:hAnsi="Calibri" w:cs="Calibri"/>
          <w:color w:val="000000" w:themeColor="text1"/>
          <w:sz w:val="22"/>
          <w:szCs w:val="22"/>
          <w:lang w:val="en-GB"/>
        </w:rPr>
        <w:instrText xml:space="preserve"> ADDIN EN.CITE &lt;EndNote&gt;&lt;Cite&gt;&lt;Author&gt;Okonkwo&lt;/Author&gt;&lt;Year&gt;2020&lt;/Year&gt;&lt;RecNum&gt;139&lt;/RecNum&gt;&lt;DisplayText&gt;(Okonkwo and Wium 2020)&lt;/DisplayText&gt;&lt;record&gt;&lt;rec-number&gt;139&lt;/rec-number&gt;&lt;foreign-keys&gt;&lt;key app="EN" db-id="vxw0ffesn9zzt0ewpdx5r5a3fpw92aep9re9" timestamp="1683537081" guid="0f866da9-a8e2-4134-b04a-5e7fe2928bb5"&gt;139&lt;/key&gt;&lt;/foreign-keys&gt;&lt;ref-type name="Journal Article"&gt;17&lt;/ref-type&gt;&lt;contributors&gt;&lt;authors&gt;&lt;author&gt;Okonkwo, P. N.&lt;/author&gt;&lt;author&gt;Wium, J.&lt;/author&gt;&lt;/authors&gt;&lt;/contributors&gt;&lt;auth-address&gt;Stellenbosch Univ, Dept Civil Engn, ZA-7602 Stellenbosch, South Africa&lt;/auth-address&gt;&lt;titles&gt;&lt;title&gt;Health and Safety Management Systems within Construction Contractor Organizations: Case Study of South Africa&lt;/title&gt;&lt;secondary-title&gt;Journal of Construction Engineering and Management&lt;/secondary-title&gt;&lt;alt-title&gt;J Constr Eng M&lt;/alt-title&gt;&lt;/titles&gt;&lt;periodical&gt;&lt;full-title&gt;Journal of Construction Engineering and Management&lt;/full-title&gt;&lt;/periodical&gt;&lt;volume&gt;146&lt;/volume&gt;&lt;number&gt;5&lt;/number&gt;&lt;keywords&gt;&lt;keyword&gt;occupational-health&lt;/keyword&gt;&lt;keyword&gt;leading indicators&lt;/keyword&gt;&lt;keyword&gt;performance&lt;/keyword&gt;&lt;keyword&gt;framework&lt;/keyword&gt;&lt;keyword&gt;culture&lt;/keyword&gt;&lt;keyword&gt;climate&lt;/keyword&gt;&lt;keyword&gt;model&lt;/keyword&gt;&lt;/keywords&gt;&lt;dates&gt;&lt;year&gt;2020&lt;/year&gt;&lt;pub-dates&gt;&lt;date&gt;May 1&lt;/date&gt;&lt;/pub-dates&gt;&lt;/dates&gt;&lt;isbn&gt;0733-9364&lt;/isbn&gt;&lt;accession-num&gt;WOS:000521196700017&lt;/accession-num&gt;&lt;work-type&gt;Article&lt;/work-type&gt;&lt;urls&gt;&lt;related-urls&gt;&lt;url&gt;&amp;lt;Go to ISI&amp;gt;://WOS:000521196700017&lt;/url&gt;&lt;/related-urls&gt;&lt;/urls&gt;&lt;custom7&gt;05020003&lt;/custom7&gt;&lt;electronic-resource-num&gt;Artn 05020003&amp;#xD;10.1061/(Asce)Co.1943-7862.0001833&lt;/electronic-resource-num&gt;&lt;remote-database-name&gt;Scopus&lt;/remote-database-name&gt;&lt;language&gt;English&lt;/language&gt;&lt;/record&gt;&lt;/Cite&gt;&lt;/EndNote&gt;</w:instrText>
      </w:r>
      <w:r w:rsidR="0026703B" w:rsidRPr="007F23AD">
        <w:rPr>
          <w:rFonts w:ascii="Calibri" w:eastAsia="DengXian" w:hAnsi="Calibri" w:cs="Calibri"/>
          <w:color w:val="000000" w:themeColor="text1"/>
          <w:sz w:val="22"/>
          <w:szCs w:val="22"/>
          <w:lang w:val="en-GB"/>
        </w:rPr>
        <w:fldChar w:fldCharType="separate"/>
      </w:r>
      <w:r w:rsidR="00A14AEA" w:rsidRPr="007F23AD">
        <w:rPr>
          <w:rFonts w:ascii="Calibri" w:eastAsia="DengXian" w:hAnsi="Calibri" w:cs="Calibri"/>
          <w:noProof/>
          <w:color w:val="000000" w:themeColor="text1"/>
          <w:sz w:val="22"/>
          <w:szCs w:val="22"/>
          <w:lang w:val="en-GB"/>
        </w:rPr>
        <w:t>(Okonkwo and Wium 2020)</w:t>
      </w:r>
      <w:r w:rsidR="0026703B" w:rsidRPr="007F23AD">
        <w:rPr>
          <w:rFonts w:ascii="Calibri" w:eastAsia="DengXian" w:hAnsi="Calibri" w:cs="Calibri"/>
          <w:color w:val="000000" w:themeColor="text1"/>
          <w:sz w:val="22"/>
          <w:szCs w:val="22"/>
          <w:lang w:val="en-GB"/>
        </w:rPr>
        <w:fldChar w:fldCharType="end"/>
      </w:r>
      <w:r w:rsidR="0026703B" w:rsidRPr="007F23AD">
        <w:rPr>
          <w:rFonts w:ascii="Calibri" w:eastAsia="DengXian" w:hAnsi="Calibri" w:cs="Calibri"/>
          <w:color w:val="000000" w:themeColor="text1"/>
          <w:sz w:val="22"/>
          <w:szCs w:val="22"/>
          <w:lang w:val="en-GB"/>
        </w:rPr>
        <w:t>.</w:t>
      </w:r>
      <w:r w:rsidR="00472FAA" w:rsidRPr="007F23AD">
        <w:rPr>
          <w:rFonts w:ascii="Calibri" w:eastAsia="DengXian" w:hAnsi="Calibri" w:cs="Calibri"/>
          <w:color w:val="000000" w:themeColor="text1"/>
          <w:sz w:val="22"/>
          <w:szCs w:val="22"/>
          <w:lang w:val="en-GB"/>
        </w:rPr>
        <w:t xml:space="preserve"> </w:t>
      </w:r>
    </w:p>
    <w:p w14:paraId="7574E2C6" w14:textId="77777777" w:rsidR="00155FDA" w:rsidRPr="007F23AD" w:rsidRDefault="00155FDA" w:rsidP="00C3226C">
      <w:pPr>
        <w:spacing w:line="480" w:lineRule="auto"/>
        <w:jc w:val="both"/>
        <w:rPr>
          <w:rFonts w:ascii="Calibri" w:eastAsia="DengXian" w:hAnsi="Calibri" w:cs="Calibri"/>
          <w:color w:val="000000" w:themeColor="text1"/>
          <w:sz w:val="22"/>
          <w:szCs w:val="22"/>
          <w:lang w:val="en-GB"/>
        </w:rPr>
      </w:pPr>
    </w:p>
    <w:p w14:paraId="0109AF8D" w14:textId="464D25B3" w:rsidR="00EE2671" w:rsidRPr="007F23AD" w:rsidRDefault="00D0072D" w:rsidP="007C675E">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t xml:space="preserve">Implementation </w:t>
      </w:r>
      <w:r w:rsidR="0080644F" w:rsidRPr="007F23AD">
        <w:rPr>
          <w:rFonts w:ascii="Calibri" w:eastAsia="DengXian" w:hAnsi="Calibri" w:cs="Calibri"/>
          <w:i/>
          <w:iCs/>
          <w:color w:val="000000" w:themeColor="text1"/>
          <w:sz w:val="22"/>
          <w:szCs w:val="22"/>
          <w:lang w:val="en-GB"/>
        </w:rPr>
        <w:t>risk</w:t>
      </w:r>
    </w:p>
    <w:p w14:paraId="70E7AC6D" w14:textId="5D27D07A" w:rsidR="0025230B" w:rsidRPr="007F23AD" w:rsidRDefault="00D0072D" w:rsidP="00C3226C">
      <w:pPr>
        <w:spacing w:line="480" w:lineRule="auto"/>
        <w:jc w:val="both"/>
        <w:rPr>
          <w:rFonts w:ascii="Calibri" w:eastAsia="DengXian" w:hAnsi="Calibri" w:cs="Calibri"/>
          <w:color w:val="000000" w:themeColor="text1"/>
          <w:sz w:val="22"/>
          <w:szCs w:val="22"/>
        </w:rPr>
      </w:pPr>
      <w:r w:rsidRPr="007F23AD">
        <w:rPr>
          <w:rFonts w:ascii="Calibri" w:eastAsia="DengXian" w:hAnsi="Calibri" w:cs="Calibri"/>
          <w:color w:val="000000" w:themeColor="text1"/>
          <w:sz w:val="22"/>
          <w:szCs w:val="22"/>
          <w:lang w:val="en-GB"/>
        </w:rPr>
        <w:t>In this research, implementation risk is defined as the risk associated with executing a strategy, plan, process, or framework. While many of the risk mitigations highlighted are more applicable to large construction corporations, the inherent flexibility and streamlined structure of SMEs equip them to be cogni</w:t>
      </w:r>
      <w:r w:rsidR="001837EB" w:rsidRPr="007F23AD">
        <w:rPr>
          <w:rFonts w:ascii="Calibri" w:eastAsia="DengXian" w:hAnsi="Calibri" w:cs="Calibri" w:hint="eastAsia"/>
          <w:color w:val="000000" w:themeColor="text1"/>
          <w:sz w:val="22"/>
          <w:szCs w:val="22"/>
          <w:lang w:val="en-GB"/>
        </w:rPr>
        <w:t>s</w:t>
      </w:r>
      <w:r w:rsidRPr="007F23AD">
        <w:rPr>
          <w:rFonts w:ascii="Calibri" w:eastAsia="DengXian" w:hAnsi="Calibri" w:cs="Calibri"/>
          <w:color w:val="000000" w:themeColor="text1"/>
          <w:sz w:val="22"/>
          <w:szCs w:val="22"/>
          <w:lang w:val="en-GB"/>
        </w:rPr>
        <w:t xml:space="preserve">ant of risks during the implementation process </w:t>
      </w:r>
      <w:r w:rsidRPr="007F23AD">
        <w:rPr>
          <w:rFonts w:ascii="Calibri" w:eastAsia="DengXian" w:hAnsi="Calibri" w:cs="Calibri"/>
          <w:color w:val="000000" w:themeColor="text1"/>
          <w:sz w:val="22"/>
          <w:szCs w:val="22"/>
          <w:lang w:val="en-GB"/>
        </w:rPr>
        <w:fldChar w:fldCharType="begin"/>
      </w:r>
      <w:r w:rsidR="00922C2B" w:rsidRPr="007F23AD">
        <w:rPr>
          <w:rFonts w:ascii="Calibri" w:eastAsia="DengXian" w:hAnsi="Calibri" w:cs="Calibri"/>
          <w:color w:val="000000" w:themeColor="text1"/>
          <w:sz w:val="22"/>
          <w:szCs w:val="22"/>
          <w:lang w:val="en-GB"/>
        </w:rPr>
        <w:instrText xml:space="preserve"> ADDIN EN.CITE &lt;EndNote&gt;&lt;Cite&gt;&lt;Author&gt;Laforet&lt;/Author&gt;&lt;Year&gt;2013&lt;/Year&gt;&lt;RecNum&gt;1200&lt;/RecNum&gt;&lt;DisplayText&gt;(Laforet 2013)&lt;/DisplayText&gt;&lt;record&gt;&lt;rec-number&gt;1200&lt;/rec-number&gt;&lt;foreign-keys&gt;&lt;key app="EN" db-id="vxw0ffesn9zzt0ewpdx5r5a3fpw92aep9re9" timestamp="1699352774" guid="61a8f9ef-08e0-455f-9a50-fcb8f95e5a75"&gt;1200&lt;/key&gt;&lt;/foreign-keys&gt;&lt;ref-type name="Journal Article"&gt;17&lt;/ref-type&gt;&lt;contributors&gt;&lt;authors&gt;&lt;author&gt;Laforet, Sylvie&lt;/author&gt;&lt;/authors&gt;&lt;/contributors&gt;&lt;titles&gt;&lt;title&gt;Organizational innovation outcomes in SMEs: Effects of age, size, and sector&lt;/title&gt;&lt;secondary-title&gt;Journal of World business&lt;/secondary-title&gt;&lt;/titles&gt;&lt;periodical&gt;&lt;full-title&gt;Journal of World business&lt;/full-title&gt;&lt;/periodical&gt;&lt;pages&gt;490-502&lt;/pages&gt;&lt;volume&gt;48&lt;/volume&gt;&lt;number&gt;4&lt;/number&gt;&lt;dates&gt;&lt;year&gt;2013&lt;/year&gt;&lt;/dates&gt;&lt;isbn&gt;1090-9516&lt;/isbn&gt;&lt;urls&gt;&lt;/urls&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(Laforet 2013)</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rPr>
        <w:t>Consider implementation risk is relative new topic emphasized in the construction SMEs supply chain. There is a need for a clearer distinction between implementation risks based on their scale and associated risks, such as strategic, sustainability, and technological risks</w:t>
      </w:r>
      <w:r w:rsidRPr="007F23AD">
        <w:rPr>
          <w:rFonts w:ascii="Calibri" w:eastAsia="DengXian" w:hAnsi="Calibri" w:cs="Calibri"/>
          <w:b/>
          <w:bCs/>
          <w:color w:val="000000" w:themeColor="text1"/>
          <w:sz w:val="22"/>
          <w:szCs w:val="22"/>
        </w:rPr>
        <w:t xml:space="preserve"> </w:t>
      </w:r>
      <w:r w:rsidRPr="007F23AD">
        <w:rPr>
          <w:rFonts w:ascii="Calibri" w:eastAsia="DengXian" w:hAnsi="Calibri" w:cs="Calibri"/>
          <w:color w:val="000000" w:themeColor="text1"/>
          <w:sz w:val="22"/>
          <w:szCs w:val="22"/>
        </w:rPr>
        <w:t xml:space="preserve">which reflect the importance of </w:t>
      </w:r>
      <w:r w:rsidRPr="007F23AD">
        <w:rPr>
          <w:rFonts w:ascii="Calibri" w:eastAsia="DengXian" w:hAnsi="Calibri" w:cs="Calibri" w:hint="eastAsia"/>
          <w:color w:val="000000" w:themeColor="text1"/>
          <w:sz w:val="22"/>
          <w:szCs w:val="22"/>
        </w:rPr>
        <w:t>research</w:t>
      </w:r>
      <w:r w:rsidRPr="007F23AD">
        <w:rPr>
          <w:rFonts w:ascii="Calibri" w:eastAsia="DengXian" w:hAnsi="Calibri" w:cs="Calibri"/>
          <w:color w:val="000000" w:themeColor="text1"/>
          <w:sz w:val="22"/>
          <w:szCs w:val="22"/>
        </w:rPr>
        <w:t xml:space="preserve"> gap 1.</w:t>
      </w:r>
    </w:p>
    <w:p w14:paraId="608C39DF" w14:textId="77777777" w:rsidR="00615BED" w:rsidRPr="007F23AD" w:rsidRDefault="00615BED" w:rsidP="00C3226C">
      <w:pPr>
        <w:spacing w:line="480" w:lineRule="auto"/>
        <w:jc w:val="both"/>
        <w:rPr>
          <w:rFonts w:ascii="Calibri" w:eastAsia="DengXian" w:hAnsi="Calibri" w:cs="Calibri"/>
          <w:color w:val="000000" w:themeColor="text1"/>
          <w:sz w:val="22"/>
          <w:szCs w:val="22"/>
          <w:lang w:val="en-GB"/>
        </w:rPr>
      </w:pPr>
    </w:p>
    <w:p w14:paraId="40C6292A" w14:textId="40D72739" w:rsidR="00432CBF" w:rsidRPr="007F23AD" w:rsidRDefault="00AB32D7" w:rsidP="007C675E">
      <w:pPr>
        <w:pStyle w:val="a3"/>
        <w:numPr>
          <w:ilvl w:val="2"/>
          <w:numId w:val="2"/>
        </w:numPr>
        <w:spacing w:line="480" w:lineRule="auto"/>
        <w:jc w:val="both"/>
        <w:rPr>
          <w:rFonts w:ascii="Calibri" w:eastAsia="DengXian" w:hAnsi="Calibri" w:cs="Calibri"/>
          <w:b/>
          <w:bCs/>
          <w:i/>
          <w:iCs/>
          <w:color w:val="000000" w:themeColor="text1"/>
          <w:sz w:val="22"/>
          <w:szCs w:val="22"/>
          <w:lang w:val="en-GB"/>
        </w:rPr>
      </w:pPr>
      <w:r w:rsidRPr="007F23AD">
        <w:rPr>
          <w:rFonts w:ascii="Calibri" w:eastAsia="DengXian" w:hAnsi="Calibri" w:cs="Calibri"/>
          <w:b/>
          <w:bCs/>
          <w:i/>
          <w:iCs/>
          <w:color w:val="000000" w:themeColor="text1"/>
          <w:sz w:val="22"/>
          <w:szCs w:val="22"/>
          <w:lang w:val="en-GB"/>
        </w:rPr>
        <w:t>Risks related to</w:t>
      </w:r>
      <w:r w:rsidR="00A0551A" w:rsidRPr="007F23AD">
        <w:rPr>
          <w:rFonts w:ascii="Calibri" w:eastAsia="DengXian" w:hAnsi="Calibri" w:cs="Calibri"/>
          <w:b/>
          <w:bCs/>
          <w:i/>
          <w:iCs/>
          <w:color w:val="000000" w:themeColor="text1"/>
          <w:sz w:val="22"/>
          <w:szCs w:val="22"/>
          <w:lang w:val="en-GB"/>
        </w:rPr>
        <w:t xml:space="preserve"> sustainability</w:t>
      </w:r>
    </w:p>
    <w:p w14:paraId="7C1E8410" w14:textId="7D80D520" w:rsidR="00CA74EC" w:rsidRPr="007F23AD" w:rsidRDefault="007A7C1E"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 xml:space="preserve">The third research </w:t>
      </w:r>
      <w:r w:rsidR="00932FB1" w:rsidRPr="007F23AD">
        <w:rPr>
          <w:rFonts w:ascii="Calibri" w:hAnsi="Calibri" w:cs="Calibri"/>
          <w:color w:val="000000" w:themeColor="text1"/>
          <w:sz w:val="22"/>
          <w:szCs w:val="22"/>
          <w:lang w:val="en-GB"/>
        </w:rPr>
        <w:t>theme</w:t>
      </w:r>
      <w:r w:rsidRPr="007F23AD">
        <w:rPr>
          <w:rFonts w:ascii="Calibri" w:hAnsi="Calibri" w:cs="Calibri"/>
          <w:color w:val="000000" w:themeColor="text1"/>
          <w:sz w:val="22"/>
          <w:szCs w:val="22"/>
          <w:lang w:val="en-GB"/>
        </w:rPr>
        <w:t xml:space="preserve"> focuses on the technological</w:t>
      </w:r>
      <w:r w:rsidR="004D73F9"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and environmental risks that influence the supply chain of construction SMEs</w:t>
      </w:r>
      <w:r w:rsidR="00BF2661" w:rsidRPr="007F23AD">
        <w:rPr>
          <w:rFonts w:ascii="Calibri" w:hAnsi="Calibri" w:cs="Calibri"/>
          <w:color w:val="000000" w:themeColor="text1"/>
          <w:sz w:val="22"/>
          <w:szCs w:val="22"/>
          <w:lang w:val="en-GB"/>
        </w:rPr>
        <w:t xml:space="preserve"> as shown in the </w:t>
      </w:r>
      <w:r w:rsidR="008E6CEA" w:rsidRPr="007F23AD">
        <w:rPr>
          <w:rFonts w:ascii="Calibri" w:hAnsi="Calibri" w:cs="Calibri"/>
          <w:color w:val="000000" w:themeColor="text1"/>
          <w:sz w:val="22"/>
          <w:szCs w:val="22"/>
          <w:lang w:val="en-GB"/>
        </w:rPr>
        <w:t>Table V</w:t>
      </w:r>
      <w:r w:rsidRPr="007F23AD">
        <w:rPr>
          <w:rFonts w:ascii="Calibri" w:hAnsi="Calibri" w:cs="Calibri"/>
          <w:color w:val="000000" w:themeColor="text1"/>
          <w:sz w:val="22"/>
          <w:szCs w:val="22"/>
          <w:lang w:val="en-GB"/>
        </w:rPr>
        <w:t>. Notably, in this study, technology refers to the technological requirements introduced by Industry 4.0</w:t>
      </w:r>
      <w:r w:rsidR="00B4047E" w:rsidRPr="007F23AD">
        <w:rPr>
          <w:rFonts w:ascii="Calibri" w:hAnsi="Calibri" w:cs="Calibri"/>
          <w:color w:val="000000" w:themeColor="text1"/>
          <w:sz w:val="22"/>
          <w:szCs w:val="22"/>
          <w:lang w:val="en-GB"/>
        </w:rPr>
        <w:t xml:space="preserve"> and BIM etc</w:t>
      </w:r>
      <w:r w:rsidR="00BF2661" w:rsidRPr="007F23AD">
        <w:rPr>
          <w:rFonts w:ascii="Calibri" w:hAnsi="Calibri" w:cs="Calibri"/>
          <w:color w:val="000000" w:themeColor="text1"/>
          <w:sz w:val="22"/>
          <w:szCs w:val="22"/>
          <w:lang w:val="en-GB"/>
        </w:rPr>
        <w:t>.</w:t>
      </w:r>
    </w:p>
    <w:p w14:paraId="08DB0CB3" w14:textId="77777777" w:rsidR="000F0E6D" w:rsidRPr="007F23AD" w:rsidRDefault="000F0E6D" w:rsidP="00C3226C">
      <w:pPr>
        <w:spacing w:line="480" w:lineRule="auto"/>
        <w:jc w:val="both"/>
        <w:rPr>
          <w:rFonts w:ascii="Calibri" w:hAnsi="Calibri" w:cs="Calibri"/>
          <w:color w:val="000000" w:themeColor="text1"/>
          <w:sz w:val="22"/>
          <w:szCs w:val="22"/>
          <w:lang w:val="en-GB"/>
        </w:rPr>
      </w:pPr>
    </w:p>
    <w:p w14:paraId="5682D8E9" w14:textId="77777777" w:rsidR="000F0E6D" w:rsidRPr="007F23AD" w:rsidRDefault="000F0E6D" w:rsidP="000F0E6D">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rPr>
        <w:t xml:space="preserve">Technological </w:t>
      </w:r>
      <w:r w:rsidRPr="007F23AD">
        <w:rPr>
          <w:rFonts w:ascii="Calibri" w:eastAsia="DengXian" w:hAnsi="Calibri" w:cs="Calibri"/>
          <w:i/>
          <w:iCs/>
          <w:color w:val="000000" w:themeColor="text1"/>
          <w:sz w:val="22"/>
          <w:szCs w:val="22"/>
          <w:lang w:val="en-GB"/>
        </w:rPr>
        <w:t xml:space="preserve">risk </w:t>
      </w:r>
    </w:p>
    <w:p w14:paraId="74C85116" w14:textId="53EBB8E9" w:rsidR="000F0E6D" w:rsidRPr="007F23AD" w:rsidRDefault="000F0E6D" w:rsidP="000F0E6D">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The emergence of technologies such as Industry 4.0 and BIM has introduced significant technological advancements and led to shifts in managerial practices. Despite the opportunities these advancements present, SMEs face distinct challenges when adopting these technologies, including a lack of expertise and a tendency towards short-term planning </w:t>
      </w:r>
      <w:r w:rsidRPr="007F23AD">
        <w:rPr>
          <w:rFonts w:ascii="Calibri" w:eastAsia="DengXian" w:hAnsi="Calibri" w:cs="Calibri"/>
          <w:color w:val="000000" w:themeColor="text1"/>
          <w:sz w:val="22"/>
          <w:szCs w:val="22"/>
          <w:lang w:val="en-GB"/>
        </w:rPr>
        <w:fldChar w:fldCharType="begin">
          <w:fldData xml:space="preserve">PEVuZE5vdGU+PENpdGU+PEF1dGhvcj5Nb2V1ZjwvQXV0aG9yPjxZZWFyPjIwMTk8L1llYXI+PFJl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</w:fldData>
        </w:fldChar>
      </w:r>
      <w:r w:rsidR="005727DB" w:rsidRPr="007F23AD">
        <w:rPr>
          <w:rFonts w:ascii="Calibri" w:eastAsia="DengXian" w:hAnsi="Calibri" w:cs="Calibri"/>
          <w:color w:val="000000" w:themeColor="text1"/>
          <w:sz w:val="22"/>
          <w:szCs w:val="22"/>
          <w:lang w:val="en-GB"/>
        </w:rPr>
        <w:instrText xml:space="preserve"> ADDIN EN.CITE </w:instrText>
      </w:r>
      <w:r w:rsidR="005727DB" w:rsidRPr="007F23AD">
        <w:rPr>
          <w:rFonts w:ascii="Calibri" w:eastAsia="DengXian" w:hAnsi="Calibri" w:cs="Calibri"/>
          <w:color w:val="000000" w:themeColor="text1"/>
          <w:sz w:val="22"/>
          <w:szCs w:val="22"/>
          <w:lang w:val="en-GB"/>
        </w:rPr>
        <w:fldChar w:fldCharType="begin">
          <w:fldData xml:space="preserve">PEVuZE5vdGU+PENpdGU+PEF1dGhvcj5Nb2V1ZjwvQXV0aG9yPjxZZWFyPjIwMTk8L1llYXI+PFJl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</w:fldData>
        </w:fldChar>
      </w:r>
      <w:r w:rsidR="005727DB" w:rsidRPr="007F23AD">
        <w:rPr>
          <w:rFonts w:ascii="Calibri" w:eastAsia="DengXian" w:hAnsi="Calibri" w:cs="Calibri"/>
          <w:color w:val="000000" w:themeColor="text1"/>
          <w:sz w:val="22"/>
          <w:szCs w:val="22"/>
          <w:lang w:val="en-GB"/>
        </w:rPr>
        <w:instrText xml:space="preserve"> ADDIN EN.CITE.DATA </w:instrText>
      </w:r>
      <w:r w:rsidR="005727DB" w:rsidRPr="007F23AD">
        <w:rPr>
          <w:rFonts w:ascii="Calibri" w:eastAsia="DengXian" w:hAnsi="Calibri" w:cs="Calibri"/>
          <w:color w:val="000000" w:themeColor="text1"/>
          <w:sz w:val="22"/>
          <w:szCs w:val="22"/>
          <w:lang w:val="en-GB"/>
        </w:rPr>
      </w:r>
      <w:r w:rsidR="005727DB"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(Moeuf et al. 2019; Mansour et al. 2021)</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Furthermore, when factoring in strategy risk, many construction companies are hesitant to integrate new technologies due to associated costs and the need for employee training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&lt;EndNote&gt;&lt;Cite&gt;&lt;Author&gt;Setijono&lt;/Author&gt;&lt;Year&gt;2010&lt;/Year&gt;&lt;RecNum&gt;0&lt;/RecNum&gt;&lt;IDText&gt;A conceptual framework for managing the performance of construction supply chain&lt;/IDText&gt;&lt;DisplayText&gt;(Setijono 2010)&lt;/DisplayText&gt;&lt;record&gt;&lt;rec-number&gt;63&lt;/rec-number&gt;&lt;foreign-keys&gt;&lt;key app="EN" db-id="pzdwvt0zxepzzqe2zdmp5zajvd0tv5sdtt2w" timestamp="1701253332"&gt;63&lt;/key&gt;&lt;/foreign-keys&gt;&lt;ref-type name="Journal Article"&gt;17&lt;/ref-type&gt;&lt;contributors&gt;&lt;authors&gt;&lt;author&gt;Setijono, Djoko&lt;/author&gt;&lt;/authors&gt;&lt;/contributors&gt;&lt;titles&gt;&lt;title&gt;A conceptual framework for managing the performance of construction supply chain&lt;/title&gt;&lt;secondary-title&gt;International Journal of Productivity and Quality Management&lt;/secondary-title&gt;&lt;/titles&gt;&lt;periodical&gt;&lt;full-title&gt;International Journal of Productivity and Quality Management&lt;/full-title&gt;&lt;/periodical&gt;&lt;pages&gt;1-20&lt;/pages&gt;&lt;volume&gt;5&lt;/volume&gt;&lt;number&gt;1&lt;/number&gt;&lt;section&gt;1&lt;/section&gt;&lt;dates&gt;&lt;year&gt;2010&lt;/year&gt;&lt;pub-dates&gt;&lt;date&gt;2010/01/01&lt;/date&gt;&lt;/pub-dates&gt;&lt;/dates&gt;&lt;publisher&gt;Inderscience Publishers&lt;/publisher&gt;&lt;isbn&gt;1746-6474&amp;#xD;1746-6482&lt;/isbn&gt;&lt;urls&gt;&lt;related-urls&gt;&lt;url&gt;https://www.inderscienceonline.com/doi/abs/10.1504/IJPQM.2010.029503&lt;/url&gt;&lt;/related-urls&gt;&lt;/urls&gt;&lt;electronic-resource-num&gt;10.1504/ijpqm.2010.029503&lt;/electronic-resource-num&gt;&lt;access-date&gt;2022/06/15&lt;/access-dat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(Setijono 2010)</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Nevertheless, these technologies can provide considerable benefits to SMEs, particularly in enhancing employee health and safety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&lt;EndNote&gt;&lt;Cite&gt;&lt;Author&gt;Yap&lt;/Author&gt;&lt;Year&gt;2019&lt;/Year&gt;&lt;RecNum&gt;0&lt;/RecNum&gt;&lt;IDText&gt;Analysing the underlying factors affecting safety performance in building construction&lt;/IDText&gt;&lt;DisplayText&gt;(Yap and Lee 2019)&lt;/DisplayText&gt;&lt;record&gt;&lt;rec-number&gt;79&lt;/rec-number&gt;&lt;foreign-keys&gt;&lt;key app="EN" db-id="pzdwvt0zxepzzqe2zdmp5zajvd0tv5sdtt2w" timestamp="1701253332"&gt;79&lt;/key&gt;&lt;/foreign-keys&gt;&lt;ref-type name="Journal Article"&gt;17&lt;/ref-type&gt;&lt;contributors&gt;&lt;authors&gt;&lt;author&gt;Yap, Jeffrey Boon Hui&lt;/author&gt;&lt;author&gt;Lee, Wen Kai&lt;/author&gt;&lt;/authors&gt;&lt;/contributors&gt;&lt;titles&gt;&lt;title&gt;Analysing the underlying factors affecting safety performance in building construction&lt;/title&gt;&lt;secondary-title&gt;Production Planning &amp;amp; Control&lt;/secondary-title&gt;&lt;/titles&gt;&lt;periodical&gt;&lt;full-title&gt;Production Planning &amp;amp; Control&lt;/full-title&gt;&lt;/periodical&gt;&lt;pages&gt;1061-1076&lt;/pages&gt;&lt;volume&gt;31&lt;/volume&gt;&lt;number&gt;13&lt;/number&gt;&lt;section&gt;1061&lt;/section&gt;&lt;dates&gt;&lt;year&gt;2019&lt;/year&gt;&lt;/dates&gt;&lt;isbn&gt;0953-7287&amp;#xD;1366-5871&lt;/isbn&gt;&lt;work-type&gt;Article&lt;/work-type&gt;&lt;urls&gt;&lt;related-urls&gt;&lt;url&gt;https://www.scopus.com/inward/record.uri?eid=2-s2.0-85075972814&amp;amp;doi=10.1080%2f09537287.2019.1695292&amp;amp;partnerID=40&amp;amp;md5=c7146f4a8fb3ea9476766859a156efb8&lt;/url&gt;&lt;/related-urls&gt;&lt;/urls&gt;&lt;electronic-resource-num&gt;10.1080/09537287.2019.1695292&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(Yap and Lee 2019)</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w:t>
      </w:r>
      <w:r w:rsidRPr="007F23AD">
        <w:rPr>
          <w:color w:val="000000" w:themeColor="text1"/>
        </w:rPr>
        <w:t xml:space="preserve"> </w:t>
      </w:r>
      <w:r w:rsidRPr="007F23AD">
        <w:rPr>
          <w:rFonts w:ascii="Calibri" w:eastAsia="DengXian" w:hAnsi="Calibri" w:cs="Calibri"/>
          <w:color w:val="000000" w:themeColor="text1"/>
          <w:sz w:val="22"/>
          <w:szCs w:val="22"/>
          <w:lang w:val="en-GB"/>
        </w:rPr>
        <w:t>Although many studies have highlighted the impact of technologies such as Industry 4.0 on supply chains, there is a need for research exploring the specific risks they pose to the supply chains of construction SMEs (</w:t>
      </w:r>
      <w:r w:rsidRPr="007F23AD">
        <w:rPr>
          <w:rFonts w:ascii="Calibri" w:eastAsia="DengXian" w:hAnsi="Calibri" w:cs="Calibri"/>
          <w:b/>
          <w:bCs/>
          <w:color w:val="000000" w:themeColor="text1"/>
          <w:sz w:val="22"/>
          <w:szCs w:val="22"/>
          <w:lang w:val="en-GB"/>
        </w:rPr>
        <w:t xml:space="preserve">Gap </w:t>
      </w:r>
      <w:r w:rsidR="009228C5" w:rsidRPr="007F23AD">
        <w:rPr>
          <w:rFonts w:ascii="Calibri" w:eastAsia="DengXian" w:hAnsi="Calibri" w:cs="Calibri"/>
          <w:b/>
          <w:bCs/>
          <w:color w:val="000000" w:themeColor="text1"/>
          <w:sz w:val="22"/>
          <w:szCs w:val="22"/>
          <w:lang w:val="en-GB"/>
        </w:rPr>
        <w:t>6</w:t>
      </w:r>
      <w:r w:rsidRPr="007F23AD">
        <w:rPr>
          <w:rFonts w:ascii="Calibri" w:eastAsia="DengXian" w:hAnsi="Calibri" w:cs="Calibri"/>
          <w:color w:val="000000" w:themeColor="text1"/>
          <w:sz w:val="22"/>
          <w:szCs w:val="22"/>
          <w:lang w:val="en-GB"/>
        </w:rPr>
        <w:t>).</w:t>
      </w:r>
    </w:p>
    <w:p w14:paraId="01980715" w14:textId="77777777" w:rsidR="000F0E6D" w:rsidRPr="007F23AD" w:rsidRDefault="000F0E6D" w:rsidP="00C3226C">
      <w:pPr>
        <w:spacing w:line="480" w:lineRule="auto"/>
        <w:jc w:val="both"/>
        <w:rPr>
          <w:rFonts w:ascii="Calibri" w:hAnsi="Calibri" w:cs="Calibri"/>
          <w:color w:val="000000" w:themeColor="text1"/>
          <w:sz w:val="22"/>
          <w:szCs w:val="22"/>
          <w:lang w:val="en-GB"/>
        </w:rPr>
        <w:sectPr w:rsidR="000F0E6D" w:rsidRPr="007F23AD" w:rsidSect="002F0FBC">
          <w:pgSz w:w="11900" w:h="16840"/>
          <w:pgMar w:top="1440" w:right="1800" w:bottom="1440" w:left="1800" w:header="708" w:footer="708" w:gutter="0"/>
          <w:cols w:space="708"/>
          <w:docGrid w:linePitch="360"/>
        </w:sectPr>
      </w:pPr>
    </w:p>
    <w:p w14:paraId="7FE58C30" w14:textId="77777777" w:rsidR="00C010F8" w:rsidRDefault="008E6CEA" w:rsidP="00C010F8">
      <w:pPr>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lastRenderedPageBreak/>
        <w:t>Table V</w:t>
      </w:r>
      <w:r w:rsidR="00243917" w:rsidRPr="007F23AD">
        <w:rPr>
          <w:rFonts w:ascii="Calibri" w:hAnsi="Calibri" w:cs="Calibri"/>
          <w:color w:val="000000" w:themeColor="text1"/>
          <w:sz w:val="22"/>
          <w:szCs w:val="22"/>
          <w:lang w:val="en-GB"/>
        </w:rPr>
        <w:t xml:space="preserve">: Supply Chain </w:t>
      </w:r>
      <w:r w:rsidR="00A0551A" w:rsidRPr="007F23AD">
        <w:rPr>
          <w:rFonts w:ascii="Calibri" w:eastAsia="DengXian" w:hAnsi="Calibri" w:cs="Calibri"/>
          <w:color w:val="000000" w:themeColor="text1"/>
          <w:sz w:val="22"/>
          <w:szCs w:val="22"/>
          <w:lang w:val="en-GB"/>
        </w:rPr>
        <w:t>Sustainability</w:t>
      </w:r>
      <w:r w:rsidR="00C010F8" w:rsidRPr="00C010F8">
        <w:rPr>
          <w:rFonts w:ascii="Calibri" w:hAnsi="Calibri" w:cs="Calibri"/>
          <w:color w:val="000000" w:themeColor="text1"/>
          <w:sz w:val="22"/>
          <w:szCs w:val="22"/>
          <w:lang w:val="en-GB"/>
        </w:rPr>
        <w:t xml:space="preserve"> </w:t>
      </w:r>
    </w:p>
    <w:p w14:paraId="501BED33" w14:textId="349207E0" w:rsidR="00751CEF" w:rsidRPr="00C010F8" w:rsidRDefault="00C010F8" w:rsidP="00C010F8">
      <w:pPr>
        <w:jc w:val="center"/>
        <w:rPr>
          <w:rFonts w:ascii="Calibri" w:hAnsi="Calibri" w:cs="Calibri" w:hint="eastAsia"/>
          <w:color w:val="000000" w:themeColor="text1"/>
          <w:sz w:val="22"/>
          <w:szCs w:val="22"/>
          <w:lang w:val="en-GB"/>
        </w:rPr>
      </w:pPr>
      <w:r w:rsidRPr="003E6EF8">
        <w:rPr>
          <w:rFonts w:ascii="Calibri" w:hAnsi="Calibri" w:cs="Calibri"/>
          <w:color w:val="000000" w:themeColor="text1"/>
          <w:sz w:val="22"/>
          <w:szCs w:val="22"/>
          <w:lang w:val="en-GB"/>
        </w:rPr>
        <w:t>Source: Authors own work</w:t>
      </w:r>
    </w:p>
    <w:tbl>
      <w:tblPr>
        <w:tblpPr w:leftFromText="180" w:rightFromText="180" w:horzAnchor="margin" w:tblpY="600"/>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0920"/>
      </w:tblGrid>
      <w:tr w:rsidR="007F23AD" w:rsidRPr="007F23AD" w14:paraId="78FE1CD6" w14:textId="77777777" w:rsidTr="00192080">
        <w:trPr>
          <w:trHeight w:val="320"/>
        </w:trPr>
        <w:tc>
          <w:tcPr>
            <w:tcW w:w="13892" w:type="dxa"/>
            <w:gridSpan w:val="2"/>
            <w:shd w:val="clear" w:color="auto" w:fill="auto"/>
            <w:noWrap/>
            <w:vAlign w:val="center"/>
            <w:hideMark/>
          </w:tcPr>
          <w:p w14:paraId="7C94F168" w14:textId="6107BF5A" w:rsidR="00751CEF" w:rsidRPr="007F23AD" w:rsidRDefault="00751CEF">
            <w:pPr>
              <w:spacing w:line="480" w:lineRule="auto"/>
              <w:jc w:val="both"/>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Scope:</w:t>
            </w:r>
            <w:r w:rsidR="00423F36" w:rsidRPr="007F23AD">
              <w:rPr>
                <w:rFonts w:ascii="Calibri" w:eastAsia="DengXian" w:hAnsi="Calibri" w:cs="Calibri"/>
                <w:color w:val="000000" w:themeColor="text1"/>
                <w:sz w:val="22"/>
                <w:szCs w:val="22"/>
                <w:lang w:val="en-GB"/>
              </w:rPr>
              <w:t xml:space="preserve"> The study scope encompasses the technological and environmental risks that SMEs face in their supply chains, including risks related to technology</w:t>
            </w:r>
            <w:r w:rsidR="0051002C" w:rsidRPr="007F23AD">
              <w:rPr>
                <w:rFonts w:ascii="Calibri" w:eastAsia="DengXian" w:hAnsi="Calibri" w:cs="Calibri"/>
                <w:color w:val="000000" w:themeColor="text1"/>
                <w:sz w:val="22"/>
                <w:szCs w:val="22"/>
                <w:lang w:val="en-GB"/>
              </w:rPr>
              <w:t xml:space="preserve"> </w:t>
            </w:r>
            <w:r w:rsidR="00423F36" w:rsidRPr="007F23AD">
              <w:rPr>
                <w:rFonts w:ascii="Calibri" w:eastAsia="DengXian" w:hAnsi="Calibri" w:cs="Calibri"/>
                <w:color w:val="000000" w:themeColor="text1"/>
                <w:sz w:val="22"/>
                <w:szCs w:val="22"/>
                <w:lang w:val="en-GB"/>
              </w:rPr>
              <w:t>and the environment.</w:t>
            </w:r>
          </w:p>
        </w:tc>
      </w:tr>
      <w:tr w:rsidR="007F23AD" w:rsidRPr="007F23AD" w14:paraId="440463A8" w14:textId="77777777" w:rsidTr="00192080">
        <w:trPr>
          <w:trHeight w:val="320"/>
        </w:trPr>
        <w:tc>
          <w:tcPr>
            <w:tcW w:w="2972" w:type="dxa"/>
            <w:shd w:val="clear" w:color="auto" w:fill="auto"/>
            <w:noWrap/>
            <w:vAlign w:val="center"/>
            <w:hideMark/>
          </w:tcPr>
          <w:p w14:paraId="47A539E6" w14:textId="77777777" w:rsidR="00751CEF" w:rsidRPr="007F23AD" w:rsidRDefault="00751CEF">
            <w:pPr>
              <w:spacing w:line="480" w:lineRule="auto"/>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rPr>
              <w:t>R</w:t>
            </w:r>
            <w:r w:rsidRPr="007F23AD">
              <w:rPr>
                <w:rFonts w:ascii="Calibri" w:eastAsia="DengXian" w:hAnsi="Calibri" w:cs="Calibri" w:hint="eastAsia"/>
                <w:b/>
                <w:bCs/>
                <w:color w:val="000000" w:themeColor="text1"/>
                <w:sz w:val="22"/>
                <w:szCs w:val="22"/>
              </w:rPr>
              <w:t>isk</w:t>
            </w:r>
            <w:r w:rsidRPr="007F23AD">
              <w:rPr>
                <w:rFonts w:ascii="Calibri" w:eastAsia="DengXian" w:hAnsi="Calibri" w:cs="Calibri"/>
                <w:b/>
                <w:bCs/>
                <w:color w:val="000000" w:themeColor="text1"/>
                <w:sz w:val="22"/>
                <w:szCs w:val="22"/>
              </w:rPr>
              <w:t xml:space="preserve">s </w:t>
            </w:r>
            <w:r w:rsidRPr="007F23AD">
              <w:rPr>
                <w:rFonts w:ascii="Calibri" w:eastAsia="DengXian" w:hAnsi="Calibri" w:cs="Calibri"/>
                <w:b/>
                <w:bCs/>
                <w:color w:val="000000" w:themeColor="text1"/>
                <w:sz w:val="22"/>
                <w:szCs w:val="22"/>
                <w:lang w:val="en-GB"/>
              </w:rPr>
              <w:t xml:space="preserve">under this </w:t>
            </w:r>
            <w:r w:rsidRPr="007F23AD">
              <w:rPr>
                <w:rFonts w:ascii="Calibri" w:eastAsia="DengXian" w:hAnsi="Calibri" w:cs="Calibri" w:hint="eastAsia"/>
                <w:b/>
                <w:bCs/>
                <w:color w:val="000000" w:themeColor="text1"/>
                <w:sz w:val="22"/>
                <w:szCs w:val="22"/>
                <w:lang w:val="en-GB"/>
              </w:rPr>
              <w:t>the</w:t>
            </w:r>
            <w:r w:rsidRPr="007F23AD">
              <w:rPr>
                <w:rFonts w:ascii="Calibri" w:eastAsia="DengXian" w:hAnsi="Calibri" w:cs="Calibri"/>
                <w:b/>
                <w:bCs/>
                <w:color w:val="000000" w:themeColor="text1"/>
                <w:sz w:val="22"/>
                <w:szCs w:val="22"/>
              </w:rPr>
              <w:t>me</w:t>
            </w:r>
            <w:r w:rsidRPr="007F23AD">
              <w:rPr>
                <w:rFonts w:ascii="Calibri" w:eastAsia="DengXian" w:hAnsi="Calibri" w:cs="Calibri"/>
                <w:b/>
                <w:bCs/>
                <w:color w:val="000000" w:themeColor="text1"/>
                <w:sz w:val="22"/>
                <w:szCs w:val="22"/>
                <w:lang w:val="en-GB"/>
              </w:rPr>
              <w:t>:</w:t>
            </w:r>
          </w:p>
        </w:tc>
        <w:tc>
          <w:tcPr>
            <w:tcW w:w="10920" w:type="dxa"/>
            <w:shd w:val="clear" w:color="auto" w:fill="auto"/>
            <w:noWrap/>
            <w:vAlign w:val="center"/>
            <w:hideMark/>
          </w:tcPr>
          <w:p w14:paraId="28AB05A5" w14:textId="74A8ED93" w:rsidR="00751CEF" w:rsidRPr="007F23AD" w:rsidRDefault="00192080">
            <w:pPr>
              <w:spacing w:line="480" w:lineRule="auto"/>
              <w:jc w:val="center"/>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Publication</w:t>
            </w:r>
            <w:r w:rsidR="00EE2CD6" w:rsidRPr="007F23AD">
              <w:rPr>
                <w:rFonts w:ascii="Calibri" w:eastAsia="DengXian" w:hAnsi="Calibri" w:cs="Calibri"/>
                <w:b/>
                <w:bCs/>
                <w:color w:val="000000" w:themeColor="text1"/>
                <w:sz w:val="22"/>
                <w:szCs w:val="22"/>
                <w:lang w:val="en-GB"/>
              </w:rPr>
              <w:t>s</w:t>
            </w:r>
            <w:r w:rsidRPr="007F23AD">
              <w:rPr>
                <w:rFonts w:ascii="Calibri" w:eastAsia="DengXian" w:hAnsi="Calibri" w:cs="Calibri"/>
                <w:b/>
                <w:bCs/>
                <w:color w:val="000000" w:themeColor="text1"/>
                <w:sz w:val="22"/>
                <w:szCs w:val="22"/>
                <w:lang w:val="en-GB"/>
              </w:rPr>
              <w:t xml:space="preserve"> (</w:t>
            </w:r>
            <w:r w:rsidR="00AE5913" w:rsidRPr="007F23AD">
              <w:rPr>
                <w:rFonts w:ascii="Calibri" w:eastAsia="DengXian" w:hAnsi="Calibri" w:cs="Calibri"/>
                <w:b/>
                <w:bCs/>
                <w:color w:val="000000" w:themeColor="text1"/>
                <w:sz w:val="22"/>
                <w:szCs w:val="22"/>
                <w:lang w:val="en-GB"/>
              </w:rPr>
              <w:t>9</w:t>
            </w:r>
            <w:r w:rsidRPr="007F23AD">
              <w:rPr>
                <w:rFonts w:ascii="Calibri" w:eastAsia="DengXian" w:hAnsi="Calibri" w:cs="Calibri"/>
                <w:b/>
                <w:bCs/>
                <w:color w:val="000000" w:themeColor="text1"/>
                <w:sz w:val="22"/>
                <w:szCs w:val="22"/>
                <w:lang w:val="en-GB"/>
              </w:rPr>
              <w:t xml:space="preserve"> articles)</w:t>
            </w:r>
          </w:p>
        </w:tc>
      </w:tr>
      <w:tr w:rsidR="007F23AD" w:rsidRPr="007F23AD" w14:paraId="585EC09D" w14:textId="77777777" w:rsidTr="00192080">
        <w:trPr>
          <w:trHeight w:val="320"/>
        </w:trPr>
        <w:tc>
          <w:tcPr>
            <w:tcW w:w="2972" w:type="dxa"/>
            <w:shd w:val="clear" w:color="auto" w:fill="auto"/>
            <w:noWrap/>
            <w:vAlign w:val="center"/>
            <w:hideMark/>
          </w:tcPr>
          <w:p w14:paraId="77700044" w14:textId="23F051CF" w:rsidR="00722E9D" w:rsidRPr="007F23AD" w:rsidRDefault="00722E9D" w:rsidP="00722E9D">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1. Technological risk</w:t>
            </w:r>
          </w:p>
        </w:tc>
        <w:tc>
          <w:tcPr>
            <w:tcW w:w="10920" w:type="dxa"/>
            <w:shd w:val="clear" w:color="auto" w:fill="auto"/>
            <w:noWrap/>
            <w:vAlign w:val="center"/>
            <w:hideMark/>
          </w:tcPr>
          <w:p w14:paraId="300AA7BC" w14:textId="0F57E9A6" w:rsidR="00F5076E" w:rsidRPr="007F23AD" w:rsidRDefault="00F347B0" w:rsidP="0064482F">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fldData xml:space="preserve">PEVuZE5vdGU+PENpdGUgQXV0aG9yWWVhcj0iMSI+PEF1dGhvcj5Nb2V1ZjwvQXV0aG9yPjxZZWFy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</w:fldData>
              </w:fldChar>
            </w:r>
            <w:r w:rsidR="00922C2B" w:rsidRPr="007F23AD">
              <w:rPr>
                <w:rFonts w:ascii="Calibri" w:eastAsia="DengXian" w:hAnsi="Calibri" w:cs="Calibri"/>
                <w:color w:val="000000" w:themeColor="text1"/>
                <w:sz w:val="22"/>
                <w:szCs w:val="22"/>
                <w:lang w:val="en-GB"/>
              </w:rPr>
              <w:instrText xml:space="preserve"> ADDIN EN.CITE </w:instrText>
            </w:r>
            <w:r w:rsidR="00922C2B" w:rsidRPr="007F23AD">
              <w:rPr>
                <w:rFonts w:ascii="Calibri" w:eastAsia="DengXian" w:hAnsi="Calibri" w:cs="Calibri"/>
                <w:color w:val="000000" w:themeColor="text1"/>
                <w:sz w:val="22"/>
                <w:szCs w:val="22"/>
                <w:lang w:val="en-GB"/>
              </w:rPr>
              <w:fldChar w:fldCharType="begin">
                <w:fldData xml:space="preserve">PEVuZE5vdGU+PENpdGUgQXV0aG9yWWVhcj0iMSI+PEF1dGhvcj5Nb2V1ZjwvQXV0aG9yPjxZZWFy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</w:fldData>
              </w:fldChar>
            </w:r>
            <w:r w:rsidR="00922C2B" w:rsidRPr="007F23AD">
              <w:rPr>
                <w:rFonts w:ascii="Calibri" w:eastAsia="DengXian" w:hAnsi="Calibri" w:cs="Calibri"/>
                <w:color w:val="000000" w:themeColor="text1"/>
                <w:sz w:val="22"/>
                <w:szCs w:val="22"/>
                <w:lang w:val="en-GB"/>
              </w:rPr>
              <w:instrText xml:space="preserve"> ADDIN EN.CITE.DATA </w:instrText>
            </w:r>
            <w:r w:rsidR="00922C2B" w:rsidRPr="007F23AD">
              <w:rPr>
                <w:rFonts w:ascii="Calibri" w:eastAsia="DengXian" w:hAnsi="Calibri" w:cs="Calibri"/>
                <w:color w:val="000000" w:themeColor="text1"/>
                <w:sz w:val="22"/>
                <w:szCs w:val="22"/>
                <w:lang w:val="en-GB"/>
              </w:rPr>
            </w:r>
            <w:r w:rsidR="00922C2B"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r>
            <w:r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Moeuf et al. (2020)</w:t>
            </w:r>
            <w:r w:rsidRPr="007F23AD">
              <w:rPr>
                <w:rFonts w:ascii="Calibri" w:eastAsia="DengXian" w:hAnsi="Calibri" w:cs="Calibri"/>
                <w:color w:val="000000" w:themeColor="text1"/>
                <w:sz w:val="22"/>
                <w:szCs w:val="22"/>
                <w:lang w:val="en-GB"/>
              </w:rPr>
              <w:fldChar w:fldCharType="end"/>
            </w:r>
            <w:r w:rsidR="00722E9D" w:rsidRPr="007F23AD">
              <w:rPr>
                <w:rFonts w:ascii="Calibri" w:eastAsia="DengXian" w:hAnsi="Calibri" w:cs="Calibri"/>
                <w:color w:val="000000" w:themeColor="text1"/>
                <w:sz w:val="22"/>
                <w:szCs w:val="22"/>
                <w:lang w:val="en-GB"/>
              </w:rPr>
              <w:t xml:space="preserve"> </w:t>
            </w:r>
            <w:r w:rsidR="00393826" w:rsidRPr="007F23AD">
              <w:rPr>
                <w:rFonts w:ascii="Calibri" w:eastAsia="DengXian" w:hAnsi="Calibri" w:cs="Calibri"/>
                <w:color w:val="000000" w:themeColor="text1"/>
                <w:sz w:val="22"/>
                <w:szCs w:val="22"/>
                <w:lang w:val="en-GB"/>
              </w:rPr>
              <w:t>evaluated Industry 4.0's impact on SMEs, identifying risks such as lack of expertise, emphasizing the importance of training and managerial roles, and suggesting it can transform SME production and business models.</w:t>
            </w:r>
          </w:p>
          <w:p w14:paraId="079D4E11" w14:textId="77777777" w:rsidR="00C9034D" w:rsidRPr="007F23AD" w:rsidRDefault="00C9034D" w:rsidP="0064482F">
            <w:pPr>
              <w:rPr>
                <w:rFonts w:ascii="Calibri" w:eastAsia="DengXian" w:hAnsi="Calibri" w:cs="Calibri"/>
                <w:color w:val="000000" w:themeColor="text1"/>
                <w:sz w:val="22"/>
                <w:szCs w:val="22"/>
                <w:lang w:val="en-GB"/>
              </w:rPr>
            </w:pPr>
          </w:p>
          <w:p w14:paraId="1AA729F5" w14:textId="3C2C7E78" w:rsidR="0064482F" w:rsidRPr="007F23AD" w:rsidRDefault="00722E9D" w:rsidP="0064482F">
            <w:pPr>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Patrucco</w:t>
            </w:r>
            <w:proofErr w:type="spellEnd"/>
            <w:r w:rsidRPr="007F23AD">
              <w:rPr>
                <w:rFonts w:ascii="Calibri" w:eastAsia="DengXian" w:hAnsi="Calibri" w:cs="Calibri"/>
                <w:color w:val="000000" w:themeColor="text1"/>
                <w:sz w:val="22"/>
                <w:szCs w:val="22"/>
                <w:lang w:val="en-GB"/>
              </w:rPr>
              <w:t xml:space="preserve"> et al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 ExcludeAuth="1"&gt;&lt;Author&gt;Patrucco&lt;/Author&gt;&lt;Year&gt;2020&lt;/Year&gt;&lt;RecNum&gt;0&lt;/RecNum&gt;&lt;IDText&gt;Industry 4.0 and supply chain process re-engineering&lt;/IDText&gt;&lt;DisplayText&gt;(2020)&lt;/DisplayText&gt;&lt;record&gt;&lt;rec-number&gt;88&lt;/rec-number&gt;&lt;foreign-keys&gt;&lt;key app="EN" db-id="pzdwvt0zxepzzqe2zdmp5zajvd0tv5sdtt2w" timestamp="1701253332"&gt;88&lt;/key&gt;&lt;/foreign-keys&gt;&lt;ref-type name="Journal Article"&gt;17&lt;/ref-type&gt;&lt;contributors&gt;&lt;authors&gt;&lt;author&gt;Patrucco, Andrea&lt;/author&gt;&lt;author&gt;Ciccullo, Federica&lt;/author&gt;&lt;author&gt;Pero, Margherita&lt;/author&gt;&lt;/authors&gt;&lt;/contributors&gt;&lt;titles&gt;&lt;title&gt;Industry 4.0 and supply chain process re-engineering&lt;/title&gt;&lt;secondary-title&gt;Business Process Management Journal&lt;/secondary-title&gt;&lt;/titles&gt;&lt;periodical&gt;&lt;full-title&gt;Business Process Management Journal&lt;/full-title&gt;&lt;/periodical&gt;&lt;pages&gt;1093-1119&lt;/pages&gt;&lt;volume&gt;26&lt;/volume&gt;&lt;number&gt;5&lt;/number&gt;&lt;section&gt;1093&lt;/section&gt;&lt;dates&gt;&lt;year&gt;2020&lt;/year&gt;&lt;/dates&gt;&lt;isbn&gt;1463-7154&lt;/isbn&gt;&lt;work-type&gt;Article&lt;/work-type&gt;&lt;urls&gt;&lt;related-urls&gt;&lt;url&gt;https://www.scopus.com/inward/record.uri?eid=2-s2.0-85079826000&amp;amp;doi=10.1108%2fBPMJ-04-2019-0147&amp;amp;partnerID=40&amp;amp;md5=7fdd770f54299d9b7e83cbf6e8ae65dd&lt;/url&gt;&lt;/related-urls&gt;&lt;/urls&gt;&lt;electronic-resource-num&gt;10.1108/bpmj-04-2019-0147&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001D418A" w:rsidRPr="007F23AD">
              <w:rPr>
                <w:rFonts w:ascii="Calibri" w:eastAsia="DengXian" w:hAnsi="Calibri" w:cs="Calibri"/>
                <w:noProof/>
                <w:color w:val="000000" w:themeColor="text1"/>
                <w:sz w:val="22"/>
                <w:szCs w:val="22"/>
                <w:lang w:val="en-GB"/>
              </w:rPr>
              <w:t>(2020)</w:t>
            </w:r>
            <w:r w:rsidRPr="007F23AD">
              <w:rPr>
                <w:rFonts w:ascii="Calibri" w:eastAsia="DengXian" w:hAnsi="Calibri" w:cs="Calibri"/>
                <w:color w:val="000000" w:themeColor="text1"/>
                <w:sz w:val="22"/>
                <w:szCs w:val="22"/>
                <w:lang w:val="en-GB"/>
              </w:rPr>
              <w:fldChar w:fldCharType="end"/>
            </w:r>
            <w:r w:rsidR="00F5076E" w:rsidRPr="007F23AD">
              <w:rPr>
                <w:rFonts w:ascii="Calibri" w:eastAsia="DengXian" w:hAnsi="Calibri" w:cs="Calibri"/>
                <w:color w:val="000000" w:themeColor="text1"/>
                <w:sz w:val="22"/>
                <w:szCs w:val="22"/>
                <w:lang w:val="en-GB"/>
              </w:rPr>
              <w:t xml:space="preserve"> delved into the potential of Industry 4.0 technologies to optimize supply chain processes in construction, emphasizing enhanced communication, data sharing, and the need for organizational changes, using a unique materials management case study approach.</w:t>
            </w:r>
          </w:p>
          <w:p w14:paraId="501C24D4" w14:textId="77777777" w:rsidR="00F5076E" w:rsidRPr="007F23AD" w:rsidRDefault="00F5076E" w:rsidP="0064482F">
            <w:pPr>
              <w:rPr>
                <w:rFonts w:ascii="Calibri" w:eastAsia="DengXian" w:hAnsi="Calibri" w:cs="Calibri"/>
                <w:color w:val="000000" w:themeColor="text1"/>
                <w:sz w:val="22"/>
                <w:szCs w:val="22"/>
              </w:rPr>
            </w:pPr>
          </w:p>
          <w:p w14:paraId="521A1C0C" w14:textId="2F86BDF7" w:rsidR="00F73A6A" w:rsidRPr="007F23AD" w:rsidRDefault="00722E9D" w:rsidP="0064482F">
            <w:pPr>
              <w:rPr>
                <w:rFonts w:ascii="Calibri" w:eastAsia="DengXian" w:hAnsi="Calibri" w:cs="Calibri"/>
                <w:color w:val="000000" w:themeColor="text1"/>
                <w:sz w:val="22"/>
                <w:szCs w:val="22"/>
                <w:lang w:val="en-GB"/>
              </w:rPr>
            </w:pPr>
            <w:r w:rsidRPr="007F23AD">
              <w:rPr>
                <w:rFonts w:ascii="Calibri" w:eastAsia="DengXian" w:hAnsi="Calibri" w:cs="Calibri"/>
                <w:noProof/>
                <w:color w:val="000000" w:themeColor="text1"/>
                <w:sz w:val="22"/>
                <w:szCs w:val="22"/>
                <w:lang w:val="en-GB"/>
              </w:rPr>
              <w:t>Mansour et al</w:t>
            </w:r>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005727DB" w:rsidRPr="007F23AD">
              <w:rPr>
                <w:rFonts w:ascii="Calibri" w:eastAsia="DengXian" w:hAnsi="Calibri" w:cs="Calibri"/>
                <w:color w:val="000000" w:themeColor="text1"/>
                <w:sz w:val="22"/>
                <w:szCs w:val="22"/>
                <w:lang w:val="en-GB"/>
              </w:rPr>
              <w:instrText xml:space="preserve"> ADDIN EN.CITE &lt;EndNote&gt;&lt;Cite ExcludeAuth="1"&gt;&lt;Author&gt;Mansour&lt;/Author&gt;&lt;Year&gt;2021&lt;/Year&gt;&lt;RecNum&gt;918&lt;/RecNum&gt;&lt;IDText&gt;Implementing industry 4.0 in the construction industry- strategic readiness perspective&lt;/IDText&gt;&lt;DisplayText&gt;(2021)&lt;/DisplayText&gt;&lt;record&gt;&lt;rec-number&gt;918&lt;/rec-number&gt;&lt;foreign-keys&gt;&lt;key app="EN" db-id="vxw0ffesn9zzt0ewpdx5r5a3fpw92aep9re9" timestamp="1684851507" guid="541054e5-fc35-4ec5-b6a5-a156258197a9"&gt;918&lt;/key&gt;&lt;/foreign-keys&gt;&lt;ref-type name="Journal Article"&gt;17&lt;/ref-type&gt;&lt;contributors&gt;&lt;authors&gt;&lt;author&gt;Mansour, Husam&lt;/author&gt;&lt;author&gt;Aminudin, Eeydzah&lt;/author&gt;&lt;author&gt;Mansour, Tahseen&lt;/author&gt;&lt;/authors&gt;&lt;/contributors&gt;&lt;titles&gt;&lt;title&gt;Implementing industry 4.0 in the construction industry- strategic readiness perspective&lt;/title&gt;&lt;secondary-title&gt;International Journal of Construction Management&lt;/secondary-title&gt;&lt;/titles&gt;&lt;periodical&gt;&lt;full-title&gt;International Journal of Construction Management&lt;/full-title&gt;&lt;/periodical&gt;&lt;pages&gt;1457-1470&lt;/pages&gt;&lt;volume&gt;23&lt;/volume&gt;&lt;number&gt;9&lt;/number&gt;&lt;section&gt;1457&lt;/section&gt;&lt;dates&gt;&lt;year&gt;2021&lt;/year&gt;&lt;/dates&gt;&lt;isbn&gt;1562-3599&amp;#xD;2331-2327&lt;/isbn&gt;&lt;work-type&gt;Article&lt;/work-type&gt;&lt;urls&gt;&lt;related-urls&gt;&lt;url&gt;https://www.scopus.com/inward/record.uri?eid=2-s2.0-85114679529&amp;amp;doi=10.1080%2f15623599.2021.1975351&amp;amp;partnerID=40&amp;amp;md5=ff7d1ac19238322084fba7b99692b754&lt;/url&gt;&lt;/related-urls&gt;&lt;/urls&gt;&lt;electronic-resource-num&gt;10.1080/15623599.2021.1975351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00593A6F" w:rsidRPr="007F23AD">
              <w:rPr>
                <w:color w:val="000000" w:themeColor="text1"/>
              </w:rPr>
              <w:t xml:space="preserve"> </w:t>
            </w:r>
            <w:r w:rsidR="00593A6F" w:rsidRPr="007F23AD">
              <w:rPr>
                <w:rFonts w:ascii="Calibri" w:eastAsia="DengXian" w:hAnsi="Calibri" w:cs="Calibri"/>
                <w:color w:val="000000" w:themeColor="text1"/>
                <w:sz w:val="22"/>
                <w:szCs w:val="22"/>
                <w:lang w:val="en-GB"/>
              </w:rPr>
              <w:t xml:space="preserve">presented  </w:t>
            </w:r>
            <w:proofErr w:type="spellStart"/>
            <w:r w:rsidR="00593A6F" w:rsidRPr="007F23AD">
              <w:rPr>
                <w:rFonts w:ascii="Calibri" w:eastAsia="DengXian" w:hAnsi="Calibri" w:cs="Calibri"/>
                <w:color w:val="000000" w:themeColor="text1"/>
                <w:sz w:val="22"/>
                <w:szCs w:val="22"/>
                <w:lang w:val="en-GB"/>
              </w:rPr>
              <w:t>ConFIRM</w:t>
            </w:r>
            <w:proofErr w:type="spellEnd"/>
            <w:r w:rsidR="00593A6F" w:rsidRPr="007F23AD">
              <w:rPr>
                <w:rFonts w:ascii="Calibri" w:eastAsia="DengXian" w:hAnsi="Calibri" w:cs="Calibri"/>
                <w:color w:val="000000" w:themeColor="text1"/>
                <w:sz w:val="22"/>
                <w:szCs w:val="22"/>
                <w:lang w:val="en-GB"/>
              </w:rPr>
              <w:t>, a model assessing construction firms' strategic readiness for Industry 4.0, emphasizing the crucial role of human capital in successful implementation.</w:t>
            </w:r>
          </w:p>
          <w:p w14:paraId="6B0D961C" w14:textId="77777777" w:rsidR="0064482F" w:rsidRPr="007F23AD" w:rsidRDefault="0064482F" w:rsidP="0064482F">
            <w:pPr>
              <w:rPr>
                <w:rFonts w:ascii="Calibri" w:eastAsia="DengXian" w:hAnsi="Calibri" w:cs="Calibri"/>
                <w:noProof/>
                <w:color w:val="000000" w:themeColor="text1"/>
                <w:sz w:val="22"/>
                <w:szCs w:val="22"/>
                <w:lang w:val="en-GB"/>
              </w:rPr>
            </w:pPr>
          </w:p>
          <w:p w14:paraId="399752DC" w14:textId="0E66A284" w:rsidR="00722E9D" w:rsidRPr="007F23AD" w:rsidRDefault="00722E9D" w:rsidP="00617262">
            <w:pPr>
              <w:jc w:val="both"/>
              <w:rPr>
                <w:rFonts w:ascii="Calibri" w:eastAsia="DengXian" w:hAnsi="Calibri" w:cs="Calibri"/>
                <w:color w:val="000000" w:themeColor="text1"/>
                <w:sz w:val="22"/>
                <w:szCs w:val="22"/>
                <w:lang w:val="en-GB"/>
              </w:rPr>
            </w:pPr>
            <w:proofErr w:type="spellStart"/>
            <w:r w:rsidRPr="007F23AD">
              <w:rPr>
                <w:rFonts w:ascii="Calibri" w:eastAsia="DengXian" w:hAnsi="Calibri" w:cs="Calibri"/>
                <w:color w:val="000000" w:themeColor="text1"/>
                <w:sz w:val="22"/>
                <w:szCs w:val="22"/>
                <w:lang w:val="en-GB"/>
              </w:rPr>
              <w:t>Sadeh</w:t>
            </w:r>
            <w:proofErr w:type="spellEnd"/>
            <w:r w:rsidRPr="007F23AD">
              <w:rPr>
                <w:rFonts w:ascii="Calibri" w:eastAsia="DengXian" w:hAnsi="Calibri" w:cs="Calibri"/>
                <w:color w:val="000000" w:themeColor="text1"/>
                <w:sz w:val="22"/>
                <w:szCs w:val="22"/>
                <w:lang w:val="en-GB"/>
              </w:rPr>
              <w:t xml:space="preserve"> et al </w:t>
            </w:r>
            <w:r w:rsidRPr="007F23AD">
              <w:rPr>
                <w:rFonts w:ascii="Calibri" w:eastAsia="DengXian" w:hAnsi="Calibri" w:cs="Calibri"/>
                <w:color w:val="000000" w:themeColor="text1"/>
                <w:sz w:val="22"/>
                <w:szCs w:val="22"/>
                <w:lang w:val="en-GB"/>
              </w:rPr>
              <w:fldChar w:fldCharType="begin"/>
            </w:r>
            <w:r w:rsidR="005727DB" w:rsidRPr="007F23AD">
              <w:rPr>
                <w:rFonts w:ascii="Calibri" w:eastAsia="DengXian" w:hAnsi="Calibri" w:cs="Calibri"/>
                <w:color w:val="000000" w:themeColor="text1"/>
                <w:sz w:val="22"/>
                <w:szCs w:val="22"/>
                <w:lang w:val="en-GB"/>
              </w:rPr>
              <w:instrText xml:space="preserve"> ADDIN EN.CITE &lt;EndNote&gt;&lt;Cite ExcludeAuth="1"&gt;&lt;Author&gt;Sadeh&lt;/Author&gt;&lt;Year&gt;2021&lt;/Year&gt;&lt;RecNum&gt;922&lt;/RecNum&gt;&lt;IDText&gt;BIM feasibility for small and medium-sized contractors and subcontractors&lt;/IDText&gt;&lt;DisplayText&gt;(2021)&lt;/DisplayText&gt;&lt;record&gt;&lt;rec-number&gt;922&lt;/rec-number&gt;&lt;foreign-keys&gt;&lt;key app="EN" db-id="vxw0ffesn9zzt0ewpdx5r5a3fpw92aep9re9" timestamp="1684851507" guid="f05c56ac-631b-4625-afec-4c3351fc907c"&gt;922&lt;/key&gt;&lt;/foreign-keys&gt;&lt;ref-type name="Journal Article"&gt;17&lt;/ref-type&gt;&lt;contributors&gt;&lt;authors&gt;&lt;author&gt;Sadeh, Hooman&lt;/author&gt;&lt;author&gt;Mirarchi, Claudio&lt;/author&gt;&lt;author&gt;Shahbodaghlou, Farzad&lt;/author&gt;&lt;author&gt;Pavan, Alberto&lt;/author&gt;&lt;/authors&gt;&lt;/contributors&gt;&lt;titles&gt;&lt;title&gt;BIM feasibility for small and medium-sized contractors and subcontractors&lt;/title&gt;&lt;secondary-title&gt;International Journal of Construction Management&lt;/secondary-title&gt;&lt;/titles&gt;&lt;periodical&gt;&lt;full-title&gt;International Journal of Construction Management&lt;/full-title&gt;&lt;/periodical&gt;&lt;pages&gt;999-1008&lt;/pages&gt;&lt;volume&gt;23&lt;/volume&gt;&lt;number&gt;6&lt;/number&gt;&lt;section&gt;999&lt;/section&gt;&lt;dates&gt;&lt;year&gt;2021&lt;/year&gt;&lt;/dates&gt;&lt;isbn&gt;1562-3599&amp;#xD;2331-2327&lt;/isbn&gt;&lt;work-type&gt;Article&lt;/work-type&gt;&lt;urls&gt;&lt;related-urls&gt;&lt;url&gt;https://www.scopus.com/inward/record.uri?eid=2-s2.0-85110542029&amp;amp;doi=10.1080%2f15623599.2021.1947446&amp;amp;partnerID=40&amp;amp;md5=b457ebf8b576fa6bdcd542d3b39f2e1f&lt;/url&gt;&lt;/related-urls&gt;&lt;/urls&gt;&lt;electronic-resource-num&gt;10.1080/15623599.2021.1947446&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00F73A6A" w:rsidRPr="007F23AD">
              <w:rPr>
                <w:rFonts w:ascii="Calibri" w:eastAsia="DengXian" w:hAnsi="Calibri" w:cs="Calibri"/>
                <w:color w:val="000000" w:themeColor="text1"/>
                <w:sz w:val="22"/>
                <w:szCs w:val="22"/>
                <w:lang w:val="en-GB"/>
              </w:rPr>
              <w:t xml:space="preserve"> examines the feasibility of </w:t>
            </w:r>
            <w:r w:rsidR="00BF28F9" w:rsidRPr="007F23AD">
              <w:rPr>
                <w:rFonts w:ascii="Calibri" w:eastAsia="DengXian" w:hAnsi="Calibri" w:cs="Calibri"/>
                <w:color w:val="000000" w:themeColor="text1"/>
                <w:sz w:val="22"/>
                <w:szCs w:val="22"/>
                <w:lang w:val="en-GB"/>
              </w:rPr>
              <w:t xml:space="preserve">Building Information </w:t>
            </w:r>
            <w:proofErr w:type="spellStart"/>
            <w:r w:rsidR="00BF28F9" w:rsidRPr="007F23AD">
              <w:rPr>
                <w:rFonts w:ascii="Calibri" w:eastAsia="DengXian" w:hAnsi="Calibri" w:cs="Calibri"/>
                <w:color w:val="000000" w:themeColor="text1"/>
                <w:sz w:val="22"/>
                <w:szCs w:val="22"/>
                <w:lang w:val="en-GB"/>
              </w:rPr>
              <w:t>Modeling</w:t>
            </w:r>
            <w:proofErr w:type="spellEnd"/>
            <w:r w:rsidR="00BF28F9" w:rsidRPr="007F23AD">
              <w:rPr>
                <w:rFonts w:ascii="Calibri" w:eastAsia="DengXian" w:hAnsi="Calibri" w:cs="Calibri"/>
                <w:color w:val="000000" w:themeColor="text1"/>
                <w:sz w:val="22"/>
                <w:szCs w:val="22"/>
                <w:lang w:val="en-GB"/>
              </w:rPr>
              <w:t xml:space="preserve"> (</w:t>
            </w:r>
            <w:r w:rsidR="00F73A6A" w:rsidRPr="007F23AD">
              <w:rPr>
                <w:rFonts w:ascii="Calibri" w:eastAsia="DengXian" w:hAnsi="Calibri" w:cs="Calibri"/>
                <w:color w:val="000000" w:themeColor="text1"/>
                <w:sz w:val="22"/>
                <w:szCs w:val="22"/>
                <w:lang w:val="en-GB"/>
              </w:rPr>
              <w:t>BIM</w:t>
            </w:r>
            <w:r w:rsidR="00BF28F9" w:rsidRPr="007F23AD">
              <w:rPr>
                <w:rFonts w:ascii="Calibri" w:eastAsia="DengXian" w:hAnsi="Calibri" w:cs="Calibri"/>
                <w:color w:val="000000" w:themeColor="text1"/>
                <w:sz w:val="22"/>
                <w:szCs w:val="22"/>
                <w:lang w:val="en-GB"/>
              </w:rPr>
              <w:t>)</w:t>
            </w:r>
            <w:r w:rsidR="00F73A6A" w:rsidRPr="007F23AD">
              <w:rPr>
                <w:rFonts w:ascii="Calibri" w:eastAsia="DengXian" w:hAnsi="Calibri" w:cs="Calibri"/>
                <w:color w:val="000000" w:themeColor="text1"/>
                <w:sz w:val="22"/>
                <w:szCs w:val="22"/>
                <w:lang w:val="en-GB"/>
              </w:rPr>
              <w:t xml:space="preserve"> adoption for SMEs in the construction sector, comparing the attitudes of contractors and subcontractors towards innovative technology, using a structured online questionnaire and various statistical tests, revealing differing rankings in technological feasibility between the two groups when considering partnerships.</w:t>
            </w:r>
          </w:p>
          <w:p w14:paraId="38DF0A88" w14:textId="77777777" w:rsidR="003561B3" w:rsidRPr="007F23AD" w:rsidRDefault="003561B3" w:rsidP="00447036">
            <w:pPr>
              <w:jc w:val="both"/>
              <w:rPr>
                <w:rFonts w:ascii="Calibri" w:eastAsia="DengXian" w:hAnsi="Calibri" w:cs="Calibri"/>
                <w:color w:val="000000" w:themeColor="text1"/>
                <w:sz w:val="22"/>
                <w:szCs w:val="22"/>
                <w:lang w:val="en-GB"/>
              </w:rPr>
            </w:pPr>
          </w:p>
          <w:p w14:paraId="2BF5B0DD" w14:textId="3222A654" w:rsidR="00FB3330" w:rsidRPr="007F23AD" w:rsidRDefault="00FB3330" w:rsidP="00447036">
            <w:pPr>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 AuthorYear="1"&gt;&lt;Author&gt;Yilmaz&lt;/Author&gt;&lt;Year&gt;2023&lt;/Year&gt;&lt;RecNum&gt;1178&lt;/RecNum&gt;&lt;DisplayText&gt;Yilmaz et al. (2023)&lt;/DisplayText&gt;&lt;record&gt;&lt;rec-number&gt;90&lt;/rec-number&gt;&lt;foreign-keys&gt;&lt;key app="EN" db-id="pzdwvt0zxepzzqe2zdmp5zajvd0tv5sdtt2w" timestamp="1701253332"&gt;90&lt;/key&gt;&lt;/foreign-keys&gt;&lt;ref-type name="Journal Article"&gt;17&lt;/ref-type&gt;&lt;contributors&gt;&lt;authors&gt;&lt;author&gt;Yilmaz, G.&lt;/author&gt;&lt;author&gt;Salter, L.&lt;/author&gt;&lt;author&gt;McFarlane, D.&lt;/author&gt;&lt;author&gt;Schönfuß, B.&lt;/author&gt;&lt;/authors&gt;&lt;/contributors&gt;&lt;titles&gt;&lt;title&gt;Low-cost (Shoestring) digital solution areas for enabling digitalisation in construction SMEs&lt;/title&gt;&lt;secondary-title&gt;Computers in Industry&lt;/secondary-title&gt;&lt;/titles&gt;&lt;periodical&gt;&lt;full-title&gt;Computers in Industry&lt;/full-title&gt;&lt;/periodical&gt;&lt;volume&gt;150&lt;/volume&gt;&lt;dates&gt;&lt;year&gt;2023&lt;/year&gt;&lt;/dates&gt;&lt;work-type&gt;Article&lt;/work-type&gt;&lt;urls&gt;&lt;related-urls&gt;&lt;url&gt;https://www.scopus.com/inward/record.uri?eid=2-s2.0-85159319186&amp;amp;doi=10.1016%2fj.compind.2023.103941&amp;amp;partnerID=40&amp;amp;md5=ebdec847f9df53c7a7ef9d09e40836df&lt;/url&gt;&lt;/related-urls&gt;&lt;/urls&gt;&lt;custom7&gt;103941&lt;/custom7&gt;&lt;electronic-resource-num&gt;10.1016/j.compind.2023.103941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Yilmaz et al. (2023)</w:t>
            </w:r>
            <w:r w:rsidRPr="007F23AD">
              <w:rPr>
                <w:rFonts w:ascii="Calibri" w:eastAsia="DengXian" w:hAnsi="Calibri" w:cs="Calibri"/>
                <w:color w:val="000000" w:themeColor="text1"/>
                <w:sz w:val="22"/>
                <w:szCs w:val="22"/>
                <w:lang w:val="en-GB"/>
              </w:rPr>
              <w:fldChar w:fldCharType="end"/>
            </w:r>
            <w:r w:rsidR="000C4CAE" w:rsidRPr="007F23AD">
              <w:rPr>
                <w:rFonts w:ascii="Calibri" w:eastAsia="DengXian" w:hAnsi="Calibri" w:cs="Calibri"/>
                <w:color w:val="000000" w:themeColor="text1"/>
                <w:sz w:val="22"/>
                <w:szCs w:val="22"/>
                <w:lang w:val="en-GB"/>
              </w:rPr>
              <w:t xml:space="preserve"> identified 58 digital solution areas for UK construction SMEs using the Digital Shoestring Approach, with the top fifteen prioritized for different operational needs of on-site and off-site SMEs, offering cost-effective digitalization pathways tailored to their specific needs.</w:t>
            </w:r>
          </w:p>
          <w:p w14:paraId="1EC7218C" w14:textId="58A87840" w:rsidR="00FB3330" w:rsidRPr="007F23AD" w:rsidRDefault="00FB3330" w:rsidP="00447036">
            <w:pPr>
              <w:jc w:val="both"/>
              <w:rPr>
                <w:rFonts w:ascii="Calibri" w:eastAsia="DengXian" w:hAnsi="Calibri" w:cs="Calibri"/>
                <w:color w:val="000000" w:themeColor="text1"/>
                <w:sz w:val="22"/>
                <w:szCs w:val="22"/>
                <w:lang w:val="en-GB"/>
              </w:rPr>
            </w:pPr>
          </w:p>
        </w:tc>
      </w:tr>
      <w:tr w:rsidR="007F23AD" w:rsidRPr="007F23AD" w14:paraId="753E0582" w14:textId="77777777" w:rsidTr="00192080">
        <w:trPr>
          <w:trHeight w:val="320"/>
        </w:trPr>
        <w:tc>
          <w:tcPr>
            <w:tcW w:w="2972" w:type="dxa"/>
            <w:shd w:val="clear" w:color="auto" w:fill="auto"/>
            <w:noWrap/>
            <w:vAlign w:val="center"/>
            <w:hideMark/>
          </w:tcPr>
          <w:p w14:paraId="5CBCB6B4" w14:textId="79BC4350" w:rsidR="00722E9D" w:rsidRPr="007F23AD" w:rsidRDefault="004D73F9" w:rsidP="00722E9D">
            <w:pPr>
              <w:spacing w:line="480" w:lineRule="auto"/>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2</w:t>
            </w:r>
            <w:r w:rsidR="00722E9D" w:rsidRPr="007F23AD">
              <w:rPr>
                <w:rFonts w:ascii="Calibri" w:eastAsia="DengXian" w:hAnsi="Calibri" w:cs="Calibri"/>
                <w:color w:val="000000" w:themeColor="text1"/>
                <w:sz w:val="22"/>
                <w:szCs w:val="22"/>
                <w:lang w:val="en-GB"/>
              </w:rPr>
              <w:t xml:space="preserve">. Environmental risk </w:t>
            </w:r>
          </w:p>
        </w:tc>
        <w:tc>
          <w:tcPr>
            <w:tcW w:w="10920" w:type="dxa"/>
            <w:shd w:val="clear" w:color="auto" w:fill="auto"/>
            <w:noWrap/>
            <w:vAlign w:val="center"/>
            <w:hideMark/>
          </w:tcPr>
          <w:p w14:paraId="59F79E62" w14:textId="3B3D9B19" w:rsidR="00192080" w:rsidRPr="007F23AD" w:rsidRDefault="00722E9D" w:rsidP="00192080">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 xml:space="preserve">Klein and </w:t>
            </w:r>
            <w:proofErr w:type="spellStart"/>
            <w:r w:rsidRPr="007F23AD">
              <w:rPr>
                <w:rFonts w:ascii="Calibri" w:eastAsia="DengXian" w:hAnsi="Calibri" w:cs="Calibri"/>
                <w:color w:val="000000" w:themeColor="text1"/>
                <w:sz w:val="22"/>
                <w:szCs w:val="22"/>
                <w:lang w:val="en-GB"/>
              </w:rPr>
              <w:t>Todesco</w:t>
            </w:r>
            <w:proofErr w:type="spellEnd"/>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hint="eastAsia"/>
                <w:color w:val="000000" w:themeColor="text1"/>
                <w:sz w:val="22"/>
                <w:szCs w:val="22"/>
                <w:lang w:val="en-GB"/>
              </w:rPr>
              <w:instrText xml:space="preserve"> ADDIN EN.CITE &lt;EndNote&gt;&lt;Cite ExcludeAuth="1"&gt;&lt;Author&gt;Klein&lt;/Author&gt;&lt;Year&gt;2021&lt;/Year&gt;&lt;RecNum&gt;0&lt;/RecNum&gt;&lt;IDText&gt;COVID</w:instrText>
            </w:r>
            <w:r w:rsidR="00D55F18" w:rsidRPr="007F23AD">
              <w:rPr>
                <w:rFonts w:ascii="Calibri" w:eastAsia="DengXian" w:hAnsi="Calibri" w:cs="Calibri" w:hint="eastAsia"/>
                <w:color w:val="000000" w:themeColor="text1"/>
                <w:sz w:val="22"/>
                <w:szCs w:val="22"/>
                <w:lang w:val="en-GB"/>
              </w:rPr>
              <w:instrText>‐</w:instrText>
            </w:r>
            <w:r w:rsidR="00D55F18" w:rsidRPr="007F23AD">
              <w:rPr>
                <w:rFonts w:ascii="Calibri" w:eastAsia="DengXian" w:hAnsi="Calibri" w:cs="Calibri" w:hint="eastAsia"/>
                <w:color w:val="000000" w:themeColor="text1"/>
                <w:sz w:val="22"/>
                <w:szCs w:val="22"/>
                <w:lang w:val="en-GB"/>
              </w:rPr>
              <w:instrText>19 crisis and SMEs responses: The role of digital transformation&lt;/IDText&gt;&lt;DisplayText&gt;(2021)&lt;/DisplayText&gt;&lt;record&gt;&lt;rec-number&gt;91&lt;/rec-numb</w:instrText>
            </w:r>
            <w:r w:rsidR="00D55F18" w:rsidRPr="007F23AD">
              <w:rPr>
                <w:rFonts w:ascii="Calibri" w:eastAsia="DengXian" w:hAnsi="Calibri" w:cs="Calibri"/>
                <w:color w:val="000000" w:themeColor="text1"/>
                <w:sz w:val="22"/>
                <w:szCs w:val="22"/>
                <w:lang w:val="en-GB"/>
              </w:rPr>
              <w:instrText>er&gt;&lt;foreign-keys&gt;&lt;key app="EN" db-id="pzdwvt0zxepzzqe2zdmp5zajvd0tv5sdtt2w" timestamp="1701253332"&gt;91&lt;/key&gt;&lt;/foreign-keys&gt;&lt;ref-type name="Journal Article"&gt;17&lt;/ref-type&gt;&lt;contributors&gt;&lt;authors&gt;&lt;author&gt;Klein, Vinícius Barreto&lt;/author&gt;&lt;author&gt;Todesco, José Le</w:instrText>
            </w:r>
            <w:r w:rsidR="00D55F18" w:rsidRPr="007F23AD">
              <w:rPr>
                <w:rFonts w:ascii="Calibri" w:eastAsia="DengXian" w:hAnsi="Calibri" w:cs="Calibri" w:hint="eastAsia"/>
                <w:color w:val="000000" w:themeColor="text1"/>
                <w:sz w:val="22"/>
                <w:szCs w:val="22"/>
                <w:lang w:val="en-GB"/>
              </w:rPr>
              <w:instrText>omar&lt;/author&gt;&lt;/authors&gt;&lt;/contributors&gt;&lt;titles&gt;&lt;title&gt;COVID</w:instrText>
            </w:r>
            <w:r w:rsidR="00D55F18" w:rsidRPr="007F23AD">
              <w:rPr>
                <w:rFonts w:ascii="Calibri" w:eastAsia="DengXian" w:hAnsi="Calibri" w:cs="Calibri" w:hint="eastAsia"/>
                <w:color w:val="000000" w:themeColor="text1"/>
                <w:sz w:val="22"/>
                <w:szCs w:val="22"/>
                <w:lang w:val="en-GB"/>
              </w:rPr>
              <w:instrText>‐</w:instrText>
            </w:r>
            <w:r w:rsidR="00D55F18" w:rsidRPr="007F23AD">
              <w:rPr>
                <w:rFonts w:ascii="Calibri" w:eastAsia="DengXian" w:hAnsi="Calibri" w:cs="Calibri" w:hint="eastAsia"/>
                <w:color w:val="000000" w:themeColor="text1"/>
                <w:sz w:val="22"/>
                <w:szCs w:val="22"/>
                <w:lang w:val="en-GB"/>
              </w:rPr>
              <w:instrText>19 crisis and SMEs responses: The role of digital transformation&lt;/title&gt;&lt;secondary-title&gt;Knowledge and Process Management&lt;/secondary-title&gt;&lt;/titles&gt;&lt;periodical&gt;&lt;full-title&gt;Knowledge and Process Ma</w:instrText>
            </w:r>
            <w:r w:rsidR="00D55F18" w:rsidRPr="007F23AD">
              <w:rPr>
                <w:rFonts w:ascii="Calibri" w:eastAsia="DengXian" w:hAnsi="Calibri" w:cs="Calibri"/>
                <w:color w:val="000000" w:themeColor="text1"/>
                <w:sz w:val="22"/>
                <w:szCs w:val="22"/>
                <w:lang w:val="en-GB"/>
              </w:rPr>
              <w:instrText>nagement&lt;/full-title&gt;&lt;/periodical&gt;&lt;pages&gt;117-133&lt;/pages&gt;&lt;volume&gt;28&lt;/volume&gt;&lt;number&gt;2&lt;/number&gt;&lt;section&gt;117&lt;/section&gt;&lt;dates&gt;&lt;year&gt;2021&lt;/year&gt;&lt;/dates&gt;&lt;isbn&gt;1092-4604&amp;#xD;1099-1441&lt;/isbn&gt;&lt;urls&gt;&lt;related-urls&gt;&lt;url&gt;https://onlinelibrary.wiley.com/doi/abs/10.1002/kpm.1660&lt;/url&gt;&lt;url&gt;https://onlinelibrary.wiley.com/doi/pdfdirect/10.1002/kpm.1660?download=true&lt;/url&gt;&lt;/related-urls&gt;&lt;/urls&gt;&lt;electronic-resource-num&gt;10.1002/kpm.1660&lt;/electronic-resource-num&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00192080" w:rsidRPr="007F23AD">
              <w:rPr>
                <w:rFonts w:ascii="Calibri" w:eastAsia="DengXian" w:hAnsi="Calibri" w:cs="Calibri"/>
                <w:color w:val="000000" w:themeColor="text1"/>
                <w:sz w:val="22"/>
                <w:szCs w:val="22"/>
                <w:lang w:val="en-GB"/>
              </w:rPr>
              <w:t xml:space="preserve"> </w:t>
            </w:r>
            <w:r w:rsidR="00776C96" w:rsidRPr="007F23AD">
              <w:rPr>
                <w:rFonts w:ascii="Calibri" w:eastAsia="DengXian" w:hAnsi="Calibri" w:cs="Calibri"/>
                <w:color w:val="000000" w:themeColor="text1"/>
                <w:sz w:val="22"/>
                <w:szCs w:val="22"/>
                <w:lang w:val="en-GB"/>
              </w:rPr>
              <w:t>investigated the impact of COVID-19 on SMEs, recommending knowledge management to boost organizational resilience and digital transformation, helping SMEs adapt to pandemic challenges.</w:t>
            </w:r>
          </w:p>
          <w:p w14:paraId="59E6C110" w14:textId="77777777" w:rsidR="00192080" w:rsidRPr="007F23AD" w:rsidRDefault="00192080" w:rsidP="00192080">
            <w:pPr>
              <w:rPr>
                <w:rFonts w:ascii="Calibri" w:eastAsia="DengXian" w:hAnsi="Calibri" w:cs="Calibri"/>
                <w:color w:val="000000" w:themeColor="text1"/>
                <w:sz w:val="22"/>
                <w:szCs w:val="22"/>
                <w:lang w:val="en-GB"/>
              </w:rPr>
            </w:pPr>
          </w:p>
          <w:p w14:paraId="5EE83DD0" w14:textId="5F0903BF" w:rsidR="00CF1DAD" w:rsidRPr="007F23AD" w:rsidRDefault="00CF1DAD" w:rsidP="00CF1DAD">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lastRenderedPageBreak/>
              <w:fldChar w:fldCharType="begin"/>
            </w:r>
            <w:r w:rsidR="00D55F18" w:rsidRPr="007F23AD">
              <w:rPr>
                <w:rFonts w:ascii="Calibri" w:eastAsia="DengXian" w:hAnsi="Calibri" w:cs="Calibri"/>
                <w:color w:val="000000" w:themeColor="text1"/>
                <w:sz w:val="22"/>
                <w:szCs w:val="22"/>
                <w:lang w:val="en-GB"/>
              </w:rPr>
              <w:instrText xml:space="preserve"> ADDIN EN.CITE &lt;EndNote&gt;&lt;Cite AuthorYear="1"&gt;&lt;Author&gt;Al-Mhdawi&lt;/Author&gt;&lt;Year&gt;2023&lt;/Year&gt;&lt;RecNum&gt;1182&lt;/RecNum&gt;&lt;DisplayText&gt;Al-Mhdawi et al. (2023)&lt;/DisplayText&gt;&lt;record&gt;&lt;rec-number&gt;92&lt;/rec-number&gt;&lt;foreign-keys&gt;&lt;key app="EN" db-id="pzdwvt0zxepzzqe2zdmp5zajvd0tv5sdtt2w" timestamp="1701253332"&gt;92&lt;/key&gt;&lt;/foreign-keys&gt;&lt;ref-type name="Journal Article"&gt;17&lt;/ref-type&gt;&lt;contributors&gt;&lt;authors&gt;&lt;author&gt;Al-Mhdawi, M. K. S.&lt;/author&gt;&lt;author&gt;Brito, M.&lt;/author&gt;&lt;author&gt;Onggo, B. S.&lt;/author&gt;&lt;author&gt;Qazi, A.&lt;/author&gt;&lt;author&gt;O&amp;apos;Connor, A.&lt;/author&gt;&lt;author&gt;Namian, M.&lt;/author&gt;&lt;/authors&gt;&lt;/contributors&gt;&lt;titles&gt;&lt;title&gt;Construction Risk Management in Iraq during the COVID-19 Pandemic: Challenges to Implementation and Efficacy of Practices&lt;/title&gt;&lt;secondary-title&gt;Journal of Construction Engineering and Management&lt;/secondary-title&gt;&lt;/titles&gt;&lt;periodical&gt;&lt;full-title&gt;Journal of Construction Engineering and Management&lt;/full-title&gt;&lt;/periodical&gt;&lt;volume&gt;149&lt;/volume&gt;&lt;number&gt;9&lt;/number&gt;&lt;dates&gt;&lt;year&gt;2023&lt;/year&gt;&lt;/dates&gt;&lt;work-type&gt;Article&lt;/work-type&gt;&lt;urls&gt;&lt;related-urls&gt;&lt;url&gt;https://www.scopus.com/inward/record.uri?eid=2-s2.0-85164912809&amp;amp;doi=10.1061%2fJCEMD4.COENG-13099&amp;amp;partnerID=40&amp;amp;md5=022589a6b63151d4318f01eefb48d4cc&lt;/url&gt;&lt;/related-urls&gt;&lt;/urls&gt;&lt;custom7&gt;04023086&lt;/custom7&gt;&lt;electronic-resource-num&gt;10.1061/JCEMD4.COENG-13099&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Al-Mhdawi et al. (2023)</w:t>
            </w:r>
            <w:r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w:t>
            </w:r>
            <w:r w:rsidR="00084F99" w:rsidRPr="007F23AD">
              <w:rPr>
                <w:rFonts w:ascii="Calibri" w:eastAsia="DengXian" w:hAnsi="Calibri" w:cs="Calibri"/>
                <w:color w:val="000000" w:themeColor="text1"/>
                <w:sz w:val="22"/>
                <w:szCs w:val="22"/>
                <w:lang w:val="en-GB"/>
              </w:rPr>
              <w:t>assessed risk management challenges in Iraq's construction industry during COVID-19, using various methods to identify 34 significant barriers.</w:t>
            </w:r>
          </w:p>
          <w:p w14:paraId="5C65E0BB" w14:textId="77777777" w:rsidR="003040B7" w:rsidRPr="007F23AD" w:rsidRDefault="003040B7" w:rsidP="00CF1DAD">
            <w:pPr>
              <w:rPr>
                <w:rFonts w:ascii="Calibri" w:eastAsia="DengXian" w:hAnsi="Calibri" w:cs="Calibri"/>
                <w:color w:val="000000" w:themeColor="text1"/>
                <w:sz w:val="22"/>
                <w:szCs w:val="22"/>
                <w:lang w:val="en-GB"/>
              </w:rPr>
            </w:pPr>
          </w:p>
          <w:p w14:paraId="15F76E80" w14:textId="61420AF3" w:rsidR="00CF1DAD" w:rsidRPr="007F23AD" w:rsidRDefault="003040B7" w:rsidP="00192080">
            <w:pPr>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fldChar w:fldCharType="begin">
                <w:fldData xml:space="preserve">PEVuZE5vdGU+PENpdGUgQXV0aG9yWWVhcj0iMSI+PEF1dGhvcj5BcnNhd2FuPC9BdXRob3I+PFll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</w:fldData>
              </w:fldChar>
            </w:r>
            <w:r w:rsidR="00D55F18" w:rsidRPr="007F23AD">
              <w:rPr>
                <w:rFonts w:ascii="Calibri" w:eastAsia="DengXian" w:hAnsi="Calibri" w:cs="Calibri"/>
                <w:color w:val="000000" w:themeColor="text1"/>
                <w:sz w:val="22"/>
                <w:szCs w:val="22"/>
                <w:lang w:val="en-GB"/>
              </w:rPr>
              <w:instrText xml:space="preserve"> ADDIN EN.CITE </w:instrText>
            </w:r>
            <w:r w:rsidR="00D55F18" w:rsidRPr="007F23AD">
              <w:rPr>
                <w:rFonts w:ascii="Calibri" w:eastAsia="DengXian" w:hAnsi="Calibri" w:cs="Calibri"/>
                <w:color w:val="000000" w:themeColor="text1"/>
                <w:sz w:val="22"/>
                <w:szCs w:val="22"/>
                <w:lang w:val="en-GB"/>
              </w:rPr>
              <w:fldChar w:fldCharType="begin">
                <w:fldData xml:space="preserve">PEVuZE5vdGU+PENpdGUgQXV0aG9yWWVhcj0iMSI+PEF1dGhvcj5BcnNhd2FuPC9BdXRob3I+PFll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</w:fldData>
              </w:fldChar>
            </w:r>
            <w:r w:rsidR="00D55F18" w:rsidRPr="007F23AD">
              <w:rPr>
                <w:rFonts w:ascii="Calibri" w:eastAsia="DengXian" w:hAnsi="Calibri" w:cs="Calibri"/>
                <w:color w:val="000000" w:themeColor="text1"/>
                <w:sz w:val="22"/>
                <w:szCs w:val="22"/>
                <w:lang w:val="en-GB"/>
              </w:rPr>
              <w:instrText xml:space="preserve"> ADDIN EN.CITE.DATA </w:instrText>
            </w:r>
            <w:r w:rsidR="00D55F18" w:rsidRPr="007F23AD">
              <w:rPr>
                <w:rFonts w:ascii="Calibri" w:eastAsia="DengXian" w:hAnsi="Calibri" w:cs="Calibri"/>
                <w:color w:val="000000" w:themeColor="text1"/>
                <w:sz w:val="22"/>
                <w:szCs w:val="22"/>
                <w:lang w:val="en-GB"/>
              </w:rPr>
            </w:r>
            <w:r w:rsidR="00D55F18" w:rsidRPr="007F23AD">
              <w:rPr>
                <w:rFonts w:ascii="Calibri" w:eastAsia="DengXian"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r>
            <w:r w:rsidRPr="007F23AD">
              <w:rPr>
                <w:rFonts w:ascii="Calibri" w:eastAsia="DengXian" w:hAnsi="Calibri" w:cs="Calibri"/>
                <w:color w:val="000000" w:themeColor="text1"/>
                <w:sz w:val="22"/>
                <w:szCs w:val="22"/>
                <w:lang w:val="en-GB"/>
              </w:rPr>
              <w:fldChar w:fldCharType="separate"/>
            </w:r>
            <w:r w:rsidRPr="007F23AD">
              <w:rPr>
                <w:rFonts w:ascii="Calibri" w:eastAsia="DengXian" w:hAnsi="Calibri" w:cs="Calibri"/>
                <w:noProof/>
                <w:color w:val="000000" w:themeColor="text1"/>
                <w:sz w:val="22"/>
                <w:szCs w:val="22"/>
                <w:lang w:val="en-GB"/>
              </w:rPr>
              <w:t>Arsawan et al. (2023)</w:t>
            </w:r>
            <w:r w:rsidRPr="007F23AD">
              <w:rPr>
                <w:rFonts w:ascii="Calibri" w:eastAsia="DengXian" w:hAnsi="Calibri" w:cs="Calibri"/>
                <w:color w:val="000000" w:themeColor="text1"/>
                <w:sz w:val="22"/>
                <w:szCs w:val="22"/>
                <w:lang w:val="en-GB"/>
              </w:rPr>
              <w:fldChar w:fldCharType="end"/>
            </w:r>
            <w:r w:rsidR="00084F99" w:rsidRPr="007F23AD">
              <w:rPr>
                <w:color w:val="000000" w:themeColor="text1"/>
              </w:rPr>
              <w:t xml:space="preserve"> </w:t>
            </w:r>
            <w:proofErr w:type="spellStart"/>
            <w:r w:rsidR="00084F99" w:rsidRPr="007F23AD">
              <w:rPr>
                <w:rFonts w:ascii="Calibri" w:eastAsia="DengXian" w:hAnsi="Calibri" w:cs="Calibri"/>
                <w:color w:val="000000" w:themeColor="text1"/>
                <w:sz w:val="22"/>
                <w:szCs w:val="22"/>
                <w:lang w:val="en-GB"/>
              </w:rPr>
              <w:t>analyzed</w:t>
            </w:r>
            <w:proofErr w:type="spellEnd"/>
            <w:r w:rsidR="00084F99" w:rsidRPr="007F23AD">
              <w:rPr>
                <w:rFonts w:ascii="Calibri" w:eastAsia="DengXian" w:hAnsi="Calibri" w:cs="Calibri"/>
                <w:color w:val="000000" w:themeColor="text1"/>
                <w:sz w:val="22"/>
                <w:szCs w:val="22"/>
                <w:lang w:val="en-GB"/>
              </w:rPr>
              <w:t xml:space="preserve"> the relationship between green economic incentives and environmental commitment in SMEs, finding a positive correlation and the role of commitment in practices like eco-design and asset recovery.</w:t>
            </w:r>
          </w:p>
          <w:p w14:paraId="2972692B" w14:textId="77777777" w:rsidR="00084F99" w:rsidRPr="007F23AD" w:rsidRDefault="00084F99" w:rsidP="00192080">
            <w:pPr>
              <w:rPr>
                <w:rFonts w:ascii="Calibri" w:eastAsia="DengXian" w:hAnsi="Calibri" w:cs="Calibri"/>
                <w:noProof/>
                <w:color w:val="000000" w:themeColor="text1"/>
                <w:sz w:val="22"/>
                <w:szCs w:val="22"/>
                <w:lang w:val="en-GB"/>
              </w:rPr>
            </w:pPr>
          </w:p>
          <w:p w14:paraId="4905583B" w14:textId="69388A15" w:rsidR="00CF1DAD" w:rsidRPr="007F23AD" w:rsidRDefault="00722E9D" w:rsidP="00192080">
            <w:pPr>
              <w:rPr>
                <w:rFonts w:ascii="Calibri" w:eastAsia="DengXian" w:hAnsi="Calibri" w:cs="Calibri"/>
                <w:color w:val="000000" w:themeColor="text1"/>
                <w:sz w:val="22"/>
                <w:szCs w:val="22"/>
                <w:lang w:val="en-GB"/>
              </w:rPr>
            </w:pPr>
            <w:r w:rsidRPr="007F23AD">
              <w:rPr>
                <w:rFonts w:ascii="Calibri" w:eastAsia="DengXian" w:hAnsi="Calibri" w:cs="Calibri"/>
                <w:noProof/>
                <w:color w:val="000000" w:themeColor="text1"/>
                <w:sz w:val="22"/>
                <w:szCs w:val="22"/>
                <w:lang w:val="en-GB"/>
              </w:rPr>
              <w:t>Salami et al</w:t>
            </w:r>
            <w:r w:rsidRPr="007F23AD">
              <w:rPr>
                <w:rFonts w:ascii="Calibri" w:eastAsia="DengXian" w:hAnsi="Calibri" w:cs="Calibri"/>
                <w:color w:val="000000" w:themeColor="text1"/>
                <w:sz w:val="22"/>
                <w:szCs w:val="22"/>
                <w:lang w:val="en-GB"/>
              </w:rPr>
              <w:t xml:space="preserve"> </w:t>
            </w:r>
            <w:r w:rsidRPr="007F23AD">
              <w:rPr>
                <w:rFonts w:ascii="Calibri" w:eastAsia="DengXian" w:hAnsi="Calibri" w:cs="Calibri"/>
                <w:color w:val="000000" w:themeColor="text1"/>
                <w:sz w:val="22"/>
                <w:szCs w:val="22"/>
                <w:lang w:val="en-GB"/>
              </w:rPr>
              <w:fldChar w:fldCharType="begin"/>
            </w:r>
            <w:r w:rsidR="005727DB" w:rsidRPr="007F23AD">
              <w:rPr>
                <w:rFonts w:ascii="Calibri" w:eastAsia="DengXian" w:hAnsi="Calibri" w:cs="Calibri"/>
                <w:color w:val="000000" w:themeColor="text1"/>
                <w:sz w:val="22"/>
                <w:szCs w:val="22"/>
                <w:lang w:val="en-GB"/>
              </w:rPr>
              <w:instrText xml:space="preserve"> ADDIN EN.CITE &lt;EndNote&gt;&lt;Cite ExcludeAuth="1"&gt;&lt;Author&gt;Salami&lt;/Author&gt;&lt;Year&gt;2021&lt;/Year&gt;&lt;RecNum&gt;921&lt;/RecNum&gt;&lt;IDText&gt;Tackling the impacts of Covid-19 on construction projects: an exploration of contractual dispute avoidance measures adopted by construction firms&lt;/IDText&gt;&lt;DisplayText&gt;(2021)&lt;/DisplayText&gt;&lt;record&gt;&lt;rec-number&gt;921&lt;/rec-number&gt;&lt;foreign-keys&gt;&lt;key app="EN" db-id="vxw0ffesn9zzt0ewpdx5r5a3fpw92aep9re9" timestamp="1684851507" guid="692ad2cd-dfa8-4c1b-8823-d0e24ab6eb51"&gt;921&lt;/key&gt;&lt;/foreign-keys&gt;&lt;ref-type name="Journal Article"&gt;17&lt;/ref-type&gt;&lt;contributors&gt;&lt;authors&gt;&lt;author&gt;Salami, Babatunde A.&lt;/author&gt;&lt;author&gt;Ajayi, Saheed O.&lt;/author&gt;&lt;author&gt;Oyegoke, Adekunle S.&lt;/author&gt;&lt;/authors&gt;&lt;/contributors&gt;&lt;titles&gt;&lt;title&gt;Tackling the impacts of Covid-19 on construction projects: an exploration of contractual dispute avoidance measures adopted by construction firms&lt;/title&gt;&lt;secondary-title&gt;International Journal of Construction Management&lt;/secondary-title&gt;&lt;/titles&gt;&lt;periodical&gt;&lt;full-title&gt;International Journal of Construction Management&lt;/full-title&gt;&lt;/periodical&gt;&lt;pages&gt;1196-1204&lt;/pages&gt;&lt;volume&gt;23&lt;/volume&gt;&lt;number&gt;7&lt;/number&gt;&lt;section&gt;1196&lt;/section&gt;&lt;dates&gt;&lt;year&gt;2021&lt;/year&gt;&lt;/dates&gt;&lt;isbn&gt;1562-3599&amp;#xD;2331-2327&lt;/isbn&gt;&lt;work-type&gt;Article&lt;/work-type&gt;&lt;urls&gt;&lt;related-urls&gt;&lt;url&gt;https://www.scopus.com/inward/record.uri?eid=2-s2.0-85112151848&amp;amp;doi=10.1080%2f15623599.2021.1963561&amp;amp;partnerID=40&amp;amp;md5=f6f329242f3f8fa81e29fdf063fb199e&lt;/url&gt;&lt;/related-urls&gt;&lt;/urls&gt;&lt;electronic-resource-num&gt;10.1080/15623599.2021.1963561&lt;/electronic-resource-num&gt;&lt;remote-database-name&gt;Scopus&lt;/remote-database-name&gt;&lt;/record&gt;&lt;/Cite&gt;&lt;/EndNote&gt;</w:instrText>
            </w:r>
            <w:r w:rsidRPr="007F23AD">
              <w:rPr>
                <w:rFonts w:ascii="Calibri" w:eastAsia="DengXian" w:hAnsi="Calibri" w:cs="Calibri"/>
                <w:color w:val="000000" w:themeColor="text1"/>
                <w:sz w:val="22"/>
                <w:szCs w:val="22"/>
                <w:lang w:val="en-GB"/>
              </w:rPr>
              <w:fldChar w:fldCharType="separate"/>
            </w:r>
            <w:r w:rsidR="004A76E8" w:rsidRPr="007F23AD">
              <w:rPr>
                <w:rFonts w:ascii="Calibri" w:eastAsia="DengXian" w:hAnsi="Calibri" w:cs="Calibri"/>
                <w:noProof/>
                <w:color w:val="000000" w:themeColor="text1"/>
                <w:sz w:val="22"/>
                <w:szCs w:val="22"/>
                <w:lang w:val="en-GB"/>
              </w:rPr>
              <w:t>(2021)</w:t>
            </w:r>
            <w:r w:rsidRPr="007F23AD">
              <w:rPr>
                <w:rFonts w:ascii="Calibri" w:eastAsia="DengXian" w:hAnsi="Calibri" w:cs="Calibri"/>
                <w:color w:val="000000" w:themeColor="text1"/>
                <w:sz w:val="22"/>
                <w:szCs w:val="22"/>
                <w:lang w:val="en-GB"/>
              </w:rPr>
              <w:fldChar w:fldCharType="end"/>
            </w:r>
            <w:r w:rsidR="00192080" w:rsidRPr="007F23AD">
              <w:rPr>
                <w:rFonts w:ascii="Calibri" w:eastAsia="DengXian" w:hAnsi="Calibri" w:cs="Calibri"/>
                <w:color w:val="000000" w:themeColor="text1"/>
                <w:sz w:val="22"/>
                <w:szCs w:val="22"/>
                <w:lang w:val="en-GB"/>
              </w:rPr>
              <w:t xml:space="preserve"> </w:t>
            </w:r>
            <w:r w:rsidR="00294257" w:rsidRPr="007F23AD">
              <w:rPr>
                <w:rFonts w:ascii="Calibri" w:eastAsia="DengXian" w:hAnsi="Calibri" w:cs="Calibri"/>
                <w:color w:val="000000" w:themeColor="text1"/>
                <w:sz w:val="22"/>
                <w:szCs w:val="22"/>
                <w:lang w:val="en-GB"/>
              </w:rPr>
              <w:t>examined strategies by construction firms to avoid COVID-19 related contractual disputes, emphasizing measures like positive partner relationships and early decision-making, providing insights for risk minimization and partnership maintenance during the pandemic.</w:t>
            </w:r>
          </w:p>
          <w:p w14:paraId="4EFDAF61" w14:textId="50F88CDB" w:rsidR="003561B3" w:rsidRPr="007F23AD" w:rsidRDefault="003561B3" w:rsidP="00192080">
            <w:pPr>
              <w:rPr>
                <w:rFonts w:ascii="Calibri" w:eastAsia="DengXian" w:hAnsi="Calibri" w:cs="Calibri"/>
                <w:color w:val="000000" w:themeColor="text1"/>
                <w:sz w:val="22"/>
                <w:szCs w:val="22"/>
              </w:rPr>
            </w:pPr>
          </w:p>
        </w:tc>
      </w:tr>
    </w:tbl>
    <w:p w14:paraId="1D1CCAF8" w14:textId="77777777" w:rsidR="00751CEF" w:rsidRPr="007F23AD" w:rsidRDefault="00751CEF" w:rsidP="00751CEF">
      <w:pPr>
        <w:rPr>
          <w:rFonts w:ascii="Calibri" w:hAnsi="Calibri" w:cs="Calibri"/>
          <w:color w:val="000000" w:themeColor="text1"/>
          <w:sz w:val="22"/>
          <w:szCs w:val="22"/>
          <w:lang w:val="en-GB"/>
        </w:rPr>
        <w:sectPr w:rsidR="00751CEF" w:rsidRPr="007F23AD" w:rsidSect="002F0FBC">
          <w:pgSz w:w="16840" w:h="11900" w:orient="landscape"/>
          <w:pgMar w:top="1800" w:right="1440" w:bottom="1800" w:left="1440" w:header="708" w:footer="708" w:gutter="0"/>
          <w:cols w:space="708"/>
          <w:docGrid w:linePitch="360"/>
        </w:sectPr>
      </w:pPr>
    </w:p>
    <w:p w14:paraId="786FE23F" w14:textId="19E2AF01" w:rsidR="0039109D" w:rsidRPr="007F23AD" w:rsidRDefault="00AF1099" w:rsidP="007C675E">
      <w:pPr>
        <w:spacing w:line="480" w:lineRule="auto"/>
        <w:jc w:val="both"/>
        <w:rPr>
          <w:rFonts w:ascii="Calibri" w:eastAsia="DengXian" w:hAnsi="Calibri" w:cs="Calibri"/>
          <w:i/>
          <w:iCs/>
          <w:color w:val="000000" w:themeColor="text1"/>
          <w:sz w:val="22"/>
          <w:szCs w:val="22"/>
          <w:lang w:val="en-GB"/>
        </w:rPr>
      </w:pPr>
      <w:r w:rsidRPr="007F23AD">
        <w:rPr>
          <w:rFonts w:ascii="Calibri" w:eastAsia="DengXian" w:hAnsi="Calibri" w:cs="Calibri"/>
          <w:i/>
          <w:iCs/>
          <w:color w:val="000000" w:themeColor="text1"/>
          <w:sz w:val="22"/>
          <w:szCs w:val="22"/>
          <w:lang w:val="en-GB"/>
        </w:rPr>
        <w:lastRenderedPageBreak/>
        <w:t>Environmental risk</w:t>
      </w:r>
    </w:p>
    <w:p w14:paraId="3EC265F0" w14:textId="0BB9F096" w:rsidR="00952DFA" w:rsidRPr="007F23AD" w:rsidRDefault="00AB73DA" w:rsidP="00D9612F">
      <w:pPr>
        <w:spacing w:line="480" w:lineRule="auto"/>
        <w:jc w:val="both"/>
        <w:rPr>
          <w:rFonts w:ascii="Calibri" w:eastAsia="DengXian" w:hAnsi="Calibri" w:cs="Calibri"/>
          <w:color w:val="000000" w:themeColor="text1"/>
          <w:sz w:val="22"/>
          <w:szCs w:val="22"/>
          <w:lang w:val="en-GB"/>
        </w:rPr>
      </w:pPr>
      <w:r w:rsidRPr="007F23AD">
        <w:rPr>
          <w:rFonts w:ascii="Calibri" w:eastAsia="DengXian" w:hAnsi="Calibri" w:cs="Calibri"/>
          <w:color w:val="000000" w:themeColor="text1"/>
          <w:sz w:val="22"/>
          <w:szCs w:val="22"/>
          <w:lang w:val="en-GB"/>
        </w:rPr>
        <w:t>Environmental risks can be categori</w:t>
      </w:r>
      <w:r w:rsidR="00E356C8" w:rsidRPr="007F23AD">
        <w:rPr>
          <w:rFonts w:ascii="Calibri" w:eastAsia="DengXian" w:hAnsi="Calibri" w:cs="Calibri"/>
          <w:color w:val="000000" w:themeColor="text1"/>
          <w:sz w:val="22"/>
          <w:szCs w:val="22"/>
          <w:lang w:val="en-GB"/>
        </w:rPr>
        <w:t>s</w:t>
      </w:r>
      <w:r w:rsidRPr="007F23AD">
        <w:rPr>
          <w:rFonts w:ascii="Calibri" w:eastAsia="DengXian" w:hAnsi="Calibri" w:cs="Calibri"/>
          <w:color w:val="000000" w:themeColor="text1"/>
          <w:sz w:val="22"/>
          <w:szCs w:val="22"/>
          <w:lang w:val="en-GB"/>
        </w:rPr>
        <w:t xml:space="preserve">ed into endogenous and exogenous facets. The </w:t>
      </w:r>
      <w:r w:rsidR="00D858C7" w:rsidRPr="007F23AD">
        <w:rPr>
          <w:rFonts w:ascii="Calibri" w:eastAsia="DengXian" w:hAnsi="Calibri" w:cs="Calibri"/>
          <w:color w:val="000000" w:themeColor="text1"/>
          <w:sz w:val="22"/>
          <w:szCs w:val="22"/>
          <w:lang w:val="en-GB"/>
        </w:rPr>
        <w:t>endogenous side</w:t>
      </w:r>
      <w:r w:rsidRPr="007F23AD">
        <w:rPr>
          <w:rFonts w:ascii="Calibri" w:eastAsia="DengXian" w:hAnsi="Calibri" w:cs="Calibri"/>
          <w:color w:val="000000" w:themeColor="text1"/>
          <w:sz w:val="22"/>
          <w:szCs w:val="22"/>
          <w:lang w:val="en-GB"/>
        </w:rPr>
        <w:t xml:space="preserve"> stems from </w:t>
      </w:r>
      <w:r w:rsidR="002B39E0" w:rsidRPr="007F23AD">
        <w:rPr>
          <w:rFonts w:ascii="Calibri" w:eastAsia="DengXian" w:hAnsi="Calibri" w:cs="Calibri"/>
          <w:color w:val="000000" w:themeColor="text1"/>
          <w:sz w:val="22"/>
          <w:szCs w:val="22"/>
          <w:lang w:val="en-GB"/>
        </w:rPr>
        <w:t>an</w:t>
      </w:r>
      <w:r w:rsidRPr="007F23AD">
        <w:rPr>
          <w:rFonts w:ascii="Calibri" w:eastAsia="DengXian" w:hAnsi="Calibri" w:cs="Calibri"/>
          <w:color w:val="000000" w:themeColor="text1"/>
          <w:sz w:val="22"/>
          <w:szCs w:val="22"/>
          <w:lang w:val="en-GB"/>
        </w:rPr>
        <w:t xml:space="preserve"> </w:t>
      </w:r>
      <w:r w:rsidR="00CC67B2" w:rsidRPr="007F23AD">
        <w:rPr>
          <w:rFonts w:ascii="Calibri" w:eastAsia="DengXian" w:hAnsi="Calibri" w:cs="Calibri"/>
          <w:color w:val="000000" w:themeColor="text1"/>
          <w:sz w:val="22"/>
          <w:szCs w:val="22"/>
          <w:lang w:val="en-GB"/>
        </w:rPr>
        <w:t xml:space="preserve">inside of the company </w:t>
      </w:r>
      <w:r w:rsidRPr="007F23AD">
        <w:rPr>
          <w:rFonts w:ascii="Calibri" w:eastAsia="DengXian" w:hAnsi="Calibri" w:cs="Calibri"/>
          <w:color w:val="000000" w:themeColor="text1"/>
          <w:sz w:val="22"/>
          <w:szCs w:val="22"/>
          <w:lang w:val="en-GB"/>
        </w:rPr>
        <w:t xml:space="preserve">activities throughout its supply chain, while the </w:t>
      </w:r>
      <w:r w:rsidR="002B39E0" w:rsidRPr="007F23AD">
        <w:rPr>
          <w:rFonts w:ascii="Calibri" w:eastAsia="DengXian" w:hAnsi="Calibri" w:cs="Calibri"/>
          <w:color w:val="000000" w:themeColor="text1"/>
          <w:sz w:val="22"/>
          <w:szCs w:val="22"/>
          <w:lang w:val="en-GB"/>
        </w:rPr>
        <w:t>exogenous facets</w:t>
      </w:r>
      <w:r w:rsidRPr="007F23AD">
        <w:rPr>
          <w:rFonts w:ascii="Calibri" w:eastAsia="DengXian" w:hAnsi="Calibri" w:cs="Calibri"/>
          <w:color w:val="000000" w:themeColor="text1"/>
          <w:sz w:val="22"/>
          <w:szCs w:val="22"/>
          <w:lang w:val="en-GB"/>
        </w:rPr>
        <w:t xml:space="preserve"> arises from external factors when companies interact with the broader environment in which they operate </w:t>
      </w:r>
      <w:r w:rsidRPr="007F23AD">
        <w:rPr>
          <w:rFonts w:ascii="Calibri" w:hAnsi="Calibri" w:cs="Calibri"/>
          <w:color w:val="000000" w:themeColor="text1"/>
          <w:sz w:val="22"/>
          <w:szCs w:val="22"/>
          <w:lang w:val="en-GB"/>
        </w:rPr>
        <w:fldChar w:fldCharType="begin"/>
      </w:r>
      <w:r w:rsidR="00922C2B" w:rsidRPr="007F23AD">
        <w:rPr>
          <w:rFonts w:ascii="Calibri" w:hAnsi="Calibri" w:cs="Calibri"/>
          <w:color w:val="000000" w:themeColor="text1"/>
          <w:sz w:val="22"/>
          <w:szCs w:val="22"/>
          <w:lang w:val="en-GB"/>
        </w:rPr>
        <w:instrText xml:space="preserve"> ADDIN EN.CITE &lt;EndNote&gt;&lt;Cite&gt;&lt;Author&gt;Giannakis&lt;/Author&gt;&lt;Year&gt;2016&lt;/Year&gt;&lt;RecNum&gt;1198&lt;/RecNum&gt;&lt;DisplayText&gt;(Giannakis and Papadopoulos 2016)&lt;/DisplayText&gt;&lt;record&gt;&lt;rec-number&gt;1198&lt;/rec-number&gt;&lt;foreign-keys&gt;&lt;key app="EN" db-id="vxw0ffesn9zzt0ewpdx5r5a3fpw92aep9re9" timestamp="1699017581" guid="5f9ca3da-7671-4c1e-a1b1-79db95f70432"&gt;1198&lt;/key&gt;&lt;/foreign-keys&gt;&lt;ref-type name="Journal Article"&gt;17&lt;/ref-type&gt;&lt;contributors&gt;&lt;authors&gt;&lt;author&gt;Giannakis, Mihalis&lt;/author&gt;&lt;author&gt;Papadopoulos, Thanos&lt;/author&gt;&lt;/authors&gt;&lt;/contributors&gt;&lt;titles&gt;&lt;title&gt;Supply chain sustainability: A risk management approach&lt;/title&gt;&lt;secondary-title&gt;International Journal of Production Economics&lt;/secondary-title&gt;&lt;/titles&gt;&lt;periodical&gt;&lt;full-title&gt;International Journal of Production Economics&lt;/full-title&gt;&lt;/periodical&gt;&lt;pages&gt;455-470&lt;/pages&gt;&lt;volume&gt;171&lt;/volume&gt;&lt;keywords&gt;&lt;keyword&gt;Sustainability&lt;/keyword&gt;&lt;keyword&gt;Risk management&lt;/keyword&gt;&lt;keyword&gt;supply chain management&lt;/keyword&gt;&lt;/keywords&gt;&lt;dates&gt;&lt;year&gt;2016&lt;/year&gt;&lt;pub-dates&gt;&lt;date&gt;2016/01/01/&lt;/date&gt;&lt;/pub-dates&gt;&lt;/dates&gt;&lt;isbn&gt;0925-5273&lt;/isbn&gt;&lt;urls&gt;&lt;related-urls&gt;&lt;url&gt;https://www.sciencedirect.com/science/article/pii/S0925527315002704&lt;/url&gt;&lt;/related-urls&gt;&lt;/urls&gt;&lt;electronic-resource-num&gt;https://doi.org/10.1016/j.ijpe.2015.06.032&lt;/electronic-resource-num&gt;&lt;/record&gt;&lt;/Cite&gt;&lt;/EndNote&gt;</w:instrText>
      </w:r>
      <w:r w:rsidRPr="007F23AD">
        <w:rPr>
          <w:rFonts w:ascii="Calibri" w:hAnsi="Calibri" w:cs="Calibri"/>
          <w:color w:val="000000" w:themeColor="text1"/>
          <w:sz w:val="22"/>
          <w:szCs w:val="22"/>
          <w:lang w:val="en-GB"/>
        </w:rPr>
        <w:fldChar w:fldCharType="separate"/>
      </w:r>
      <w:r w:rsidRPr="007F23AD">
        <w:rPr>
          <w:rFonts w:ascii="Calibri" w:hAnsi="Calibri" w:cs="Calibri"/>
          <w:noProof/>
          <w:color w:val="000000" w:themeColor="text1"/>
          <w:sz w:val="22"/>
          <w:szCs w:val="22"/>
          <w:lang w:val="en-GB"/>
        </w:rPr>
        <w:t>(Giannakis and Papadopoulos 2016)</w:t>
      </w:r>
      <w:r w:rsidRPr="007F23AD">
        <w:rPr>
          <w:rFonts w:ascii="Calibri" w:hAnsi="Calibri" w:cs="Calibri"/>
          <w:color w:val="000000" w:themeColor="text1"/>
          <w:sz w:val="22"/>
          <w:szCs w:val="22"/>
          <w:lang w:val="en-GB"/>
        </w:rPr>
        <w:fldChar w:fldCharType="end"/>
      </w:r>
      <w:r w:rsidRPr="007F23AD">
        <w:rPr>
          <w:rFonts w:ascii="Calibri" w:eastAsia="DengXian" w:hAnsi="Calibri" w:cs="Calibri"/>
          <w:color w:val="000000" w:themeColor="text1"/>
          <w:sz w:val="22"/>
          <w:szCs w:val="22"/>
          <w:lang w:val="en-GB"/>
        </w:rPr>
        <w:t xml:space="preserve">. This theme predominantly addresses the exogenous aspect, particularly </w:t>
      </w:r>
      <w:r w:rsidR="00D42DE0" w:rsidRPr="007F23AD">
        <w:rPr>
          <w:rFonts w:ascii="Calibri" w:eastAsia="DengXian" w:hAnsi="Calibri" w:cs="Calibri"/>
          <w:color w:val="000000" w:themeColor="text1"/>
          <w:sz w:val="22"/>
          <w:szCs w:val="22"/>
          <w:lang w:val="en-GB"/>
        </w:rPr>
        <w:t>considering</w:t>
      </w:r>
      <w:r w:rsidRPr="007F23AD">
        <w:rPr>
          <w:rFonts w:ascii="Calibri" w:eastAsia="DengXian" w:hAnsi="Calibri" w:cs="Calibri"/>
          <w:color w:val="000000" w:themeColor="text1"/>
          <w:sz w:val="22"/>
          <w:szCs w:val="22"/>
          <w:lang w:val="en-GB"/>
        </w:rPr>
        <w:t xml:space="preserve"> the profound effects of COVID-19</w:t>
      </w:r>
      <w:r w:rsidR="0039109D" w:rsidRPr="007F23AD">
        <w:rPr>
          <w:rFonts w:ascii="Calibri" w:eastAsia="DengXian" w:hAnsi="Calibri" w:cs="Calibri"/>
          <w:color w:val="000000" w:themeColor="text1"/>
          <w:sz w:val="22"/>
          <w:szCs w:val="22"/>
          <w:lang w:val="en-GB"/>
        </w:rPr>
        <w:t xml:space="preserve">. These risks are often linked with green supply chains and predominantly focus on natural threats such as the </w:t>
      </w:r>
      <w:r w:rsidR="000968DA" w:rsidRPr="007F23AD">
        <w:rPr>
          <w:rFonts w:ascii="Calibri" w:eastAsia="DengXian" w:hAnsi="Calibri" w:cs="Calibri"/>
          <w:color w:val="000000" w:themeColor="text1"/>
          <w:sz w:val="22"/>
          <w:szCs w:val="22"/>
          <w:lang w:val="en-GB"/>
        </w:rPr>
        <w:t>consequence</w:t>
      </w:r>
      <w:r w:rsidR="0039109D" w:rsidRPr="007F23AD">
        <w:rPr>
          <w:rFonts w:ascii="Calibri" w:eastAsia="DengXian" w:hAnsi="Calibri" w:cs="Calibri"/>
          <w:color w:val="000000" w:themeColor="text1"/>
          <w:sz w:val="22"/>
          <w:szCs w:val="22"/>
          <w:lang w:val="en-GB"/>
        </w:rPr>
        <w:t xml:space="preserve"> of COVID-19. </w:t>
      </w:r>
      <w:r w:rsidR="00FF3198" w:rsidRPr="007F23AD">
        <w:rPr>
          <w:rFonts w:ascii="Calibri" w:eastAsia="DengXian" w:hAnsi="Calibri" w:cs="Calibri"/>
          <w:color w:val="000000" w:themeColor="text1"/>
          <w:sz w:val="22"/>
          <w:szCs w:val="22"/>
          <w:lang w:val="en-GB"/>
        </w:rPr>
        <w:t>The supply chains of construction SMEs are particularly susceptible to external factors and unforeseen events.</w:t>
      </w:r>
      <w:r w:rsidR="0039109D" w:rsidRPr="007F23AD">
        <w:rPr>
          <w:rFonts w:ascii="Calibri" w:eastAsia="DengXian" w:hAnsi="Calibri" w:cs="Calibri"/>
          <w:color w:val="000000" w:themeColor="text1"/>
          <w:sz w:val="22"/>
          <w:szCs w:val="22"/>
          <w:lang w:val="en-GB"/>
        </w:rPr>
        <w:t xml:space="preserve"> In comparison to </w:t>
      </w:r>
      <w:r w:rsidR="00DA5C9F" w:rsidRPr="007F23AD">
        <w:rPr>
          <w:rFonts w:ascii="Calibri" w:eastAsia="DengXian" w:hAnsi="Calibri" w:cs="Calibri"/>
          <w:color w:val="000000" w:themeColor="text1"/>
          <w:sz w:val="22"/>
          <w:szCs w:val="22"/>
          <w:lang w:val="en-GB"/>
        </w:rPr>
        <w:t>other</w:t>
      </w:r>
      <w:r w:rsidR="0039109D" w:rsidRPr="007F23AD">
        <w:rPr>
          <w:rFonts w:ascii="Calibri" w:eastAsia="DengXian" w:hAnsi="Calibri" w:cs="Calibri"/>
          <w:color w:val="000000" w:themeColor="text1"/>
          <w:sz w:val="22"/>
          <w:szCs w:val="22"/>
          <w:lang w:val="en-GB"/>
        </w:rPr>
        <w:t xml:space="preserve"> larger, well-established counterparts, SMEs typically lack the robust </w:t>
      </w:r>
      <w:r w:rsidR="00DA5C9F" w:rsidRPr="007F23AD">
        <w:rPr>
          <w:rFonts w:ascii="Calibri" w:eastAsia="DengXian" w:hAnsi="Calibri" w:cs="Calibri"/>
          <w:color w:val="000000" w:themeColor="text1"/>
          <w:sz w:val="22"/>
          <w:szCs w:val="22"/>
          <w:lang w:val="en-GB"/>
        </w:rPr>
        <w:t>ability</w:t>
      </w:r>
      <w:r w:rsidR="0039109D" w:rsidRPr="007F23AD">
        <w:rPr>
          <w:rFonts w:ascii="Calibri" w:eastAsia="DengXian" w:hAnsi="Calibri" w:cs="Calibri"/>
          <w:color w:val="000000" w:themeColor="text1"/>
          <w:sz w:val="22"/>
          <w:szCs w:val="22"/>
          <w:lang w:val="en-GB"/>
        </w:rPr>
        <w:t xml:space="preserve"> to counter unforeseen risks effectively. The outbreak of the COVID-19 pandemic offers a clear illustration of this vulnerability. At the pandemic's onset, numerous countries instituted lockdowns, limiting non-essential functions and urging residents to self-isolate</w:t>
      </w:r>
      <w:r w:rsidR="004767B6" w:rsidRPr="007F23AD">
        <w:rPr>
          <w:rFonts w:ascii="Calibri" w:eastAsia="DengXian" w:hAnsi="Calibri" w:cs="Calibri"/>
          <w:color w:val="000000" w:themeColor="text1"/>
          <w:sz w:val="22"/>
          <w:szCs w:val="22"/>
          <w:lang w:val="en-GB"/>
        </w:rPr>
        <w:t xml:space="preserve"> </w:t>
      </w:r>
      <w:r w:rsidR="004767B6" w:rsidRPr="007F23AD">
        <w:rPr>
          <w:rFonts w:ascii="Calibri" w:eastAsia="DengXian" w:hAnsi="Calibri" w:cs="Calibri"/>
          <w:color w:val="000000" w:themeColor="text1"/>
          <w:sz w:val="22"/>
          <w:szCs w:val="22"/>
          <w:lang w:val="en-GB"/>
        </w:rPr>
        <w:fldChar w:fldCharType="begin"/>
      </w:r>
      <w:r w:rsidR="00D55F18" w:rsidRPr="007F23AD">
        <w:rPr>
          <w:rFonts w:ascii="Calibri" w:eastAsia="DengXian" w:hAnsi="Calibri" w:cs="Calibri"/>
          <w:color w:val="000000" w:themeColor="text1"/>
          <w:sz w:val="22"/>
          <w:szCs w:val="22"/>
          <w:lang w:val="en-GB"/>
        </w:rPr>
        <w:instrText xml:space="preserve"> ADDIN EN.CITE &lt;EndNote&gt;&lt;Cite&gt;&lt;Author&gt;Klein&lt;/Author&gt;&lt;Year&gt;2021&lt;/Year&gt;&lt;RecNum&gt;199&lt;/RecNum&gt;&lt;DisplayText&gt;(Klein and Todesco 2021)&lt;/DisplayText&gt;&lt;record&gt;&lt;rec-number&gt;91&lt;/rec-number&gt;&lt;foreign-keys&gt;&lt;key app="EN" db-id="pzdwvt0zxepzzqe2zdmp5zajvd0tv5sdtt2w" timestamp="1701253332"&gt;91&lt;/key&gt;&lt;/foreign-keys&gt;&lt;ref-type name="Journal Article"&gt;17&lt;/ref-type&gt;&lt;contributors&gt;&lt;authors&gt;&lt;author&gt;Klein, Vinícius Barreto&lt;/author&gt;&lt;author&gt;Todesco, José Leomar&lt;/author&gt;&lt;/authors&gt;&lt;/contributors&gt;&lt;titles&gt;&lt;title&gt;COVID‐19 crisis and SMEs responses: The role of digital transformation&lt;/title&gt;&lt;secondary-title&gt;Knowledge and Process Management&lt;/secondary-title&gt;&lt;/titles&gt;&lt;periodical&gt;&lt;full-title&gt;Knowledge and Process Management&lt;/full-title&gt;&lt;/periodical&gt;&lt;pages&gt;117-133&lt;/pages&gt;&lt;volume&gt;28&lt;/volume&gt;&lt;number&gt;2&lt;/number&gt;&lt;section&gt;117&lt;/section&gt;&lt;dates&gt;&lt;year&gt;2021&lt;/year&gt;&lt;/dates&gt;&lt;isbn&gt;1092-4604&amp;#xD;1099-1441&lt;/isbn&gt;&lt;urls&gt;&lt;related-urls&gt;&lt;url&gt;https://onlinelibrary.wiley.com/doi/abs/10.1002/kpm.1660&lt;/url&gt;&lt;url&gt;https://onlinelibrary.wiley.com/doi/pdfdirect/10.1002/kpm.1660?download=true&lt;/url&gt;&lt;/related-urls&gt;&lt;/urls&gt;&lt;electronic-resource-num&gt;10.1002/kpm.1660&lt;/electronic-resource-num&gt;&lt;/record&gt;&lt;/Cite&gt;&lt;/EndNote&gt;</w:instrText>
      </w:r>
      <w:r w:rsidR="004767B6" w:rsidRPr="007F23AD">
        <w:rPr>
          <w:rFonts w:ascii="Calibri" w:eastAsia="DengXian" w:hAnsi="Calibri" w:cs="Calibri"/>
          <w:color w:val="000000" w:themeColor="text1"/>
          <w:sz w:val="22"/>
          <w:szCs w:val="22"/>
          <w:lang w:val="en-GB"/>
        </w:rPr>
        <w:fldChar w:fldCharType="separate"/>
      </w:r>
      <w:r w:rsidR="004767B6" w:rsidRPr="007F23AD">
        <w:rPr>
          <w:rFonts w:ascii="Calibri" w:eastAsia="DengXian" w:hAnsi="Calibri" w:cs="Calibri"/>
          <w:noProof/>
          <w:color w:val="000000" w:themeColor="text1"/>
          <w:sz w:val="22"/>
          <w:szCs w:val="22"/>
          <w:lang w:val="en-GB"/>
        </w:rPr>
        <w:t>(Klein and Todesco 2021)</w:t>
      </w:r>
      <w:r w:rsidR="004767B6" w:rsidRPr="007F23AD">
        <w:rPr>
          <w:rFonts w:ascii="Calibri" w:eastAsia="DengXian" w:hAnsi="Calibri" w:cs="Calibri"/>
          <w:color w:val="000000" w:themeColor="text1"/>
          <w:sz w:val="22"/>
          <w:szCs w:val="22"/>
          <w:lang w:val="en-GB"/>
        </w:rPr>
        <w:fldChar w:fldCharType="end"/>
      </w:r>
      <w:r w:rsidR="0039109D" w:rsidRPr="007F23AD">
        <w:rPr>
          <w:rFonts w:ascii="Calibri" w:eastAsia="DengXian" w:hAnsi="Calibri" w:cs="Calibri"/>
          <w:color w:val="000000" w:themeColor="text1"/>
          <w:sz w:val="22"/>
          <w:szCs w:val="22"/>
          <w:lang w:val="en-GB"/>
        </w:rPr>
        <w:t xml:space="preserve">. </w:t>
      </w:r>
      <w:r w:rsidR="00E74811" w:rsidRPr="007F23AD">
        <w:rPr>
          <w:rFonts w:ascii="Calibri" w:eastAsia="DengXian" w:hAnsi="Calibri" w:cs="Calibri"/>
          <w:color w:val="000000" w:themeColor="text1"/>
          <w:sz w:val="22"/>
          <w:szCs w:val="22"/>
          <w:lang w:val="en-GB"/>
        </w:rPr>
        <w:t>Therefore, many researchers are exploring the impact of COVID-19 on construction supply chains</w:t>
      </w:r>
      <w:r w:rsidR="00170EEA" w:rsidRPr="007F23AD">
        <w:rPr>
          <w:rFonts w:ascii="Calibri" w:eastAsia="DengXian" w:hAnsi="Calibri" w:cs="Calibri"/>
          <w:color w:val="000000" w:themeColor="text1"/>
          <w:sz w:val="22"/>
          <w:szCs w:val="22"/>
          <w:lang w:val="en-GB"/>
        </w:rPr>
        <w:t xml:space="preserve"> as shown in the </w:t>
      </w:r>
      <w:r w:rsidR="008E6CEA" w:rsidRPr="007F23AD">
        <w:rPr>
          <w:rFonts w:ascii="Calibri" w:eastAsia="DengXian" w:hAnsi="Calibri" w:cs="Calibri"/>
          <w:color w:val="000000" w:themeColor="text1"/>
          <w:sz w:val="22"/>
          <w:szCs w:val="22"/>
          <w:lang w:val="en-GB"/>
        </w:rPr>
        <w:t>Table V</w:t>
      </w:r>
      <w:r w:rsidR="00E74811" w:rsidRPr="007F23AD">
        <w:rPr>
          <w:rFonts w:ascii="Calibri" w:eastAsia="DengXian" w:hAnsi="Calibri" w:cs="Calibri"/>
          <w:color w:val="000000" w:themeColor="text1"/>
          <w:sz w:val="22"/>
          <w:szCs w:val="22"/>
          <w:lang w:val="en-GB"/>
        </w:rPr>
        <w:t>.</w:t>
      </w:r>
    </w:p>
    <w:p w14:paraId="42E08BF7" w14:textId="77777777" w:rsidR="007E55C3" w:rsidRPr="007F23AD" w:rsidRDefault="007E55C3" w:rsidP="00D9612F">
      <w:pPr>
        <w:spacing w:line="480" w:lineRule="auto"/>
        <w:jc w:val="both"/>
        <w:rPr>
          <w:rFonts w:ascii="Calibri" w:eastAsia="DengXian" w:hAnsi="Calibri" w:cs="Calibri"/>
          <w:color w:val="000000" w:themeColor="text1"/>
          <w:sz w:val="22"/>
          <w:szCs w:val="22"/>
        </w:rPr>
      </w:pPr>
    </w:p>
    <w:p w14:paraId="2A1090C9" w14:textId="19B0E927" w:rsidR="00A30A8A" w:rsidRPr="007F23AD" w:rsidRDefault="00A30A8A" w:rsidP="230D1E9C">
      <w:pPr>
        <w:pStyle w:val="a3"/>
        <w:numPr>
          <w:ilvl w:val="1"/>
          <w:numId w:val="2"/>
        </w:numPr>
        <w:spacing w:line="480" w:lineRule="auto"/>
        <w:jc w:val="both"/>
        <w:rPr>
          <w:rFonts w:ascii="Calibri" w:eastAsia="DengXian" w:hAnsi="Calibri" w:cs="Calibri"/>
          <w:b/>
          <w:bCs/>
          <w:color w:val="000000" w:themeColor="text1"/>
          <w:sz w:val="22"/>
          <w:szCs w:val="22"/>
          <w:lang w:val="en-GB"/>
        </w:rPr>
      </w:pPr>
      <w:r w:rsidRPr="007F23AD">
        <w:rPr>
          <w:rFonts w:ascii="Calibri" w:eastAsia="DengXian" w:hAnsi="Calibri" w:cs="Calibri"/>
          <w:b/>
          <w:bCs/>
          <w:color w:val="000000" w:themeColor="text1"/>
          <w:sz w:val="22"/>
          <w:szCs w:val="22"/>
          <w:lang w:val="en-GB"/>
        </w:rPr>
        <w:t>Summar</w:t>
      </w:r>
      <w:r w:rsidR="5935F554" w:rsidRPr="007F23AD">
        <w:rPr>
          <w:rFonts w:ascii="Calibri" w:eastAsia="DengXian" w:hAnsi="Calibri" w:cs="Calibri"/>
          <w:b/>
          <w:bCs/>
          <w:color w:val="000000" w:themeColor="text1"/>
          <w:sz w:val="22"/>
          <w:szCs w:val="22"/>
          <w:lang w:val="en-GB"/>
        </w:rPr>
        <w:t xml:space="preserve">y </w:t>
      </w:r>
      <w:r w:rsidRPr="007F23AD">
        <w:rPr>
          <w:rFonts w:ascii="Calibri" w:eastAsia="DengXian" w:hAnsi="Calibri" w:cs="Calibri"/>
          <w:b/>
          <w:bCs/>
          <w:color w:val="000000" w:themeColor="text1"/>
          <w:sz w:val="22"/>
          <w:szCs w:val="22"/>
          <w:lang w:val="en-GB"/>
        </w:rPr>
        <w:t>of SMEs supply chain risk themes</w:t>
      </w:r>
    </w:p>
    <w:p w14:paraId="2A8E6D4F" w14:textId="1D59B73A" w:rsidR="007E55C3" w:rsidRPr="007F23AD" w:rsidRDefault="00CE5A38" w:rsidP="00C34040">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This section</w:t>
      </w:r>
      <w:r w:rsidR="006C15D0" w:rsidRPr="007F23AD">
        <w:rPr>
          <w:rFonts w:ascii="Calibri" w:hAnsi="Calibri" w:cs="Calibri"/>
          <w:color w:val="000000" w:themeColor="text1"/>
          <w:sz w:val="22"/>
          <w:szCs w:val="22"/>
          <w:lang w:val="en-GB"/>
        </w:rPr>
        <w:t xml:space="preserve"> </w:t>
      </w:r>
      <w:r w:rsidR="007E55C3" w:rsidRPr="007F23AD">
        <w:rPr>
          <w:rFonts w:ascii="Calibri" w:hAnsi="Calibri" w:cs="Calibri"/>
          <w:color w:val="000000" w:themeColor="text1"/>
          <w:sz w:val="22"/>
          <w:szCs w:val="22"/>
          <w:lang w:val="en-GB"/>
        </w:rPr>
        <w:t>presents a supply chain risk framework for construction SMEs, outlining the risks these enterprises face. These risks are categori</w:t>
      </w:r>
      <w:r w:rsidR="009C262B" w:rsidRPr="007F23AD">
        <w:rPr>
          <w:rFonts w:ascii="Calibri" w:hAnsi="Calibri" w:cs="Calibri" w:hint="eastAsia"/>
          <w:color w:val="000000" w:themeColor="text1"/>
          <w:sz w:val="22"/>
          <w:szCs w:val="22"/>
          <w:lang w:val="en-GB"/>
        </w:rPr>
        <w:t>s</w:t>
      </w:r>
      <w:r w:rsidR="007E55C3" w:rsidRPr="007F23AD">
        <w:rPr>
          <w:rFonts w:ascii="Calibri" w:hAnsi="Calibri" w:cs="Calibri"/>
          <w:color w:val="000000" w:themeColor="text1"/>
          <w:sz w:val="22"/>
          <w:szCs w:val="22"/>
          <w:lang w:val="en-GB"/>
        </w:rPr>
        <w:t xml:space="preserve">ed into management and strategic </w:t>
      </w:r>
      <w:r w:rsidR="00736398" w:rsidRPr="007F23AD">
        <w:rPr>
          <w:rFonts w:ascii="Calibri" w:hAnsi="Calibri" w:cs="Calibri"/>
          <w:color w:val="000000" w:themeColor="text1"/>
          <w:sz w:val="22"/>
          <w:szCs w:val="22"/>
          <w:lang w:val="en-GB"/>
        </w:rPr>
        <w:t>theme</w:t>
      </w:r>
      <w:r w:rsidR="007E55C3" w:rsidRPr="007F23AD">
        <w:rPr>
          <w:rFonts w:ascii="Calibri" w:hAnsi="Calibri" w:cs="Calibri"/>
          <w:color w:val="000000" w:themeColor="text1"/>
          <w:sz w:val="22"/>
          <w:szCs w:val="22"/>
          <w:lang w:val="en-GB"/>
        </w:rPr>
        <w:t xml:space="preserve">, operational and process </w:t>
      </w:r>
      <w:r w:rsidR="00736398" w:rsidRPr="007F23AD">
        <w:rPr>
          <w:rFonts w:ascii="Calibri" w:hAnsi="Calibri" w:cs="Calibri"/>
          <w:color w:val="000000" w:themeColor="text1"/>
          <w:sz w:val="22"/>
          <w:szCs w:val="22"/>
          <w:lang w:val="en-GB"/>
        </w:rPr>
        <w:t>theme</w:t>
      </w:r>
      <w:r w:rsidR="007E55C3" w:rsidRPr="007F23AD">
        <w:rPr>
          <w:rFonts w:ascii="Calibri" w:hAnsi="Calibri" w:cs="Calibri"/>
          <w:color w:val="000000" w:themeColor="text1"/>
          <w:sz w:val="22"/>
          <w:szCs w:val="22"/>
          <w:lang w:val="en-GB"/>
        </w:rPr>
        <w:t xml:space="preserve">, and sustainability </w:t>
      </w:r>
      <w:r w:rsidR="00736398" w:rsidRPr="007F23AD">
        <w:rPr>
          <w:rFonts w:ascii="Calibri" w:hAnsi="Calibri" w:cs="Calibri"/>
          <w:color w:val="000000" w:themeColor="text1"/>
          <w:sz w:val="22"/>
          <w:szCs w:val="22"/>
          <w:lang w:val="en-GB"/>
        </w:rPr>
        <w:t>theme</w:t>
      </w:r>
      <w:r w:rsidR="007E55C3" w:rsidRPr="007F23AD">
        <w:rPr>
          <w:rFonts w:ascii="Calibri" w:hAnsi="Calibri" w:cs="Calibri"/>
          <w:color w:val="000000" w:themeColor="text1"/>
          <w:sz w:val="22"/>
          <w:szCs w:val="22"/>
          <w:lang w:val="en-GB"/>
        </w:rPr>
        <w:t xml:space="preserve">. Specifically, the management and strategic risk theme includes </w:t>
      </w:r>
      <w:r w:rsidR="007E55C3" w:rsidRPr="007F23AD">
        <w:rPr>
          <w:rFonts w:ascii="Calibri" w:hAnsi="Calibri" w:cs="Calibri" w:hint="eastAsia"/>
          <w:color w:val="000000" w:themeColor="text1"/>
          <w:sz w:val="22"/>
          <w:szCs w:val="22"/>
          <w:lang w:val="en-GB"/>
        </w:rPr>
        <w:t>c</w:t>
      </w:r>
      <w:r w:rsidR="007E55C3" w:rsidRPr="007F23AD">
        <w:rPr>
          <w:rFonts w:ascii="Calibri" w:hAnsi="Calibri" w:cs="Calibri"/>
          <w:color w:val="000000" w:themeColor="text1"/>
          <w:sz w:val="22"/>
          <w:szCs w:val="22"/>
          <w:lang w:val="en-GB"/>
        </w:rPr>
        <w:t xml:space="preserve">ollaboration risk, contractual risk, strategy risk, and stakeholders risk. The literature under these specific risks showcases collected articles and their research topics, providing the reader with a visual perspective on the literature. In addition to the management and strategy risk theme, the </w:t>
      </w:r>
      <w:r w:rsidR="00717D07" w:rsidRPr="007F23AD">
        <w:rPr>
          <w:rFonts w:ascii="Calibri" w:hAnsi="Calibri" w:cs="Calibri"/>
          <w:color w:val="000000" w:themeColor="text1"/>
          <w:sz w:val="22"/>
          <w:szCs w:val="22"/>
          <w:lang w:val="en-GB"/>
        </w:rPr>
        <w:t>o</w:t>
      </w:r>
      <w:r w:rsidR="007E55C3" w:rsidRPr="007F23AD">
        <w:rPr>
          <w:rFonts w:ascii="Calibri" w:hAnsi="Calibri" w:cs="Calibri"/>
          <w:color w:val="000000" w:themeColor="text1"/>
          <w:sz w:val="22"/>
          <w:szCs w:val="22"/>
          <w:lang w:val="en-GB"/>
        </w:rPr>
        <w:t xml:space="preserve">perations and </w:t>
      </w:r>
      <w:r w:rsidR="00717D07" w:rsidRPr="007F23AD">
        <w:rPr>
          <w:rFonts w:ascii="Calibri" w:hAnsi="Calibri" w:cs="Calibri"/>
          <w:color w:val="000000" w:themeColor="text1"/>
          <w:sz w:val="22"/>
          <w:szCs w:val="22"/>
          <w:lang w:val="en-GB"/>
        </w:rPr>
        <w:t>p</w:t>
      </w:r>
      <w:r w:rsidR="007E55C3" w:rsidRPr="007F23AD">
        <w:rPr>
          <w:rFonts w:ascii="Calibri" w:hAnsi="Calibri" w:cs="Calibri"/>
          <w:color w:val="000000" w:themeColor="text1"/>
          <w:sz w:val="22"/>
          <w:szCs w:val="22"/>
          <w:lang w:val="en-GB"/>
        </w:rPr>
        <w:t xml:space="preserve">rocess </w:t>
      </w:r>
      <w:r w:rsidR="00717D07" w:rsidRPr="007F23AD">
        <w:rPr>
          <w:rFonts w:ascii="Calibri" w:hAnsi="Calibri" w:cs="Calibri"/>
          <w:color w:val="000000" w:themeColor="text1"/>
          <w:sz w:val="22"/>
          <w:szCs w:val="22"/>
          <w:lang w:val="en-GB"/>
        </w:rPr>
        <w:t>r</w:t>
      </w:r>
      <w:r w:rsidR="007E55C3" w:rsidRPr="007F23AD">
        <w:rPr>
          <w:rFonts w:ascii="Calibri" w:hAnsi="Calibri" w:cs="Calibri"/>
          <w:color w:val="000000" w:themeColor="text1"/>
          <w:sz w:val="22"/>
          <w:szCs w:val="22"/>
          <w:lang w:val="en-GB"/>
        </w:rPr>
        <w:t xml:space="preserve">isk theme corresponds to safety risk and Implementation </w:t>
      </w:r>
      <w:r w:rsidR="00717D07" w:rsidRPr="007F23AD">
        <w:rPr>
          <w:rFonts w:ascii="Calibri" w:hAnsi="Calibri" w:cs="Calibri"/>
          <w:color w:val="000000" w:themeColor="text1"/>
          <w:sz w:val="22"/>
          <w:szCs w:val="22"/>
          <w:lang w:val="en-GB"/>
        </w:rPr>
        <w:t>r</w:t>
      </w:r>
      <w:r w:rsidR="007E55C3" w:rsidRPr="007F23AD">
        <w:rPr>
          <w:rFonts w:ascii="Calibri" w:hAnsi="Calibri" w:cs="Calibri"/>
          <w:color w:val="000000" w:themeColor="text1"/>
          <w:sz w:val="22"/>
          <w:szCs w:val="22"/>
          <w:lang w:val="en-GB"/>
        </w:rPr>
        <w:t xml:space="preserve">isk, while the </w:t>
      </w:r>
      <w:r w:rsidR="00717D07" w:rsidRPr="007F23AD">
        <w:rPr>
          <w:rFonts w:ascii="Calibri" w:hAnsi="Calibri" w:cs="Calibri"/>
          <w:color w:val="000000" w:themeColor="text1"/>
          <w:sz w:val="22"/>
          <w:szCs w:val="22"/>
          <w:lang w:val="en-GB"/>
        </w:rPr>
        <w:t>s</w:t>
      </w:r>
      <w:r w:rsidR="007E55C3" w:rsidRPr="007F23AD">
        <w:rPr>
          <w:rFonts w:ascii="Calibri" w:hAnsi="Calibri" w:cs="Calibri"/>
          <w:color w:val="000000" w:themeColor="text1"/>
          <w:sz w:val="22"/>
          <w:szCs w:val="22"/>
          <w:lang w:val="en-GB"/>
        </w:rPr>
        <w:t xml:space="preserve">ustainability </w:t>
      </w:r>
      <w:r w:rsidR="00717D07" w:rsidRPr="007F23AD">
        <w:rPr>
          <w:rFonts w:ascii="Calibri" w:hAnsi="Calibri" w:cs="Calibri"/>
          <w:color w:val="000000" w:themeColor="text1"/>
          <w:sz w:val="22"/>
          <w:szCs w:val="22"/>
          <w:lang w:val="en-GB"/>
        </w:rPr>
        <w:t>r</w:t>
      </w:r>
      <w:r w:rsidR="007E55C3" w:rsidRPr="007F23AD">
        <w:rPr>
          <w:rFonts w:ascii="Calibri" w:hAnsi="Calibri" w:cs="Calibri"/>
          <w:color w:val="000000" w:themeColor="text1"/>
          <w:sz w:val="22"/>
          <w:szCs w:val="22"/>
          <w:lang w:val="en-GB"/>
        </w:rPr>
        <w:t xml:space="preserve">isk theme corresponds to </w:t>
      </w:r>
      <w:r w:rsidR="00717D07" w:rsidRPr="007F23AD">
        <w:rPr>
          <w:rFonts w:ascii="Calibri" w:hAnsi="Calibri" w:cs="Calibri"/>
          <w:color w:val="000000" w:themeColor="text1"/>
          <w:sz w:val="22"/>
          <w:szCs w:val="22"/>
          <w:lang w:val="en-GB"/>
        </w:rPr>
        <w:t>t</w:t>
      </w:r>
      <w:r w:rsidR="007E55C3" w:rsidRPr="007F23AD">
        <w:rPr>
          <w:rFonts w:ascii="Calibri" w:hAnsi="Calibri" w:cs="Calibri"/>
          <w:color w:val="000000" w:themeColor="text1"/>
          <w:sz w:val="22"/>
          <w:szCs w:val="22"/>
          <w:lang w:val="en-GB"/>
        </w:rPr>
        <w:t xml:space="preserve">echnology and </w:t>
      </w:r>
      <w:r w:rsidR="00717D07" w:rsidRPr="007F23AD">
        <w:rPr>
          <w:rFonts w:ascii="Calibri" w:hAnsi="Calibri" w:cs="Calibri"/>
          <w:color w:val="000000" w:themeColor="text1"/>
          <w:sz w:val="22"/>
          <w:szCs w:val="22"/>
          <w:lang w:val="en-GB"/>
        </w:rPr>
        <w:t>e</w:t>
      </w:r>
      <w:r w:rsidR="007E55C3" w:rsidRPr="007F23AD">
        <w:rPr>
          <w:rFonts w:ascii="Calibri" w:hAnsi="Calibri" w:cs="Calibri"/>
          <w:color w:val="000000" w:themeColor="text1"/>
          <w:sz w:val="22"/>
          <w:szCs w:val="22"/>
          <w:lang w:val="en-GB"/>
        </w:rPr>
        <w:t xml:space="preserve">nvironmental </w:t>
      </w:r>
      <w:r w:rsidR="00717D07" w:rsidRPr="007F23AD">
        <w:rPr>
          <w:rFonts w:ascii="Calibri" w:hAnsi="Calibri" w:cs="Calibri"/>
          <w:color w:val="000000" w:themeColor="text1"/>
          <w:sz w:val="22"/>
          <w:szCs w:val="22"/>
          <w:lang w:val="en-GB"/>
        </w:rPr>
        <w:t>r</w:t>
      </w:r>
      <w:r w:rsidR="007E55C3" w:rsidRPr="007F23AD">
        <w:rPr>
          <w:rFonts w:ascii="Calibri" w:hAnsi="Calibri" w:cs="Calibri"/>
          <w:color w:val="000000" w:themeColor="text1"/>
          <w:sz w:val="22"/>
          <w:szCs w:val="22"/>
          <w:lang w:val="en-GB"/>
        </w:rPr>
        <w:t xml:space="preserve">isk. </w:t>
      </w:r>
      <w:r w:rsidR="00C34040" w:rsidRPr="007F23AD">
        <w:rPr>
          <w:rFonts w:ascii="Calibri" w:hAnsi="Calibri" w:cs="Calibri"/>
          <w:color w:val="000000" w:themeColor="text1"/>
          <w:sz w:val="22"/>
          <w:szCs w:val="22"/>
          <w:lang w:val="en-GB"/>
        </w:rPr>
        <w:t xml:space="preserve">Among the identified risks, the literature </w:t>
      </w:r>
      <w:r w:rsidR="00C34040" w:rsidRPr="007F23AD">
        <w:rPr>
          <w:rFonts w:ascii="Calibri" w:hAnsi="Calibri" w:cs="Calibri"/>
          <w:color w:val="000000" w:themeColor="text1"/>
          <w:sz w:val="22"/>
          <w:szCs w:val="22"/>
          <w:lang w:val="en-GB"/>
        </w:rPr>
        <w:lastRenderedPageBreak/>
        <w:t>lacks discussion on areas such as the interaction between risks and risk prioriti</w:t>
      </w:r>
      <w:r w:rsidR="00C971B0" w:rsidRPr="007F23AD">
        <w:rPr>
          <w:rFonts w:ascii="Calibri" w:hAnsi="Calibri" w:cs="Calibri"/>
          <w:color w:val="000000" w:themeColor="text1"/>
          <w:sz w:val="22"/>
          <w:szCs w:val="22"/>
          <w:lang w:val="en-GB"/>
        </w:rPr>
        <w:t>s</w:t>
      </w:r>
      <w:r w:rsidR="00C34040" w:rsidRPr="007F23AD">
        <w:rPr>
          <w:rFonts w:ascii="Calibri" w:hAnsi="Calibri" w:cs="Calibri"/>
          <w:color w:val="000000" w:themeColor="text1"/>
          <w:sz w:val="22"/>
          <w:szCs w:val="22"/>
          <w:lang w:val="en-GB"/>
        </w:rPr>
        <w:t>ation, which are crucial steps for construction SMEs to manage risks effectively.</w:t>
      </w:r>
      <w:r w:rsidR="007E55C3" w:rsidRPr="007F23AD">
        <w:rPr>
          <w:rFonts w:ascii="Calibri" w:hAnsi="Calibri" w:cs="Calibri"/>
          <w:color w:val="000000" w:themeColor="text1"/>
          <w:sz w:val="22"/>
          <w:szCs w:val="22"/>
          <w:lang w:val="en-GB"/>
        </w:rPr>
        <w:t xml:space="preserve"> Additionally, the academic literature currently lacks coverage of certain supply chain risks for construction SMEs, notably in areas like procurement and </w:t>
      </w:r>
      <w:r w:rsidR="00183BBD" w:rsidRPr="007F23AD">
        <w:rPr>
          <w:rFonts w:ascii="Calibri" w:hAnsi="Calibri" w:cs="Calibri"/>
          <w:color w:val="000000" w:themeColor="text1"/>
          <w:sz w:val="22"/>
          <w:szCs w:val="22"/>
          <w:lang w:val="en-GB"/>
        </w:rPr>
        <w:t>financial</w:t>
      </w:r>
      <w:r w:rsidR="007E55C3" w:rsidRPr="007F23AD">
        <w:rPr>
          <w:rFonts w:ascii="Calibri" w:hAnsi="Calibri" w:cs="Calibri"/>
          <w:color w:val="000000" w:themeColor="text1"/>
          <w:sz w:val="22"/>
          <w:szCs w:val="22"/>
          <w:lang w:val="en-GB"/>
        </w:rPr>
        <w:t xml:space="preserve"> risks. These gaps prompt this paper to summari</w:t>
      </w:r>
      <w:r w:rsidR="00ED400A" w:rsidRPr="007F23AD">
        <w:rPr>
          <w:rFonts w:ascii="Calibri" w:hAnsi="Calibri" w:cs="Calibri"/>
          <w:color w:val="000000" w:themeColor="text1"/>
          <w:sz w:val="22"/>
          <w:szCs w:val="22"/>
          <w:lang w:val="en-GB"/>
        </w:rPr>
        <w:t>s</w:t>
      </w:r>
      <w:r w:rsidR="007E55C3" w:rsidRPr="007F23AD">
        <w:rPr>
          <w:rFonts w:ascii="Calibri" w:hAnsi="Calibri" w:cs="Calibri"/>
          <w:color w:val="000000" w:themeColor="text1"/>
          <w:sz w:val="22"/>
          <w:szCs w:val="22"/>
          <w:lang w:val="en-GB"/>
        </w:rPr>
        <w:t xml:space="preserve">e the research </w:t>
      </w:r>
      <w:r w:rsidR="00717D07" w:rsidRPr="007F23AD">
        <w:rPr>
          <w:rFonts w:ascii="Calibri" w:hAnsi="Calibri" w:cs="Calibri"/>
          <w:color w:val="000000" w:themeColor="text1"/>
          <w:sz w:val="22"/>
          <w:szCs w:val="22"/>
          <w:lang w:val="en-GB"/>
        </w:rPr>
        <w:t>gaps</w:t>
      </w:r>
      <w:r w:rsidR="007E55C3" w:rsidRPr="007F23AD">
        <w:rPr>
          <w:rFonts w:ascii="Calibri" w:hAnsi="Calibri" w:cs="Calibri"/>
          <w:color w:val="000000" w:themeColor="text1"/>
          <w:sz w:val="22"/>
          <w:szCs w:val="22"/>
          <w:lang w:val="en-GB"/>
        </w:rPr>
        <w:t xml:space="preserve">, pose potential research questions for subsequent sections, and discuss the practical implications of these </w:t>
      </w:r>
      <w:r w:rsidR="00717D07" w:rsidRPr="007F23AD">
        <w:rPr>
          <w:rFonts w:ascii="Calibri" w:hAnsi="Calibri" w:cs="Calibri"/>
          <w:color w:val="000000" w:themeColor="text1"/>
          <w:sz w:val="22"/>
          <w:szCs w:val="22"/>
          <w:lang w:val="en-GB"/>
        </w:rPr>
        <w:t>gaps</w:t>
      </w:r>
      <w:r w:rsidR="007E55C3" w:rsidRPr="007F23AD">
        <w:rPr>
          <w:rFonts w:ascii="Calibri" w:hAnsi="Calibri" w:cs="Calibri"/>
          <w:color w:val="000000" w:themeColor="text1"/>
          <w:sz w:val="22"/>
          <w:szCs w:val="22"/>
          <w:lang w:val="en-GB"/>
        </w:rPr>
        <w:t>.</w:t>
      </w:r>
    </w:p>
    <w:p w14:paraId="03964652" w14:textId="77777777" w:rsidR="00386941" w:rsidRPr="007F23AD" w:rsidRDefault="00386941" w:rsidP="00111C19">
      <w:pPr>
        <w:spacing w:line="480" w:lineRule="auto"/>
        <w:jc w:val="both"/>
        <w:rPr>
          <w:rFonts w:ascii="Calibri" w:eastAsia="DengXian" w:hAnsi="Calibri" w:cs="Calibri"/>
          <w:color w:val="000000" w:themeColor="text1"/>
          <w:sz w:val="22"/>
          <w:szCs w:val="22"/>
        </w:rPr>
      </w:pPr>
    </w:p>
    <w:p w14:paraId="7E91EFF9" w14:textId="36C0F642" w:rsidR="003579BF" w:rsidRPr="007F23AD" w:rsidRDefault="008E4D57" w:rsidP="007D7FD8">
      <w:pPr>
        <w:pStyle w:val="a3"/>
        <w:numPr>
          <w:ilvl w:val="0"/>
          <w:numId w:val="2"/>
        </w:num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t>Research</w:t>
      </w:r>
      <w:r w:rsidR="00DB70EF" w:rsidRPr="007F23AD">
        <w:rPr>
          <w:rFonts w:ascii="Calibri" w:hAnsi="Calibri" w:cs="Calibri"/>
          <w:b/>
          <w:bCs/>
          <w:color w:val="000000" w:themeColor="text1"/>
          <w:sz w:val="22"/>
          <w:szCs w:val="22"/>
          <w:lang w:val="en-GB"/>
        </w:rPr>
        <w:t xml:space="preserve"> agenda</w:t>
      </w:r>
      <w:r w:rsidR="00D154D8" w:rsidRPr="007F23AD">
        <w:rPr>
          <w:rFonts w:ascii="Calibri" w:hAnsi="Calibri" w:cs="Calibri"/>
          <w:b/>
          <w:bCs/>
          <w:color w:val="000000" w:themeColor="text1"/>
          <w:sz w:val="22"/>
          <w:szCs w:val="22"/>
          <w:lang w:val="en-GB"/>
        </w:rPr>
        <w:t xml:space="preserve"> </w:t>
      </w:r>
      <w:r w:rsidR="003579BF" w:rsidRPr="007F23AD">
        <w:rPr>
          <w:rFonts w:ascii="Calibri" w:hAnsi="Calibri" w:cs="Calibri"/>
          <w:b/>
          <w:bCs/>
          <w:color w:val="000000" w:themeColor="text1"/>
          <w:sz w:val="22"/>
          <w:szCs w:val="22"/>
          <w:lang w:val="en-GB"/>
        </w:rPr>
        <w:t>for future research</w:t>
      </w:r>
    </w:p>
    <w:p w14:paraId="7E99826C" w14:textId="215C18E0" w:rsidR="000E76C8" w:rsidRPr="007F23AD" w:rsidRDefault="00656B19" w:rsidP="00F87BD1">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Based on the structured literature review, this paper has identified six research gaps in supply chain risk management for SMEs in the construction industry, as outlined in </w:t>
      </w:r>
      <w:r w:rsidR="000E2BF9" w:rsidRPr="007F23AD">
        <w:rPr>
          <w:rFonts w:ascii="Calibri" w:hAnsi="Calibri" w:cs="Calibri"/>
          <w:color w:val="000000" w:themeColor="text1"/>
          <w:sz w:val="22"/>
          <w:szCs w:val="22"/>
          <w:lang w:val="en-GB"/>
        </w:rPr>
        <w:t>Table VI</w:t>
      </w:r>
      <w:r w:rsidRPr="007F23AD">
        <w:rPr>
          <w:rFonts w:ascii="Calibri" w:hAnsi="Calibri" w:cs="Calibri"/>
          <w:color w:val="000000" w:themeColor="text1"/>
          <w:sz w:val="22"/>
          <w:szCs w:val="22"/>
          <w:lang w:val="en-GB"/>
        </w:rPr>
        <w:t xml:space="preserve">. </w:t>
      </w:r>
      <w:r w:rsidR="00EA220B" w:rsidRPr="007F23AD">
        <w:rPr>
          <w:rFonts w:ascii="Calibri" w:hAnsi="Calibri" w:cs="Calibri"/>
          <w:color w:val="000000" w:themeColor="text1"/>
          <w:sz w:val="22"/>
          <w:szCs w:val="22"/>
          <w:lang w:val="en-GB"/>
        </w:rPr>
        <w:t xml:space="preserve"> </w:t>
      </w:r>
      <w:r w:rsidR="00F31BCD" w:rsidRPr="007F23AD">
        <w:rPr>
          <w:rFonts w:ascii="Calibri" w:hAnsi="Calibri" w:cs="Calibri"/>
          <w:color w:val="000000" w:themeColor="text1"/>
          <w:sz w:val="22"/>
          <w:szCs w:val="22"/>
          <w:lang w:val="en-GB"/>
        </w:rPr>
        <w:t>First,</w:t>
      </w:r>
      <w:r w:rsidR="00520712" w:rsidRPr="007F23AD">
        <w:rPr>
          <w:color w:val="000000" w:themeColor="text1"/>
        </w:rPr>
        <w:t xml:space="preserve"> </w:t>
      </w:r>
      <w:r w:rsidR="00520712" w:rsidRPr="007F23AD">
        <w:rPr>
          <w:rFonts w:ascii="Calibri" w:hAnsi="Calibri" w:cs="Calibri"/>
          <w:color w:val="000000" w:themeColor="text1"/>
          <w:sz w:val="22"/>
          <w:szCs w:val="22"/>
        </w:rPr>
        <w:t>in conducting the thematic analyses, we found that the interactions of risks are rarely discussed in the construction SME sector. Therefore, there is a need to</w:t>
      </w:r>
      <w:r w:rsidR="00F31BCD" w:rsidRPr="007F23AD">
        <w:rPr>
          <w:rFonts w:ascii="Calibri" w:hAnsi="Calibri" w:cs="Calibri"/>
          <w:color w:val="000000" w:themeColor="text1"/>
          <w:sz w:val="22"/>
          <w:szCs w:val="22"/>
          <w:lang w:val="en-GB"/>
        </w:rPr>
        <w:t xml:space="preserve"> explore the interactions of various risks within these supply chains, as different risks may interact and exacerbate each other.</w:t>
      </w:r>
      <w:r w:rsidR="00641B02" w:rsidRPr="007F23AD">
        <w:rPr>
          <w:rFonts w:ascii="Calibri" w:hAnsi="Calibri" w:cs="Calibri"/>
          <w:color w:val="000000" w:themeColor="text1"/>
          <w:sz w:val="22"/>
          <w:szCs w:val="22"/>
          <w:lang w:val="en-GB"/>
        </w:rPr>
        <w:t xml:space="preserve"> </w:t>
      </w:r>
      <w:r w:rsidR="00737085" w:rsidRPr="007F23AD">
        <w:rPr>
          <w:rFonts w:ascii="Calibri" w:hAnsi="Calibri" w:cs="Calibri"/>
          <w:color w:val="000000" w:themeColor="text1"/>
          <w:sz w:val="22"/>
          <w:szCs w:val="22"/>
          <w:lang w:val="en-GB"/>
        </w:rPr>
        <w:t>A case in point is the delays in the construction of Crossrail (Elizabeth Line), which faced extended schedules and cost overruns due to a failure to timely address the scale of systems integration work required to bring the railway into operation.</w:t>
      </w:r>
      <w:r w:rsidR="00CE0DF7"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fldChar w:fldCharType="begin"/>
      </w:r>
      <w:r w:rsidRPr="007F23AD">
        <w:rPr>
          <w:rFonts w:ascii="Calibri" w:hAnsi="Calibri" w:cs="Calibri"/>
          <w:color w:val="000000" w:themeColor="text1"/>
          <w:sz w:val="22"/>
          <w:szCs w:val="22"/>
          <w:lang w:val="en-GB"/>
        </w:rPr>
        <w:instrText xml:space="preserve"> ADDIN EN.CITE &lt;EndNote&gt;&lt;Cite&gt;&lt;Author&gt;Assembly&lt;/Author&gt;&lt;Year&gt;2019&lt;/Year&gt;&lt;RecNum&gt;1732&lt;/RecNum&gt;&lt;Prefix&gt;London &lt;/Prefix&gt;&lt;DisplayText&gt;(London Assembly 2019)&lt;/DisplayText&gt;&lt;record&gt;&lt;rec-number&gt;1732&lt;/rec-number&gt;&lt;foreign-keys&gt;&lt;key app="EN" db-id="vxw0ffesn9zzt0ewpdx5r5a3fpw92aep9re9" timestamp="1722366570" guid="c406e05d-08c7-4929-88ef-1f347fc3f2d9"&gt;1732&lt;/key&gt;&lt;/foreign-keys&gt;&lt;ref-type name="Journal Article"&gt;17&lt;/ref-type&gt;&lt;contributors&gt;&lt;authors&gt;&lt;author&gt;Assembly, London&lt;/author&gt;&lt;/authors&gt;&lt;/contributors&gt;&lt;titles&gt;&lt;title&gt;Derailed: Getting crossrail back on track&lt;/title&gt;&lt;secondary-title&gt;London: London Assembly Transport Committee&lt;/secondary-title&gt;&lt;/titles&gt;&lt;periodical&gt;&lt;full-title&gt;London: London Assembly Transport Committee&lt;/full-title&gt;&lt;/periodical&gt;&lt;dates&gt;&lt;year&gt;2019&lt;/year&gt;&lt;/dates&gt;&lt;urls&gt;&lt;/urls&gt;&lt;/record&gt;&lt;/Cite&gt;&lt;/EndNote&gt;</w:instrText>
      </w:r>
      <w:r w:rsidRPr="007F23AD">
        <w:rPr>
          <w:rFonts w:ascii="Calibri" w:hAnsi="Calibri" w:cs="Calibri"/>
          <w:color w:val="000000" w:themeColor="text1"/>
          <w:sz w:val="22"/>
          <w:szCs w:val="22"/>
          <w:lang w:val="en-GB"/>
        </w:rPr>
        <w:fldChar w:fldCharType="separate"/>
      </w:r>
      <w:r w:rsidR="00C474AC" w:rsidRPr="007F23AD">
        <w:rPr>
          <w:rFonts w:ascii="Calibri" w:hAnsi="Calibri" w:cs="Calibri"/>
          <w:noProof/>
          <w:color w:val="000000" w:themeColor="text1"/>
          <w:sz w:val="22"/>
          <w:szCs w:val="22"/>
          <w:lang w:val="en-GB"/>
        </w:rPr>
        <w:t>(London Assembly 2019)</w:t>
      </w:r>
      <w:r w:rsidRPr="007F23AD">
        <w:rPr>
          <w:rFonts w:ascii="Calibri" w:hAnsi="Calibri" w:cs="Calibri"/>
          <w:color w:val="000000" w:themeColor="text1"/>
          <w:sz w:val="22"/>
          <w:szCs w:val="22"/>
          <w:lang w:val="en-GB"/>
        </w:rPr>
        <w:fldChar w:fldCharType="end"/>
      </w:r>
      <w:r w:rsidR="003103CB" w:rsidRPr="007F23AD">
        <w:rPr>
          <w:rFonts w:ascii="Calibri" w:hAnsi="Calibri" w:cs="Calibri"/>
          <w:color w:val="000000" w:themeColor="text1"/>
          <w:sz w:val="22"/>
          <w:szCs w:val="22"/>
          <w:lang w:val="en-GB"/>
        </w:rPr>
        <w:t xml:space="preserve">. </w:t>
      </w:r>
      <w:r w:rsidR="00475526" w:rsidRPr="007F23AD">
        <w:rPr>
          <w:rFonts w:ascii="Calibri" w:hAnsi="Calibri" w:cs="Calibri"/>
          <w:color w:val="000000" w:themeColor="text1"/>
          <w:sz w:val="22"/>
          <w:szCs w:val="22"/>
          <w:lang w:val="en-GB"/>
        </w:rPr>
        <w:t>One possible approach to understanding risk interactions is to categori</w:t>
      </w:r>
      <w:r w:rsidR="00940D20" w:rsidRPr="007F23AD">
        <w:rPr>
          <w:rFonts w:ascii="Calibri" w:hAnsi="Calibri" w:cs="Calibri"/>
          <w:color w:val="000000" w:themeColor="text1"/>
          <w:sz w:val="22"/>
          <w:szCs w:val="22"/>
          <w:lang w:val="en-GB"/>
        </w:rPr>
        <w:t>s</w:t>
      </w:r>
      <w:r w:rsidR="00475526" w:rsidRPr="007F23AD">
        <w:rPr>
          <w:rFonts w:ascii="Calibri" w:hAnsi="Calibri" w:cs="Calibri"/>
          <w:color w:val="000000" w:themeColor="text1"/>
          <w:sz w:val="22"/>
          <w:szCs w:val="22"/>
          <w:lang w:val="en-GB"/>
        </w:rPr>
        <w:t>e the relationships of risks (multiple factors acting together or individual risks reacting to each other</w:t>
      </w:r>
      <w:r w:rsidR="00E84964" w:rsidRPr="007F23AD">
        <w:rPr>
          <w:rFonts w:ascii="Calibri" w:hAnsi="Calibri" w:cs="Calibri"/>
          <w:color w:val="000000" w:themeColor="text1"/>
          <w:sz w:val="22"/>
          <w:szCs w:val="22"/>
          <w:lang w:val="en-GB"/>
        </w:rPr>
        <w:t>)</w:t>
      </w:r>
      <w:r w:rsidR="00475526" w:rsidRPr="007F23AD">
        <w:rPr>
          <w:rFonts w:ascii="Calibri" w:hAnsi="Calibri" w:cs="Calibri"/>
          <w:color w:val="000000" w:themeColor="text1"/>
          <w:sz w:val="22"/>
          <w:szCs w:val="22"/>
          <w:lang w:val="en-GB"/>
        </w:rPr>
        <w:t>. Additionally, system dynamics methodology can be used to simulate risk reactions</w:t>
      </w:r>
      <w:r w:rsidR="00571047"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fldChar w:fldCharType="begin"/>
      </w:r>
      <w:r w:rsidRPr="007F23AD">
        <w:rPr>
          <w:rFonts w:ascii="Calibri" w:hAnsi="Calibri" w:cs="Calibri"/>
          <w:color w:val="000000" w:themeColor="text1"/>
          <w:sz w:val="22"/>
          <w:szCs w:val="22"/>
          <w:lang w:val="en-GB"/>
        </w:rPr>
        <w:instrText xml:space="preserve"> ADDIN EN.CITE &lt;EndNote&gt;&lt;Cite&gt;&lt;Author&gt;Ghadge&lt;/Author&gt;&lt;Year&gt;2022&lt;/Year&gt;&lt;RecNum&gt;765&lt;/RecNum&gt;&lt;DisplayText&gt;(Ghadge et al. 2022)&lt;/DisplayText&gt;&lt;record&gt;&lt;rec-number&gt;765&lt;/rec-number&gt;&lt;foreign-keys&gt;&lt;key app="EN" db-id="vxw0ffesn9zzt0ewpdx5r5a3fpw92aep9re9" timestamp="1683798508" guid="08d17589-a499-4643-9e69-5ee1de019328"&gt;765&lt;/key&gt;&lt;/foreign-keys&gt;&lt;ref-type name="Journal Article"&gt;17&lt;/ref-type&gt;&lt;contributors&gt;&lt;authors&gt;&lt;author&gt;Ghadge, Abhijeet&lt;/author&gt;&lt;author&gt;Er, Merve&lt;/author&gt;&lt;author&gt;Ivanov, Dmitry&lt;/author&gt;&lt;author&gt;Chaudhuri, Atanu&lt;/author&gt;&lt;/authors&gt;&lt;/contributors&gt;&lt;titles&gt;&lt;title&gt;Visualisation of ripple effect in supply chains under long-term, simultaneous disruptions: a system dynamics approach&lt;/title&gt;&lt;secondary-title&gt;International Journal of Production Research&lt;/secondary-title&gt;&lt;/titles&gt;&lt;periodical&gt;&lt;full-title&gt;International Journal of Production Research&lt;/full-title&gt;&lt;/periodical&gt;&lt;pages&gt;6173-6186&lt;/pages&gt;&lt;volume&gt;60&lt;/volume&gt;&lt;number&gt;20&lt;/number&gt;&lt;dates&gt;&lt;year&gt;2022&lt;/year&gt;&lt;/dates&gt;&lt;urls&gt;&lt;related-urls&gt;&lt;url&gt;https://www.tandfonline.com/doi/full/10.1080/00207543.2021.1987547&lt;/url&gt;&lt;/related-urls&gt;&lt;/urls&gt;&lt;language&gt;en&lt;/language&gt;&lt;/record&gt;&lt;/Cite&gt;&lt;/EndNote&gt;</w:instrText>
      </w:r>
      <w:r w:rsidRPr="007F23AD">
        <w:rPr>
          <w:rFonts w:ascii="Calibri" w:hAnsi="Calibri" w:cs="Calibri"/>
          <w:color w:val="000000" w:themeColor="text1"/>
          <w:sz w:val="22"/>
          <w:szCs w:val="22"/>
          <w:lang w:val="en-GB"/>
        </w:rPr>
        <w:fldChar w:fldCharType="separate"/>
      </w:r>
      <w:r w:rsidR="00571047" w:rsidRPr="007F23AD">
        <w:rPr>
          <w:rFonts w:ascii="Calibri" w:hAnsi="Calibri" w:cs="Calibri"/>
          <w:noProof/>
          <w:color w:val="000000" w:themeColor="text1"/>
          <w:sz w:val="22"/>
          <w:szCs w:val="22"/>
          <w:lang w:val="en-GB"/>
        </w:rPr>
        <w:t>(Ghadge et al. 2022)</w:t>
      </w:r>
      <w:r w:rsidRPr="007F23AD">
        <w:rPr>
          <w:rFonts w:ascii="Calibri" w:hAnsi="Calibri" w:cs="Calibri"/>
          <w:color w:val="000000" w:themeColor="text1"/>
          <w:sz w:val="22"/>
          <w:szCs w:val="22"/>
          <w:lang w:val="en-GB"/>
        </w:rPr>
        <w:fldChar w:fldCharType="end"/>
      </w:r>
      <w:r w:rsidR="00475526" w:rsidRPr="007F23AD">
        <w:rPr>
          <w:rFonts w:ascii="Calibri" w:hAnsi="Calibri" w:cs="Calibri"/>
          <w:color w:val="000000" w:themeColor="text1"/>
          <w:sz w:val="22"/>
          <w:szCs w:val="22"/>
          <w:lang w:val="en-GB"/>
        </w:rPr>
        <w:t>.</w:t>
      </w:r>
      <w:r w:rsidR="00F37734" w:rsidRPr="007F23AD">
        <w:rPr>
          <w:rFonts w:ascii="Calibri" w:hAnsi="Calibri" w:cs="Calibri"/>
          <w:color w:val="000000" w:themeColor="text1"/>
          <w:sz w:val="22"/>
          <w:szCs w:val="22"/>
          <w:lang w:val="en-GB"/>
        </w:rPr>
        <w:t xml:space="preserve"> </w:t>
      </w:r>
      <w:r w:rsidR="00F31BCD" w:rsidRPr="007F23AD">
        <w:rPr>
          <w:rFonts w:ascii="Calibri" w:hAnsi="Calibri" w:cs="Calibri"/>
          <w:color w:val="000000" w:themeColor="text1"/>
          <w:sz w:val="22"/>
          <w:szCs w:val="22"/>
          <w:lang w:val="en-GB"/>
        </w:rPr>
        <w:t>Understanding the interdependencies and mutual influences of these risks is crucial</w:t>
      </w:r>
      <w:r w:rsidR="00D0060A" w:rsidRPr="007F23AD">
        <w:rPr>
          <w:rFonts w:ascii="Calibri" w:hAnsi="Calibri" w:cs="Calibri"/>
          <w:color w:val="000000" w:themeColor="text1"/>
          <w:sz w:val="22"/>
          <w:szCs w:val="22"/>
          <w:lang w:val="en-GB"/>
        </w:rPr>
        <w:t xml:space="preserve"> step for construction SMEs</w:t>
      </w:r>
      <w:r w:rsidR="00F31BCD" w:rsidRPr="007F23AD">
        <w:rPr>
          <w:rFonts w:ascii="Calibri" w:hAnsi="Calibri" w:cs="Calibri"/>
          <w:color w:val="000000" w:themeColor="text1"/>
          <w:sz w:val="22"/>
          <w:szCs w:val="22"/>
          <w:lang w:val="en-GB"/>
        </w:rPr>
        <w:t>.</w:t>
      </w:r>
    </w:p>
    <w:p w14:paraId="7FE88566" w14:textId="77777777" w:rsidR="000E76C8" w:rsidRPr="007F23AD" w:rsidRDefault="000E76C8" w:rsidP="00F87BD1">
      <w:pPr>
        <w:spacing w:line="480" w:lineRule="auto"/>
        <w:jc w:val="both"/>
        <w:rPr>
          <w:rFonts w:ascii="Calibri" w:hAnsi="Calibri" w:cs="Calibri"/>
          <w:color w:val="000000" w:themeColor="text1"/>
          <w:sz w:val="22"/>
          <w:szCs w:val="22"/>
          <w:lang w:val="en-GB"/>
        </w:rPr>
      </w:pPr>
    </w:p>
    <w:p w14:paraId="41B8C0C6" w14:textId="190F1DBE" w:rsidR="000E76C8" w:rsidRPr="007F23AD" w:rsidRDefault="00F31BCD" w:rsidP="00F87BD1">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 </w:t>
      </w:r>
      <w:r w:rsidR="00931ACC" w:rsidRPr="007F23AD">
        <w:rPr>
          <w:rFonts w:ascii="Calibri" w:hAnsi="Calibri" w:cs="Calibri"/>
          <w:color w:val="000000" w:themeColor="text1"/>
          <w:sz w:val="22"/>
          <w:szCs w:val="22"/>
          <w:lang w:val="en-GB"/>
        </w:rPr>
        <w:t>Second,</w:t>
      </w:r>
      <w:r w:rsidR="00904D44" w:rsidRPr="007F23AD">
        <w:rPr>
          <w:rFonts w:ascii="Calibri" w:hAnsi="Calibri" w:cs="Calibri"/>
          <w:color w:val="000000" w:themeColor="text1"/>
          <w:sz w:val="22"/>
          <w:szCs w:val="22"/>
          <w:lang w:val="en-GB"/>
        </w:rPr>
        <w:t xml:space="preserve"> this paper finds that </w:t>
      </w:r>
      <w:r w:rsidR="00DB0F37" w:rsidRPr="007F23AD">
        <w:rPr>
          <w:rFonts w:ascii="Calibri" w:hAnsi="Calibri" w:cs="Calibri"/>
          <w:color w:val="000000" w:themeColor="text1"/>
          <w:sz w:val="22"/>
          <w:szCs w:val="22"/>
          <w:lang w:val="en-GB"/>
        </w:rPr>
        <w:t xml:space="preserve">construction </w:t>
      </w:r>
      <w:r w:rsidR="00904D44" w:rsidRPr="007F23AD">
        <w:rPr>
          <w:rFonts w:ascii="Calibri" w:hAnsi="Calibri" w:cs="Calibri"/>
          <w:color w:val="000000" w:themeColor="text1"/>
          <w:sz w:val="22"/>
          <w:szCs w:val="22"/>
          <w:lang w:val="en-GB"/>
        </w:rPr>
        <w:t>SME have significant gaps in the categorisation and prioritisation of risks that are specific to SMEs</w:t>
      </w:r>
      <w:r w:rsidR="00904D44" w:rsidRPr="007F23AD">
        <w:rPr>
          <w:rFonts w:ascii="Calibri" w:hAnsi="Calibri" w:cs="Calibri"/>
          <w:color w:val="000000" w:themeColor="text1"/>
          <w:sz w:val="22"/>
          <w:szCs w:val="22"/>
        </w:rPr>
        <w:t>.</w:t>
      </w:r>
      <w:r w:rsidR="00931ACC" w:rsidRPr="007F23AD">
        <w:rPr>
          <w:rFonts w:ascii="Calibri" w:hAnsi="Calibri" w:cs="Calibri"/>
          <w:color w:val="000000" w:themeColor="text1"/>
          <w:sz w:val="22"/>
          <w:szCs w:val="22"/>
          <w:lang w:val="en-GB"/>
        </w:rPr>
        <w:t>This stems from the unique characteristics of construction SMEs, whose limited information and traditional strategies have led to their inability to classify and prioritise risks in terms of importance</w:t>
      </w:r>
      <w:r w:rsidR="00657700" w:rsidRPr="007F23AD">
        <w:rPr>
          <w:rFonts w:ascii="Calibri" w:hAnsi="Calibri" w:cs="Calibri"/>
          <w:color w:val="000000" w:themeColor="text1"/>
          <w:sz w:val="22"/>
          <w:szCs w:val="22"/>
          <w:lang w:val="en-GB"/>
        </w:rPr>
        <w:t xml:space="preserve"> </w:t>
      </w:r>
      <w:r w:rsidR="00657700" w:rsidRPr="007F23AD">
        <w:rPr>
          <w:rFonts w:ascii="Calibri" w:hAnsi="Calibri" w:cs="Calibri"/>
          <w:color w:val="000000" w:themeColor="text1"/>
          <w:sz w:val="22"/>
          <w:szCs w:val="22"/>
          <w:lang w:val="en-GB"/>
        </w:rPr>
        <w:fldChar w:fldCharType="begin"/>
      </w:r>
      <w:r w:rsidR="00657700" w:rsidRPr="007F23AD">
        <w:rPr>
          <w:rFonts w:ascii="Calibri" w:hAnsi="Calibri" w:cs="Calibri"/>
          <w:color w:val="000000" w:themeColor="text1"/>
          <w:sz w:val="22"/>
          <w:szCs w:val="22"/>
          <w:lang w:val="en-GB"/>
        </w:rPr>
        <w:instrText xml:space="preserve"> ADDIN EN.CITE &lt;EndNote&gt;&lt;Cite&gt;&lt;Author&gt;Ferreira de Araújo Lima&lt;/Author&gt;&lt;Year&gt;2020&lt;/Year&gt;&lt;RecNum&gt;277&lt;/RecNum&gt;&lt;DisplayText&gt;(Ferreira de Araújo Lima et al. 2020)&lt;/DisplayText&gt;&lt;record&gt;&lt;rec-number&gt;277&lt;/rec-number&gt;&lt;foreign-keys&gt;&lt;key app="EN" db-id="vxw0ffesn9zzt0ewpdx5r5a3fpw92aep9re9" timestamp="1683537859" guid="d95bb7de-bc6a-484f-ae28-1acb77177f85"&gt;277&lt;/key&gt;&lt;/foreign-keys&gt;&lt;ref-type name="Journal Article"&gt;17&lt;/ref-type&gt;&lt;contributors&gt;&lt;authors&gt;&lt;author&gt;Ferreira de Araújo Lima, Priscila&lt;/author&gt;&lt;author&gt;Crema, Maria&lt;/author&gt;&lt;author&gt;Verbano, Chiara&lt;/author&gt;&lt;/authors&gt;&lt;/contributors&gt;&lt;titles&gt;&lt;title&gt;Risk management in SMEs: A systematic literature review and future directions&lt;/title&gt;&lt;secondary-title&gt;European Management Journal&lt;/secondary-title&gt;&lt;/titles&gt;&lt;periodical&gt;&lt;full-title&gt;European Management Journal&lt;/full-title&gt;&lt;/periodical&gt;&lt;pages&gt;78-94&lt;/pages&gt;&lt;volume&gt;38&lt;/volume&gt;&lt;number&gt;1&lt;/number&gt;&lt;section&gt;78&lt;/section&gt;&lt;keywords&gt;&lt;keyword&gt;Risk management&lt;/keyword&gt;&lt;keyword&gt;SMEs&lt;/keyword&gt;&lt;keyword&gt;Systematic literature review&lt;/keyword&gt;&lt;keyword&gt;Bibliometric analysis&lt;/keyword&gt;&lt;keyword&gt;Research agenda&lt;/keyword&gt;&lt;/keywords&gt;&lt;dates&gt;&lt;year&gt;2020&lt;/year&gt;&lt;pub-dates&gt;&lt;date&gt;2020/02/01/&lt;/date&gt;&lt;/pub-dates&gt;&lt;/dates&gt;&lt;isbn&gt;02632373&lt;/isbn&gt;&lt;urls&gt;&lt;related-urls&gt;&lt;url&gt;https://www.sciencedirect.com/science/article/pii/S0263237319300751&lt;/url&gt;&lt;/related-urls&gt;&lt;/urls&gt;&lt;electronic-resource-num&gt;10.1016/j.emj.2019.06.005&lt;/electronic-resource-num&gt;&lt;/record&gt;&lt;/Cite&gt;&lt;/EndNote&gt;</w:instrText>
      </w:r>
      <w:r w:rsidR="00657700" w:rsidRPr="007F23AD">
        <w:rPr>
          <w:rFonts w:ascii="Calibri" w:hAnsi="Calibri" w:cs="Calibri"/>
          <w:color w:val="000000" w:themeColor="text1"/>
          <w:sz w:val="22"/>
          <w:szCs w:val="22"/>
          <w:lang w:val="en-GB"/>
        </w:rPr>
        <w:fldChar w:fldCharType="separate"/>
      </w:r>
      <w:r w:rsidR="00657700" w:rsidRPr="007F23AD">
        <w:rPr>
          <w:rFonts w:ascii="Calibri" w:hAnsi="Calibri" w:cs="Calibri"/>
          <w:noProof/>
          <w:color w:val="000000" w:themeColor="text1"/>
          <w:sz w:val="22"/>
          <w:szCs w:val="22"/>
          <w:lang w:val="en-GB"/>
        </w:rPr>
        <w:t xml:space="preserve">(Ferreira de Araújo Lima et al. </w:t>
      </w:r>
      <w:r w:rsidR="00657700" w:rsidRPr="007F23AD">
        <w:rPr>
          <w:rFonts w:ascii="Calibri" w:hAnsi="Calibri" w:cs="Calibri"/>
          <w:noProof/>
          <w:color w:val="000000" w:themeColor="text1"/>
          <w:sz w:val="22"/>
          <w:szCs w:val="22"/>
          <w:lang w:val="en-GB"/>
        </w:rPr>
        <w:lastRenderedPageBreak/>
        <w:t>2020)</w:t>
      </w:r>
      <w:r w:rsidR="00657700" w:rsidRPr="007F23AD">
        <w:rPr>
          <w:rFonts w:ascii="Calibri" w:hAnsi="Calibri" w:cs="Calibri"/>
          <w:color w:val="000000" w:themeColor="text1"/>
          <w:sz w:val="22"/>
          <w:szCs w:val="22"/>
          <w:lang w:val="en-GB"/>
        </w:rPr>
        <w:fldChar w:fldCharType="end"/>
      </w:r>
      <w:r w:rsidR="00931ACC" w:rsidRPr="007F23AD">
        <w:rPr>
          <w:rFonts w:ascii="Calibri" w:hAnsi="Calibri" w:cs="Calibri"/>
          <w:color w:val="000000" w:themeColor="text1"/>
          <w:sz w:val="22"/>
          <w:szCs w:val="22"/>
          <w:lang w:val="en-GB"/>
        </w:rPr>
        <w:t xml:space="preserve">. For example, </w:t>
      </w:r>
      <w:r w:rsidR="00931ACC" w:rsidRPr="007F23AD">
        <w:rPr>
          <w:rFonts w:ascii="Calibri" w:hAnsi="Calibri" w:cs="Calibri"/>
          <w:color w:val="000000" w:themeColor="text1"/>
          <w:sz w:val="22"/>
          <w:szCs w:val="22"/>
          <w:lang w:val="en-GB"/>
        </w:rPr>
        <w:fldChar w:fldCharType="begin"/>
      </w:r>
      <w:r w:rsidR="00931ACC" w:rsidRPr="007F23AD">
        <w:rPr>
          <w:rFonts w:ascii="Calibri" w:hAnsi="Calibri" w:cs="Calibri"/>
          <w:color w:val="000000" w:themeColor="text1"/>
          <w:sz w:val="22"/>
          <w:szCs w:val="22"/>
          <w:lang w:val="en-GB"/>
        </w:rPr>
        <w:instrText xml:space="preserve"> ADDIN EN.CITE &lt;EndNote&gt;&lt;Cite AuthorYear="1"&gt;&lt;Author&gt;Wedawatta&lt;/Author&gt;&lt;Year&gt;2011&lt;/Year&gt;&lt;RecNum&gt;1733&lt;/RecNum&gt;&lt;DisplayText&gt;Wedawatta et al. (2011)&lt;/DisplayText&gt;&lt;record&gt;&lt;rec-number&gt;1733&lt;/rec-number&gt;&lt;foreign-keys&gt;&lt;key app="EN" db-id="vxw0ffesn9zzt0ewpdx5r5a3fpw92aep9re9" timestamp="1722367821" guid="6bc77ba6-7abc-4eed-866d-b35d71975fb5"&gt;1733&lt;/key&gt;&lt;/foreign-keys&gt;&lt;ref-type name="Journal Article"&gt;17&lt;/ref-type&gt;&lt;contributors&gt;&lt;authors&gt;&lt;author&gt;Wedawatta, Gayan&lt;/author&gt;&lt;author&gt;Ingirige, Bingunath&lt;/author&gt;&lt;author&gt;Jones, Keith&lt;/author&gt;&lt;author&gt;Proverbs, David&lt;/author&gt;&lt;/authors&gt;&lt;/contributors&gt;&lt;titles&gt;&lt;title&gt;Extreme weather events and construction SMEs&lt;/title&gt;&lt;secondary-title&gt;Structural Survey&lt;/secondary-title&gt;&lt;/titles&gt;&lt;periodical&gt;&lt;full-title&gt;Structural Survey&lt;/full-title&gt;&lt;/periodical&gt;&lt;pages&gt;106-119&lt;/pages&gt;&lt;volume&gt;29&lt;/volume&gt;&lt;number&gt;2&lt;/number&gt;&lt;dates&gt;&lt;year&gt;2011&lt;/year&gt;&lt;/dates&gt;&lt;publisher&gt;Emerald Group Publishing Limited&lt;/publisher&gt;&lt;isbn&gt;0263-080X&lt;/isbn&gt;&lt;urls&gt;&lt;related-urls&gt;&lt;url&gt;https://doi.org/10.1108/02630801111132795&lt;/url&gt;&lt;/related-urls&gt;&lt;/urls&gt;&lt;electronic-resource-num&gt;10.1108/02630801111132795&lt;/electronic-resource-num&gt;&lt;access-date&gt;2024/07/30&lt;/access-date&gt;&lt;/record&gt;&lt;/Cite&gt;&lt;/EndNote&gt;</w:instrText>
      </w:r>
      <w:r w:rsidR="00931ACC" w:rsidRPr="007F23AD">
        <w:rPr>
          <w:rFonts w:ascii="Calibri" w:hAnsi="Calibri" w:cs="Calibri"/>
          <w:color w:val="000000" w:themeColor="text1"/>
          <w:sz w:val="22"/>
          <w:szCs w:val="22"/>
          <w:lang w:val="en-GB"/>
        </w:rPr>
        <w:fldChar w:fldCharType="separate"/>
      </w:r>
      <w:r w:rsidR="00931ACC" w:rsidRPr="007F23AD">
        <w:rPr>
          <w:rFonts w:ascii="Calibri" w:hAnsi="Calibri" w:cs="Calibri"/>
          <w:noProof/>
          <w:color w:val="000000" w:themeColor="text1"/>
          <w:sz w:val="22"/>
          <w:szCs w:val="22"/>
          <w:lang w:val="en-GB"/>
        </w:rPr>
        <w:t>Wedawatta et al. (2011)</w:t>
      </w:r>
      <w:r w:rsidR="00931ACC" w:rsidRPr="007F23AD">
        <w:rPr>
          <w:rFonts w:ascii="Calibri" w:hAnsi="Calibri" w:cs="Calibri"/>
          <w:color w:val="000000" w:themeColor="text1"/>
          <w:sz w:val="22"/>
          <w:szCs w:val="22"/>
          <w:lang w:val="en-GB"/>
        </w:rPr>
        <w:fldChar w:fldCharType="end"/>
      </w:r>
      <w:r w:rsidR="009E431F" w:rsidRPr="007F23AD">
        <w:rPr>
          <w:rFonts w:ascii="Calibri" w:hAnsi="Calibri" w:cs="Calibri" w:hint="eastAsia"/>
          <w:color w:val="000000" w:themeColor="text1"/>
          <w:sz w:val="22"/>
          <w:szCs w:val="22"/>
          <w:lang w:val="en-GB"/>
        </w:rPr>
        <w:t xml:space="preserve"> </w:t>
      </w:r>
      <w:r w:rsidR="00931ACC" w:rsidRPr="007F23AD">
        <w:rPr>
          <w:rFonts w:ascii="Calibri" w:hAnsi="Calibri" w:cs="Calibri" w:hint="eastAsia"/>
          <w:color w:val="000000" w:themeColor="text1"/>
          <w:sz w:val="22"/>
          <w:szCs w:val="22"/>
          <w:lang w:val="en-GB"/>
        </w:rPr>
        <w:t>u</w:t>
      </w:r>
      <w:r w:rsidR="00931ACC" w:rsidRPr="007F23AD">
        <w:rPr>
          <w:rFonts w:ascii="Calibri" w:hAnsi="Calibri" w:cs="Calibri"/>
          <w:color w:val="000000" w:themeColor="text1"/>
          <w:sz w:val="22"/>
          <w:szCs w:val="22"/>
          <w:lang w:val="en-GB"/>
        </w:rPr>
        <w:t xml:space="preserve">sed case studies to assess how construction SMEs are affected by extreme weather events (EWEs). It was found that </w:t>
      </w:r>
      <w:r w:rsidR="009E431F" w:rsidRPr="007F23AD">
        <w:rPr>
          <w:rFonts w:ascii="Calibri" w:hAnsi="Calibri" w:cs="Calibri"/>
          <w:color w:val="000000" w:themeColor="text1"/>
          <w:sz w:val="22"/>
          <w:szCs w:val="22"/>
          <w:lang w:val="en-GB"/>
        </w:rPr>
        <w:t>most</w:t>
      </w:r>
      <w:r w:rsidR="00931ACC" w:rsidRPr="007F23AD">
        <w:rPr>
          <w:rFonts w:ascii="Calibri" w:hAnsi="Calibri" w:cs="Calibri"/>
          <w:color w:val="000000" w:themeColor="text1"/>
          <w:sz w:val="22"/>
          <w:szCs w:val="22"/>
          <w:lang w:val="en-GB"/>
        </w:rPr>
        <w:t xml:space="preserve"> construction SMEs (75 percent), </w:t>
      </w:r>
      <w:r w:rsidR="007A57FA" w:rsidRPr="007F23AD">
        <w:rPr>
          <w:rFonts w:ascii="Calibri" w:hAnsi="Calibri" w:cs="Calibri"/>
          <w:color w:val="000000" w:themeColor="text1"/>
          <w:sz w:val="22"/>
          <w:szCs w:val="22"/>
          <w:lang w:val="en-GB"/>
        </w:rPr>
        <w:t>whether</w:t>
      </w:r>
      <w:r w:rsidR="00931ACC" w:rsidRPr="007F23AD">
        <w:rPr>
          <w:rFonts w:ascii="Calibri" w:hAnsi="Calibri" w:cs="Calibri"/>
          <w:color w:val="000000" w:themeColor="text1"/>
          <w:sz w:val="22"/>
          <w:szCs w:val="22"/>
          <w:lang w:val="en-GB"/>
        </w:rPr>
        <w:t xml:space="preserve"> they had experienced a previous EWE, had no coping mechanisms in place to protect their business from such events. One possible solution is to use multi-criteria decision-making techniques to develop specific risk differentiation levels for construction SMEs, employ</w:t>
      </w:r>
      <w:r w:rsidR="009C496D" w:rsidRPr="007F23AD">
        <w:rPr>
          <w:rFonts w:ascii="Calibri" w:hAnsi="Calibri" w:cs="Calibri"/>
          <w:color w:val="000000" w:themeColor="text1"/>
          <w:sz w:val="22"/>
          <w:szCs w:val="22"/>
          <w:lang w:val="en-GB"/>
        </w:rPr>
        <w:t xml:space="preserve"> </w:t>
      </w:r>
      <w:r w:rsidR="00931ACC" w:rsidRPr="007F23AD">
        <w:rPr>
          <w:rFonts w:ascii="Calibri" w:hAnsi="Calibri" w:cs="Calibri"/>
          <w:color w:val="000000" w:themeColor="text1"/>
          <w:sz w:val="22"/>
          <w:szCs w:val="22"/>
          <w:lang w:val="en-GB"/>
        </w:rPr>
        <w:t xml:space="preserve">methods such as interviews or </w:t>
      </w:r>
      <w:r w:rsidR="00C53B3D" w:rsidRPr="007F23AD">
        <w:rPr>
          <w:rFonts w:ascii="Calibri" w:hAnsi="Calibri" w:cs="Calibri"/>
          <w:color w:val="000000" w:themeColor="text1"/>
          <w:sz w:val="22"/>
          <w:szCs w:val="22"/>
          <w:lang w:val="en-GB"/>
        </w:rPr>
        <w:t>focus</w:t>
      </w:r>
      <w:r w:rsidR="00931ACC" w:rsidRPr="007F23AD">
        <w:rPr>
          <w:rFonts w:ascii="Calibri" w:hAnsi="Calibri" w:cs="Calibri"/>
          <w:color w:val="000000" w:themeColor="text1"/>
          <w:sz w:val="22"/>
          <w:szCs w:val="22"/>
          <w:lang w:val="en-GB"/>
        </w:rPr>
        <w:t xml:space="preserve"> </w:t>
      </w:r>
      <w:r w:rsidR="00C53B3D" w:rsidRPr="007F23AD">
        <w:rPr>
          <w:rFonts w:ascii="Calibri" w:hAnsi="Calibri" w:cs="Calibri"/>
          <w:color w:val="000000" w:themeColor="text1"/>
          <w:sz w:val="22"/>
          <w:szCs w:val="22"/>
          <w:lang w:val="en-GB"/>
        </w:rPr>
        <w:t>group</w:t>
      </w:r>
      <w:r w:rsidR="009C496D" w:rsidRPr="007F23AD">
        <w:rPr>
          <w:rFonts w:ascii="Calibri" w:hAnsi="Calibri" w:cs="Calibri"/>
          <w:color w:val="000000" w:themeColor="text1"/>
          <w:sz w:val="22"/>
          <w:szCs w:val="22"/>
          <w:lang w:val="en-GB"/>
        </w:rPr>
        <w:t>s</w:t>
      </w:r>
      <w:r w:rsidR="00931ACC" w:rsidRPr="007F23AD">
        <w:rPr>
          <w:rFonts w:ascii="Calibri" w:hAnsi="Calibri" w:cs="Calibri"/>
          <w:color w:val="000000" w:themeColor="text1"/>
          <w:sz w:val="22"/>
          <w:szCs w:val="22"/>
          <w:lang w:val="en-GB"/>
        </w:rPr>
        <w:t>.</w:t>
      </w:r>
    </w:p>
    <w:p w14:paraId="03958E67" w14:textId="77777777" w:rsidR="009E431F" w:rsidRPr="007F23AD" w:rsidRDefault="009E431F" w:rsidP="00F87BD1">
      <w:pPr>
        <w:spacing w:line="480" w:lineRule="auto"/>
        <w:jc w:val="both"/>
        <w:rPr>
          <w:rFonts w:ascii="Calibri" w:hAnsi="Calibri" w:cs="Calibri"/>
          <w:color w:val="000000" w:themeColor="text1"/>
          <w:sz w:val="22"/>
          <w:szCs w:val="22"/>
          <w:lang w:val="en-GB"/>
        </w:rPr>
      </w:pPr>
    </w:p>
    <w:p w14:paraId="05A4B563" w14:textId="7C581CE9" w:rsidR="00D42FF8" w:rsidRPr="007F23AD" w:rsidRDefault="005C7E68" w:rsidP="00F87BD1">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Third, green supply chains are typically associated with large organisations. However, this paper finds that due to the significant number of SMEs in the construction sector, their environmental impact should not be underestimated. </w:t>
      </w:r>
      <w:r w:rsidR="002D08FF" w:rsidRPr="007F23AD">
        <w:rPr>
          <w:rFonts w:ascii="Calibri" w:hAnsi="Calibri" w:cs="Calibri"/>
          <w:color w:val="000000" w:themeColor="text1"/>
          <w:sz w:val="22"/>
          <w:szCs w:val="22"/>
        </w:rPr>
        <w:t>Therefore, there is a clear research gap in green supply chain management among SMEs in the construction industry. One possible research direction is for academics to use case studies in practical areas to understand the level of awareness among practitioners regarding green supply chains. For example,</w:t>
      </w:r>
      <w:r w:rsidR="00546A4A" w:rsidRPr="007F23AD">
        <w:rPr>
          <w:rFonts w:ascii="Calibri" w:hAnsi="Calibri" w:cs="Calibri"/>
          <w:color w:val="000000" w:themeColor="text1"/>
          <w:sz w:val="22"/>
          <w:szCs w:val="22"/>
          <w:lang w:val="en-GB"/>
        </w:rPr>
        <w:t xml:space="preserve"> </w:t>
      </w:r>
      <w:r w:rsidR="00112D95" w:rsidRPr="007F23AD">
        <w:rPr>
          <w:rFonts w:ascii="Calibri" w:hAnsi="Calibri" w:cs="Calibri"/>
          <w:color w:val="000000" w:themeColor="text1"/>
          <w:sz w:val="22"/>
          <w:szCs w:val="22"/>
          <w:lang w:val="en-GB"/>
        </w:rPr>
        <w:fldChar w:fldCharType="begin"/>
      </w:r>
      <w:r w:rsidR="00112D95" w:rsidRPr="007F23AD">
        <w:rPr>
          <w:rFonts w:ascii="Calibri" w:hAnsi="Calibri" w:cs="Calibri"/>
          <w:color w:val="000000" w:themeColor="text1"/>
          <w:sz w:val="22"/>
          <w:szCs w:val="22"/>
          <w:lang w:val="en-GB"/>
        </w:rPr>
        <w:instrText xml:space="preserve"> ADDIN EN.CITE &lt;EndNote&gt;&lt;Cite AuthorYear="1"&gt;&lt;Author&gt;Namagembe&lt;/Author&gt;&lt;Year&gt;2021&lt;/Year&gt;&lt;RecNum&gt;86&lt;/RecNum&gt;&lt;DisplayText&gt;Namagembe et al. (2021)&lt;/DisplayText&gt;&lt;record&gt;&lt;rec-number&gt;86&lt;/rec-number&gt;&lt;foreign-keys&gt;&lt;key app="EN" db-id="vxw0ffesn9zzt0ewpdx5r5a3fpw92aep9re9" timestamp="1683536773" guid="55ed7c77-b8dc-40c2-9fd9-cde88236be6b"&gt;86&lt;/key&gt;&lt;/foreign-keys&gt;&lt;ref-type name="Journal Article"&gt;17&lt;/ref-type&gt;&lt;contributors&gt;&lt;authors&gt;&lt;author&gt;Namagembe, Sheila&lt;/author&gt;&lt;author&gt;Ntayi Mpeera, Joseph&lt;/author&gt;&lt;author&gt;Kalid, Awad&lt;/author&gt;&lt;/authors&gt;&lt;/contributors&gt;&lt;titles&gt;&lt;title&gt;An examination of SME involvement in public procurement under bid lot sizing&lt;/title&gt;&lt;secondary-title&gt;Journal of Public Procurement&lt;/secondary-title&gt;&lt;/titles&gt;&lt;periodical&gt;&lt;full-title&gt;Journal of Public Procurement&lt;/full-title&gt;&lt;/periodical&gt;&lt;pages&gt;370-398&lt;/pages&gt;&lt;volume&gt;21&lt;/volume&gt;&lt;number&gt;4&lt;/number&gt;&lt;dates&gt;&lt;year&gt;2021&lt;/year&gt;&lt;/dates&gt;&lt;publisher&gt;Emerald Publishing Limited&lt;/publisher&gt;&lt;isbn&gt;1535-0118, 2150-6930&lt;/isbn&gt;&lt;urls&gt;&lt;related-urls&gt;&lt;url&gt;https://doi.org/10.1108/JOPP-04-2020-0031&lt;/url&gt;&lt;/related-urls&gt;&lt;/urls&gt;&lt;electronic-resource-num&gt;10.1108/JOPP-04-2020-0031&lt;/electronic-resource-num&gt;&lt;access-date&gt;2022/06/14&lt;/access-date&gt;&lt;/record&gt;&lt;/Cite&gt;&lt;/EndNote&gt;</w:instrText>
      </w:r>
      <w:r w:rsidR="00112D95" w:rsidRPr="007F23AD">
        <w:rPr>
          <w:rFonts w:ascii="Calibri" w:hAnsi="Calibri" w:cs="Calibri"/>
          <w:color w:val="000000" w:themeColor="text1"/>
          <w:sz w:val="22"/>
          <w:szCs w:val="22"/>
          <w:lang w:val="en-GB"/>
        </w:rPr>
        <w:fldChar w:fldCharType="separate"/>
      </w:r>
      <w:r w:rsidR="00112D95" w:rsidRPr="007F23AD">
        <w:rPr>
          <w:rFonts w:ascii="Calibri" w:hAnsi="Calibri" w:cs="Calibri"/>
          <w:noProof/>
          <w:color w:val="000000" w:themeColor="text1"/>
          <w:sz w:val="22"/>
          <w:szCs w:val="22"/>
          <w:lang w:val="en-GB"/>
        </w:rPr>
        <w:t>Namagembe et al. (2021)</w:t>
      </w:r>
      <w:r w:rsidR="00112D95" w:rsidRPr="007F23AD">
        <w:rPr>
          <w:rFonts w:ascii="Calibri" w:hAnsi="Calibri" w:cs="Calibri"/>
          <w:color w:val="000000" w:themeColor="text1"/>
          <w:sz w:val="22"/>
          <w:szCs w:val="22"/>
          <w:lang w:val="en-GB"/>
        </w:rPr>
        <w:fldChar w:fldCharType="end"/>
      </w:r>
      <w:r w:rsidR="00112D95" w:rsidRPr="007F23AD">
        <w:rPr>
          <w:rFonts w:ascii="Calibri" w:hAnsi="Calibri" w:cs="Calibri" w:hint="eastAsia"/>
          <w:color w:val="000000" w:themeColor="text1"/>
          <w:sz w:val="22"/>
          <w:szCs w:val="22"/>
          <w:lang w:val="en-GB"/>
        </w:rPr>
        <w:t xml:space="preserve"> </w:t>
      </w:r>
      <w:r w:rsidR="0086077B" w:rsidRPr="007F23AD">
        <w:rPr>
          <w:rFonts w:ascii="Calibri" w:hAnsi="Calibri" w:cs="Calibri"/>
          <w:color w:val="000000" w:themeColor="text1"/>
          <w:sz w:val="22"/>
          <w:szCs w:val="22"/>
          <w:lang w:val="en-GB"/>
        </w:rPr>
        <w:t>conducted a study of owners/managers of 200 manufacturing SMEs in Uganda, Africa, which assessed the relationship between five green practices and business performance. They found that eco-design and in-house environmental management practices had a significant impact on environmental performance.</w:t>
      </w:r>
      <w:r w:rsidR="00C45FF3" w:rsidRPr="007F23AD">
        <w:rPr>
          <w:rFonts w:ascii="Calibri" w:hAnsi="Calibri" w:cs="Calibri"/>
          <w:color w:val="000000" w:themeColor="text1"/>
          <w:sz w:val="22"/>
          <w:szCs w:val="22"/>
          <w:lang w:val="en-GB"/>
        </w:rPr>
        <w:t xml:space="preserve"> </w:t>
      </w:r>
      <w:r w:rsidR="00546A4A" w:rsidRPr="007F23AD">
        <w:rPr>
          <w:rFonts w:ascii="Calibri" w:hAnsi="Calibri" w:cs="Calibri"/>
          <w:color w:val="000000" w:themeColor="text1"/>
          <w:sz w:val="22"/>
          <w:szCs w:val="22"/>
          <w:lang w:val="en-GB"/>
        </w:rPr>
        <w:t xml:space="preserve">Additionally, the observation method can be used to understand the environmental practices </w:t>
      </w:r>
      <w:r w:rsidR="003E6608" w:rsidRPr="007F23AD">
        <w:rPr>
          <w:rFonts w:ascii="Calibri" w:hAnsi="Calibri" w:cs="Calibri"/>
          <w:color w:val="000000" w:themeColor="text1"/>
          <w:sz w:val="22"/>
          <w:szCs w:val="22"/>
          <w:lang w:val="en-GB"/>
        </w:rPr>
        <w:t>SMEs</w:t>
      </w:r>
      <w:r w:rsidR="00546A4A" w:rsidRPr="007F23AD">
        <w:rPr>
          <w:rFonts w:ascii="Calibri" w:hAnsi="Calibri" w:cs="Calibri"/>
          <w:color w:val="000000" w:themeColor="text1"/>
          <w:sz w:val="22"/>
          <w:szCs w:val="22"/>
          <w:lang w:val="en-GB"/>
        </w:rPr>
        <w:t xml:space="preserve"> adopt at work.</w:t>
      </w:r>
    </w:p>
    <w:p w14:paraId="74C1649F" w14:textId="77777777" w:rsidR="00546A4A" w:rsidRPr="007F23AD" w:rsidRDefault="00546A4A" w:rsidP="00F87BD1">
      <w:pPr>
        <w:spacing w:line="480" w:lineRule="auto"/>
        <w:jc w:val="both"/>
        <w:rPr>
          <w:rFonts w:ascii="Calibri" w:hAnsi="Calibri" w:cs="Calibri"/>
          <w:color w:val="000000" w:themeColor="text1"/>
          <w:sz w:val="22"/>
          <w:szCs w:val="22"/>
          <w:lang w:val="en-GB"/>
        </w:rPr>
      </w:pPr>
    </w:p>
    <w:p w14:paraId="54D9A6ED" w14:textId="6E39418C" w:rsidR="005C5076" w:rsidRPr="007F23AD" w:rsidRDefault="004978B6" w:rsidP="00F87BD1">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Fourth,</w:t>
      </w:r>
      <w:r w:rsidR="007A038F" w:rsidRPr="007F23AD">
        <w:rPr>
          <w:rFonts w:ascii="Calibri" w:hAnsi="Calibri" w:cs="Calibri" w:hint="eastAsia"/>
          <w:color w:val="000000" w:themeColor="text1"/>
          <w:sz w:val="22"/>
          <w:szCs w:val="22"/>
          <w:lang w:val="en-GB"/>
        </w:rPr>
        <w:t xml:space="preserve"> </w:t>
      </w:r>
      <w:r w:rsidR="007A038F" w:rsidRPr="007F23AD">
        <w:rPr>
          <w:rFonts w:ascii="Calibri" w:hAnsi="Calibri" w:cs="Calibri"/>
          <w:color w:val="000000" w:themeColor="text1"/>
          <w:sz w:val="22"/>
          <w:szCs w:val="22"/>
        </w:rPr>
        <w:t>this paper finds that construction SMEs are often perceived as mere recipients of policies, with limitations on the role they can play in procurement. Consequently, there is a gap in comprehensively studying procurement risks specific to construction SMEs.</w:t>
      </w:r>
      <w:r w:rsidR="007A038F" w:rsidRPr="007F23AD">
        <w:rPr>
          <w:rFonts w:ascii="Calibri" w:hAnsi="Calibri" w:cs="Calibri" w:hint="eastAsia"/>
          <w:color w:val="000000" w:themeColor="text1"/>
          <w:sz w:val="22"/>
          <w:szCs w:val="22"/>
        </w:rPr>
        <w:t xml:space="preserve"> </w:t>
      </w:r>
      <w:r w:rsidRPr="007F23AD">
        <w:rPr>
          <w:rFonts w:ascii="Calibri" w:hAnsi="Calibri" w:cs="Calibri"/>
          <w:color w:val="000000" w:themeColor="text1"/>
          <w:sz w:val="22"/>
          <w:szCs w:val="22"/>
          <w:lang w:val="en-GB"/>
        </w:rPr>
        <w:t>These risks are especially significant in the areas of supplier selection, contract management, and digital procurement solutions. A notable example is the cancellation of the HS2 project</w:t>
      </w:r>
      <w:r w:rsidR="00C6388C" w:rsidRPr="007F23AD">
        <w:rPr>
          <w:rFonts w:ascii="Calibri" w:hAnsi="Calibri" w:cs="Calibri"/>
          <w:color w:val="000000" w:themeColor="text1"/>
          <w:sz w:val="22"/>
          <w:szCs w:val="22"/>
          <w:lang w:val="en-GB"/>
        </w:rPr>
        <w:t xml:space="preserve"> </w:t>
      </w:r>
      <w:r w:rsidR="00C6388C" w:rsidRPr="007F23AD">
        <w:rPr>
          <w:rFonts w:ascii="Calibri" w:hAnsi="Calibri" w:cs="Calibri"/>
          <w:color w:val="000000" w:themeColor="text1"/>
          <w:sz w:val="22"/>
          <w:szCs w:val="22"/>
          <w:lang w:val="en-GB"/>
        </w:rPr>
        <w:fldChar w:fldCharType="begin"/>
      </w:r>
      <w:r w:rsidR="00C6388C" w:rsidRPr="007F23AD">
        <w:rPr>
          <w:rFonts w:ascii="Calibri" w:hAnsi="Calibri" w:cs="Calibri"/>
          <w:color w:val="000000" w:themeColor="text1"/>
          <w:sz w:val="22"/>
          <w:szCs w:val="22"/>
          <w:lang w:val="en-GB"/>
        </w:rPr>
        <w:instrText xml:space="preserve"> ADDIN EN.CITE &lt;EndNote&gt;&lt;Cite&gt;&lt;Author&gt;Austin&lt;/Author&gt;&lt;Year&gt;2023&lt;/Year&gt;&lt;RecNum&gt;1555&lt;/RecNum&gt;&lt;DisplayText&gt;(Austin et al. 2023)&lt;/DisplayText&gt;&lt;record&gt;&lt;rec-number&gt;1555&lt;/rec-number&gt;&lt;foreign-keys&gt;&lt;key app="EN" db-id="vxw0ffesn9zzt0ewpdx5r5a3fpw92aep9re9" timestamp="1719482020" guid="394461b3-039c-4334-a501-6f6aaf532947"&gt;1555&lt;/key&gt;&lt;/foreign-keys&gt;&lt;ref-type name="Newspaper Article"&gt;23&lt;/ref-type&gt;&lt;contributors&gt;&lt;authors&gt;&lt;author&gt;Katy Austin&lt;/author&gt;&lt;author&gt;Chris Mason&lt;/author&gt;&lt;author&gt;Kate Whannel&lt;/author&gt;&lt;/authors&gt;&lt;/contributors&gt;&lt;titles&gt;&lt;title&gt;HS2 West Midlands-Manchester line to be scrapped&lt;/title&gt;&lt;secondary-title&gt;BBC&lt;/secondary-title&gt;&lt;/titles&gt;&lt;dates&gt;&lt;year&gt;2023&lt;/year&gt;&lt;/dates&gt;&lt;urls&gt;&lt;related-urls&gt;&lt;url&gt;https://www.bbc.co.uk/news/uk-politics-66998692&lt;/url&gt;&lt;/related-urls&gt;&lt;/urls&gt;&lt;access-date&gt;27-06-2024&lt;/access-date&gt;&lt;/record&gt;&lt;/Cite&gt;&lt;/EndNote&gt;</w:instrText>
      </w:r>
      <w:r w:rsidR="00C6388C" w:rsidRPr="007F23AD">
        <w:rPr>
          <w:rFonts w:ascii="Calibri" w:hAnsi="Calibri" w:cs="Calibri"/>
          <w:color w:val="000000" w:themeColor="text1"/>
          <w:sz w:val="22"/>
          <w:szCs w:val="22"/>
          <w:lang w:val="en-GB"/>
        </w:rPr>
        <w:fldChar w:fldCharType="separate"/>
      </w:r>
      <w:r w:rsidR="00C6388C" w:rsidRPr="007F23AD">
        <w:rPr>
          <w:rFonts w:ascii="Calibri" w:hAnsi="Calibri" w:cs="Calibri"/>
          <w:noProof/>
          <w:color w:val="000000" w:themeColor="text1"/>
          <w:sz w:val="22"/>
          <w:szCs w:val="22"/>
          <w:lang w:val="en-GB"/>
        </w:rPr>
        <w:t>(Austin et al. 2023)</w:t>
      </w:r>
      <w:r w:rsidR="00C6388C" w:rsidRPr="007F23AD">
        <w:rPr>
          <w:rFonts w:ascii="Calibri" w:hAnsi="Calibri" w:cs="Calibri"/>
          <w:color w:val="000000" w:themeColor="text1"/>
          <w:sz w:val="22"/>
          <w:szCs w:val="22"/>
          <w:lang w:val="en-GB"/>
        </w:rPr>
        <w:fldChar w:fldCharType="end"/>
      </w:r>
      <w:r w:rsidR="00E814C7" w:rsidRPr="007F23AD">
        <w:rPr>
          <w:rFonts w:ascii="Calibri" w:hAnsi="Calibri" w:cs="Calibri"/>
          <w:color w:val="000000" w:themeColor="text1"/>
          <w:sz w:val="22"/>
          <w:szCs w:val="22"/>
          <w:lang w:val="en-GB"/>
        </w:rPr>
        <w:t>,</w:t>
      </w:r>
      <w:r w:rsidR="00E814C7" w:rsidRPr="007F23AD">
        <w:rPr>
          <w:color w:val="000000" w:themeColor="text1"/>
        </w:rPr>
        <w:t xml:space="preserve"> </w:t>
      </w:r>
      <w:r w:rsidR="00E814C7" w:rsidRPr="007F23AD">
        <w:rPr>
          <w:rFonts w:ascii="Calibri" w:hAnsi="Calibri" w:cs="Calibri"/>
          <w:color w:val="000000" w:themeColor="text1"/>
          <w:sz w:val="22"/>
          <w:szCs w:val="22"/>
          <w:lang w:val="en-GB"/>
        </w:rPr>
        <w:t xml:space="preserve">which disrupted an otherwise stable supply chain, resulting in many ordered materials and services not being delivered as </w:t>
      </w:r>
      <w:r w:rsidR="00C035B7" w:rsidRPr="007F23AD">
        <w:rPr>
          <w:rFonts w:ascii="Calibri" w:hAnsi="Calibri" w:cs="Calibri"/>
          <w:color w:val="000000" w:themeColor="text1"/>
          <w:sz w:val="22"/>
          <w:szCs w:val="22"/>
          <w:lang w:val="en-GB"/>
        </w:rPr>
        <w:t>planned. This</w:t>
      </w:r>
      <w:r w:rsidRPr="007F23AD">
        <w:rPr>
          <w:rFonts w:ascii="Calibri" w:hAnsi="Calibri" w:cs="Calibri"/>
          <w:color w:val="000000" w:themeColor="text1"/>
          <w:sz w:val="22"/>
          <w:szCs w:val="22"/>
          <w:lang w:val="en-GB"/>
        </w:rPr>
        <w:t xml:space="preserve"> disruption highlighted several procurement </w:t>
      </w:r>
      <w:r w:rsidRPr="007F23AD">
        <w:rPr>
          <w:rFonts w:ascii="Calibri" w:hAnsi="Calibri" w:cs="Calibri"/>
          <w:color w:val="000000" w:themeColor="text1"/>
          <w:sz w:val="22"/>
          <w:szCs w:val="22"/>
          <w:lang w:val="en-GB"/>
        </w:rPr>
        <w:lastRenderedPageBreak/>
        <w:t xml:space="preserve">challenges for SMEs, including choosing the right suppliers to reduce costs and maintain stability, understanding contract details and terms, and adopting digital procurement techniques. </w:t>
      </w:r>
      <w:r w:rsidR="00553BF4" w:rsidRPr="007F23AD">
        <w:rPr>
          <w:rFonts w:ascii="Calibri" w:hAnsi="Calibri" w:cs="Calibri"/>
          <w:color w:val="000000" w:themeColor="text1"/>
          <w:sz w:val="22"/>
          <w:szCs w:val="22"/>
          <w:lang w:val="en-GB"/>
        </w:rPr>
        <w:t>It is vital for academics to conduct empirical research through interviews or surveys to explore these risks and find solutions.</w:t>
      </w:r>
    </w:p>
    <w:p w14:paraId="754BEFBA" w14:textId="77777777" w:rsidR="004978B6" w:rsidRPr="007F23AD" w:rsidRDefault="004978B6" w:rsidP="00F87BD1">
      <w:pPr>
        <w:spacing w:line="480" w:lineRule="auto"/>
        <w:jc w:val="both"/>
        <w:rPr>
          <w:rFonts w:ascii="Calibri" w:hAnsi="Calibri" w:cs="Calibri"/>
          <w:color w:val="000000" w:themeColor="text1"/>
          <w:sz w:val="22"/>
          <w:szCs w:val="22"/>
        </w:rPr>
      </w:pPr>
    </w:p>
    <w:p w14:paraId="39315DA9" w14:textId="57986ADE" w:rsidR="00D42FF8" w:rsidRPr="007F23AD" w:rsidRDefault="00755B3A" w:rsidP="00755B3A">
      <w:pPr>
        <w:spacing w:line="480" w:lineRule="auto"/>
        <w:jc w:val="both"/>
        <w:rPr>
          <w:rFonts w:ascii="Calibri" w:hAnsi="Calibri" w:cs="Calibri"/>
          <w:color w:val="000000" w:themeColor="text1"/>
          <w:sz w:val="22"/>
          <w:szCs w:val="22"/>
        </w:rPr>
      </w:pPr>
      <w:r w:rsidRPr="007F23AD">
        <w:rPr>
          <w:rFonts w:ascii="Calibri" w:hAnsi="Calibri" w:cs="Calibri"/>
          <w:color w:val="000000" w:themeColor="text1"/>
          <w:sz w:val="22"/>
          <w:szCs w:val="22"/>
          <w:lang w:val="en-GB"/>
        </w:rPr>
        <w:t xml:space="preserve">Fifth, </w:t>
      </w:r>
      <w:r w:rsidR="009F14B1" w:rsidRPr="007F23AD">
        <w:rPr>
          <w:rFonts w:ascii="Calibri" w:hAnsi="Calibri" w:cs="Calibri"/>
          <w:color w:val="000000" w:themeColor="text1"/>
          <w:sz w:val="22"/>
          <w:szCs w:val="22"/>
        </w:rPr>
        <w:t xml:space="preserve">this paper finds that the consequence of contractual risk often leads to financial risk. While academics and practitioners have acknowledged the significance of financial risk for SMEs in the construction industry, there is little research on </w:t>
      </w:r>
      <w:r w:rsidR="000B1CD6" w:rsidRPr="007F23AD">
        <w:rPr>
          <w:rFonts w:ascii="Calibri" w:hAnsi="Calibri" w:cs="Calibri"/>
          <w:color w:val="000000" w:themeColor="text1"/>
          <w:sz w:val="22"/>
          <w:szCs w:val="22"/>
        </w:rPr>
        <w:t>the leading</w:t>
      </w:r>
      <w:r w:rsidR="000B1CD6" w:rsidRPr="007F23AD">
        <w:rPr>
          <w:rFonts w:ascii="Calibri" w:hAnsi="Calibri" w:cs="Calibri" w:hint="eastAsia"/>
          <w:color w:val="000000" w:themeColor="text1"/>
          <w:sz w:val="22"/>
          <w:szCs w:val="22"/>
        </w:rPr>
        <w:t xml:space="preserve"> </w:t>
      </w:r>
      <w:r w:rsidR="009F14B1" w:rsidRPr="007F23AD">
        <w:rPr>
          <w:rFonts w:ascii="Calibri" w:hAnsi="Calibri" w:cs="Calibri"/>
          <w:color w:val="000000" w:themeColor="text1"/>
          <w:sz w:val="22"/>
          <w:szCs w:val="22"/>
        </w:rPr>
        <w:t>factors of financial risk, which may arise from uncertainty about its sources.</w:t>
      </w:r>
      <w:r w:rsidR="000B1CD6" w:rsidRPr="007F23AD">
        <w:rPr>
          <w:rFonts w:ascii="Calibri" w:hAnsi="Calibri" w:cs="Calibri" w:hint="eastAsia"/>
          <w:color w:val="000000" w:themeColor="text1"/>
          <w:sz w:val="22"/>
          <w:szCs w:val="22"/>
        </w:rPr>
        <w:t xml:space="preserve"> </w:t>
      </w:r>
      <w:r w:rsidR="00950CE3" w:rsidRPr="007F23AD">
        <w:rPr>
          <w:rFonts w:ascii="Calibri" w:hAnsi="Calibri" w:cs="Calibri"/>
          <w:color w:val="000000" w:themeColor="text1"/>
          <w:sz w:val="22"/>
          <w:szCs w:val="22"/>
          <w:lang w:val="en-GB"/>
        </w:rPr>
        <w:t>For example, the Central Artery/Tunnel Project (The Big Dig), the most expensive highway project in the United States, was initially completed nine years later than planned, with a cost overrun of $11.8 billion</w:t>
      </w:r>
      <w:r w:rsidR="001810DD" w:rsidRPr="007F23AD">
        <w:rPr>
          <w:rFonts w:ascii="Calibri" w:hAnsi="Calibri" w:cs="Calibri" w:hint="eastAsia"/>
          <w:color w:val="000000" w:themeColor="text1"/>
          <w:sz w:val="22"/>
          <w:szCs w:val="22"/>
          <w:lang w:val="en-GB"/>
        </w:rPr>
        <w:t xml:space="preserve"> </w:t>
      </w:r>
      <w:r w:rsidR="001810DD" w:rsidRPr="007F23AD">
        <w:rPr>
          <w:rFonts w:ascii="Calibri" w:hAnsi="Calibri" w:cs="Calibri"/>
          <w:color w:val="000000" w:themeColor="text1"/>
          <w:sz w:val="22"/>
          <w:szCs w:val="22"/>
          <w:lang w:val="en-GB"/>
        </w:rPr>
        <w:fldChar w:fldCharType="begin"/>
      </w:r>
      <w:r w:rsidR="00103AD0" w:rsidRPr="007F23AD">
        <w:rPr>
          <w:rFonts w:ascii="Calibri" w:hAnsi="Calibri" w:cs="Calibri"/>
          <w:color w:val="000000" w:themeColor="text1"/>
          <w:sz w:val="22"/>
          <w:szCs w:val="22"/>
          <w:lang w:val="en-GB"/>
        </w:rPr>
        <w:instrText xml:space="preserve"> ADDIN EN.CITE &lt;EndNote&gt;&lt;Cite&gt;&lt;Author&gt;Greiman&lt;/Author&gt;&lt;Year&gt;2013&lt;/Year&gt;&lt;RecNum&gt;1734&lt;/RecNum&gt;&lt;DisplayText&gt;(Greiman 2013)&lt;/DisplayText&gt;&lt;record&gt;&lt;rec-number&gt;1734&lt;/rec-number&gt;&lt;foreign-keys&gt;&lt;key app="EN" db-id="vxw0ffesn9zzt0ewpdx5r5a3fpw92aep9re9" timestamp="1722373150" guid="2be3c701-27c0-4421-8b04-f2fc7b9029e3"&gt;1734&lt;/key&gt;&lt;/foreign-keys&gt;&lt;ref-type name="Book"&gt;6&lt;/ref-type&gt;&lt;contributors&gt;&lt;authors&gt;&lt;author&gt;Greiman, Virginia A&lt;/author&gt;&lt;/authors&gt;&lt;/contributors&gt;&lt;titles&gt;&lt;title&gt;Megaproject management: Lessons on risk and project management from the Big Dig&lt;/title&gt;&lt;/titles&gt;&lt;dates&gt;&lt;year&gt;2013&lt;/year&gt;&lt;/dates&gt;&lt;publisher&gt;John Wiley &amp;amp; Sons&lt;/publisher&gt;&lt;isbn&gt;1118115473&lt;/isbn&gt;&lt;urls&gt;&lt;/urls&gt;&lt;/record&gt;&lt;/Cite&gt;&lt;/EndNote&gt;</w:instrText>
      </w:r>
      <w:r w:rsidR="001810DD" w:rsidRPr="007F23AD">
        <w:rPr>
          <w:rFonts w:ascii="Calibri" w:hAnsi="Calibri" w:cs="Calibri"/>
          <w:color w:val="000000" w:themeColor="text1"/>
          <w:sz w:val="22"/>
          <w:szCs w:val="22"/>
          <w:lang w:val="en-GB"/>
        </w:rPr>
        <w:fldChar w:fldCharType="separate"/>
      </w:r>
      <w:r w:rsidR="001810DD" w:rsidRPr="007F23AD">
        <w:rPr>
          <w:rFonts w:ascii="Calibri" w:hAnsi="Calibri" w:cs="Calibri"/>
          <w:noProof/>
          <w:color w:val="000000" w:themeColor="text1"/>
          <w:sz w:val="22"/>
          <w:szCs w:val="22"/>
          <w:lang w:val="en-GB"/>
        </w:rPr>
        <w:t>(Greiman 2013)</w:t>
      </w:r>
      <w:r w:rsidR="001810DD"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B66B1E" w:rsidRPr="007F23AD">
        <w:rPr>
          <w:rFonts w:ascii="Calibri" w:hAnsi="Calibri" w:cs="Calibri"/>
          <w:color w:val="000000" w:themeColor="text1"/>
          <w:sz w:val="22"/>
          <w:szCs w:val="22"/>
          <w:lang w:val="en-GB"/>
        </w:rPr>
        <w:t>It was plagued by cost overruns, design flaws, and the use of poor-quality materials.</w:t>
      </w:r>
      <w:r w:rsidRPr="007F23AD">
        <w:rPr>
          <w:rFonts w:ascii="Calibri" w:hAnsi="Calibri" w:cs="Calibri"/>
          <w:color w:val="000000" w:themeColor="text1"/>
          <w:sz w:val="22"/>
          <w:szCs w:val="22"/>
          <w:lang w:val="en-GB"/>
        </w:rPr>
        <w:t xml:space="preserve"> By understanding the </w:t>
      </w:r>
      <w:r w:rsidR="00F5422A" w:rsidRPr="007F23AD">
        <w:rPr>
          <w:rFonts w:ascii="Calibri" w:hAnsi="Calibri" w:cs="Calibri"/>
          <w:color w:val="000000" w:themeColor="text1"/>
          <w:sz w:val="22"/>
          <w:szCs w:val="22"/>
          <w:lang w:val="en-GB"/>
        </w:rPr>
        <w:t xml:space="preserve">dynamic </w:t>
      </w:r>
      <w:r w:rsidRPr="007F23AD">
        <w:rPr>
          <w:rFonts w:ascii="Calibri" w:hAnsi="Calibri" w:cs="Calibri"/>
          <w:color w:val="000000" w:themeColor="text1"/>
          <w:sz w:val="22"/>
          <w:szCs w:val="22"/>
          <w:lang w:val="en-GB"/>
        </w:rPr>
        <w:t>relationship between financial risk and other risks (e.g. procurement risk), scholars can build on this foundation to further investigate how to mitigate risks. Simulation is an appropriate option in this case, as the balance between financial risk and other risks can be understood through system dynamics.</w:t>
      </w:r>
    </w:p>
    <w:p w14:paraId="3B5E5599" w14:textId="77777777" w:rsidR="00755B3A" w:rsidRPr="007F23AD" w:rsidRDefault="00755B3A" w:rsidP="00755B3A">
      <w:pPr>
        <w:spacing w:line="480" w:lineRule="auto"/>
        <w:jc w:val="both"/>
        <w:rPr>
          <w:rFonts w:ascii="Calibri" w:hAnsi="Calibri" w:cs="Calibri"/>
          <w:color w:val="000000" w:themeColor="text1"/>
          <w:sz w:val="22"/>
          <w:szCs w:val="22"/>
          <w:lang w:val="en-GB"/>
        </w:rPr>
      </w:pPr>
    </w:p>
    <w:p w14:paraId="3E3DA7BA" w14:textId="77777777" w:rsidR="00C010F8" w:rsidRDefault="00436148" w:rsidP="00F87BD1">
      <w:pPr>
        <w:spacing w:line="480" w:lineRule="auto"/>
        <w:jc w:val="both"/>
        <w:rPr>
          <w:rFonts w:ascii="Calibri" w:hAnsi="Calibri" w:cs="Calibri"/>
          <w:color w:val="000000" w:themeColor="text1"/>
          <w:sz w:val="22"/>
          <w:szCs w:val="22"/>
          <w:lang w:val="en-GB"/>
        </w:rPr>
        <w:sectPr w:rsidR="00C010F8" w:rsidSect="002F0FBC">
          <w:pgSz w:w="11900" w:h="16840"/>
          <w:pgMar w:top="1440" w:right="1800" w:bottom="1440" w:left="1800" w:header="708" w:footer="708" w:gutter="0"/>
          <w:cols w:space="708"/>
          <w:docGrid w:linePitch="360"/>
        </w:sectPr>
      </w:pPr>
      <w:r w:rsidRPr="007F23AD">
        <w:rPr>
          <w:rFonts w:ascii="Calibri" w:hAnsi="Calibri" w:cs="Calibri"/>
          <w:color w:val="000000" w:themeColor="text1"/>
          <w:sz w:val="22"/>
          <w:szCs w:val="22"/>
          <w:lang w:val="en-GB"/>
        </w:rPr>
        <w:t>S</w:t>
      </w:r>
      <w:r w:rsidR="00B158F6" w:rsidRPr="007F23AD">
        <w:rPr>
          <w:rFonts w:ascii="Calibri" w:hAnsi="Calibri" w:cs="Calibri"/>
          <w:color w:val="000000" w:themeColor="text1"/>
          <w:sz w:val="22"/>
          <w:szCs w:val="22"/>
          <w:lang w:val="en-GB"/>
        </w:rPr>
        <w:t>ixth</w:t>
      </w:r>
      <w:r w:rsidR="00434726" w:rsidRPr="007F23AD">
        <w:rPr>
          <w:rFonts w:ascii="Calibri" w:hAnsi="Calibri" w:cs="Calibri"/>
          <w:color w:val="000000" w:themeColor="text1"/>
          <w:sz w:val="22"/>
          <w:szCs w:val="22"/>
          <w:lang w:val="en-GB"/>
        </w:rPr>
        <w:t>,</w:t>
      </w:r>
      <w:r w:rsidR="00836714" w:rsidRPr="007F23AD">
        <w:rPr>
          <w:rFonts w:hint="eastAsia"/>
          <w:color w:val="000000" w:themeColor="text1"/>
        </w:rPr>
        <w:t xml:space="preserve"> </w:t>
      </w:r>
      <w:r w:rsidR="00852D41" w:rsidRPr="007F23AD">
        <w:rPr>
          <w:rFonts w:ascii="Calibri" w:hAnsi="Calibri" w:cs="Calibri"/>
          <w:color w:val="000000" w:themeColor="text1"/>
          <w:sz w:val="22"/>
          <w:szCs w:val="22"/>
        </w:rPr>
        <w:t>this paper highlights the innovations in management styles and strategies introduced by emerging technologies. However, there is a need for a more comprehensive understanding of the opportunities and challenges that these technologies pose for construction SMEs, as their applicability to the SME context remains unclear.</w:t>
      </w:r>
      <w:r w:rsidR="00836714" w:rsidRPr="007F23AD">
        <w:rPr>
          <w:rFonts w:ascii="Calibri" w:hAnsi="Calibri" w:cs="Calibri" w:hint="eastAsia"/>
          <w:color w:val="000000" w:themeColor="text1"/>
          <w:sz w:val="22"/>
          <w:szCs w:val="22"/>
        </w:rPr>
        <w:t xml:space="preserve"> </w:t>
      </w:r>
      <w:r w:rsidR="00D43873" w:rsidRPr="007F23AD">
        <w:rPr>
          <w:rFonts w:ascii="Calibri" w:hAnsi="Calibri" w:cs="Calibri"/>
          <w:color w:val="000000" w:themeColor="text1"/>
          <w:sz w:val="22"/>
          <w:szCs w:val="22"/>
          <w:lang w:val="en-GB"/>
        </w:rPr>
        <w:t>A well-known example is the construction of the largest single-terminal airport in the world, Beijing Daxing International Airport, where BIM was used in planning, design, construction supervision, and maintenance to improve the efficiency and overall effectiveness of the project</w:t>
      </w:r>
      <w:r w:rsidR="00814FA3" w:rsidRPr="007F23AD">
        <w:rPr>
          <w:rFonts w:ascii="Calibri" w:hAnsi="Calibri" w:cs="Calibri"/>
          <w:color w:val="000000" w:themeColor="text1"/>
          <w:sz w:val="22"/>
          <w:szCs w:val="22"/>
          <w:lang w:val="en-GB"/>
        </w:rPr>
        <w:t xml:space="preserve"> </w:t>
      </w:r>
      <w:r w:rsidR="00103AD0" w:rsidRPr="007F23AD">
        <w:rPr>
          <w:rFonts w:ascii="Calibri" w:hAnsi="Calibri" w:cs="Calibri"/>
          <w:color w:val="000000" w:themeColor="text1"/>
          <w:sz w:val="22"/>
          <w:szCs w:val="22"/>
          <w:lang w:val="en-GB"/>
        </w:rPr>
        <w:fldChar w:fldCharType="begin"/>
      </w:r>
      <w:r w:rsidR="00EA57A9" w:rsidRPr="007F23AD">
        <w:rPr>
          <w:rFonts w:ascii="Calibri" w:hAnsi="Calibri" w:cs="Calibri"/>
          <w:color w:val="000000" w:themeColor="text1"/>
          <w:sz w:val="22"/>
          <w:szCs w:val="22"/>
          <w:lang w:val="en-GB"/>
        </w:rPr>
        <w:instrText xml:space="preserve"> ADDIN EN.CITE &lt;EndNote&gt;&lt;Cite&gt;&lt;Author&gt;Zhou&lt;/Author&gt;&lt;Year&gt;2024&lt;/Year&gt;&lt;RecNum&gt;1735&lt;/RecNum&gt;&lt;DisplayText&gt;(Zhou et al. 2024)&lt;/DisplayText&gt;&lt;record&gt;&lt;rec-number&gt;1735&lt;/rec-number&gt;&lt;foreign-keys&gt;&lt;key app="EN" db-id="vxw0ffesn9zzt0ewpdx5r5a3fpw92aep9re9" timestamp="1722373848" guid="c423b098-5392-403c-952c-9fe8fdb99635"&gt;1735&lt;/key&gt;&lt;/foreign-keys&gt;&lt;ref-type name="Journal Article"&gt;17&lt;/ref-type&gt;&lt;contributors&gt;&lt;authors&gt;&lt;author&gt;Zhou, Dong&lt;/author&gt;&lt;author&gt;Pei, Bida&lt;/author&gt;&lt;author&gt;Li, Xueqin&lt;/author&gt;&lt;author&gt;Jiang, Ding&lt;/author&gt;&lt;author&gt;Wen, Lin&lt;/author&gt;&lt;/authors&gt;&lt;/contributors&gt;&lt;titles&gt;&lt;title&gt;Innovative BIM technology application in the construction management of highway&lt;/title&gt;&lt;secondary-title&gt;Scientific reports&lt;/secondary-title&gt;&lt;/titles&gt;&lt;periodical&gt;&lt;full-title&gt;Scientific reports&lt;/full-title&gt;&lt;/periodical&gt;&lt;pages&gt;15298&lt;/pages&gt;&lt;volume&gt;14&lt;/volume&gt;&lt;number&gt;1&lt;/number&gt;&lt;dates&gt;&lt;year&gt;2024&lt;/year&gt;&lt;/dates&gt;&lt;isbn&gt;2045-2322&lt;/isbn&gt;&lt;urls&gt;&lt;/urls&gt;&lt;/record&gt;&lt;/Cite&gt;&lt;/EndNote&gt;</w:instrText>
      </w:r>
      <w:r w:rsidR="00103AD0" w:rsidRPr="007F23AD">
        <w:rPr>
          <w:rFonts w:ascii="Calibri" w:hAnsi="Calibri" w:cs="Calibri"/>
          <w:color w:val="000000" w:themeColor="text1"/>
          <w:sz w:val="22"/>
          <w:szCs w:val="22"/>
          <w:lang w:val="en-GB"/>
        </w:rPr>
        <w:fldChar w:fldCharType="separate"/>
      </w:r>
      <w:r w:rsidR="00103AD0" w:rsidRPr="007F23AD">
        <w:rPr>
          <w:rFonts w:ascii="Calibri" w:hAnsi="Calibri" w:cs="Calibri"/>
          <w:noProof/>
          <w:color w:val="000000" w:themeColor="text1"/>
          <w:sz w:val="22"/>
          <w:szCs w:val="22"/>
          <w:lang w:val="en-GB"/>
        </w:rPr>
        <w:t>(Zhou et al. 2024)</w:t>
      </w:r>
      <w:r w:rsidR="00103AD0" w:rsidRPr="007F23AD">
        <w:rPr>
          <w:rFonts w:ascii="Calibri" w:hAnsi="Calibri" w:cs="Calibri"/>
          <w:color w:val="000000" w:themeColor="text1"/>
          <w:sz w:val="22"/>
          <w:szCs w:val="22"/>
          <w:lang w:val="en-GB"/>
        </w:rPr>
        <w:fldChar w:fldCharType="end"/>
      </w:r>
      <w:r w:rsidR="00434726" w:rsidRPr="007F23AD">
        <w:rPr>
          <w:rFonts w:ascii="Calibri" w:hAnsi="Calibri" w:cs="Calibri"/>
          <w:color w:val="000000" w:themeColor="text1"/>
          <w:sz w:val="22"/>
          <w:szCs w:val="22"/>
          <w:lang w:val="en-GB"/>
        </w:rPr>
        <w:t>. However, for construction SMEs, it is vital to explore how these firms are using new technologies to improve sustainability and minimi</w:t>
      </w:r>
      <w:r w:rsidR="00884879" w:rsidRPr="007F23AD">
        <w:rPr>
          <w:rFonts w:ascii="Calibri" w:hAnsi="Calibri" w:cs="Calibri"/>
          <w:color w:val="000000" w:themeColor="text1"/>
          <w:sz w:val="22"/>
          <w:szCs w:val="22"/>
          <w:lang w:val="en-GB"/>
        </w:rPr>
        <w:t>s</w:t>
      </w:r>
      <w:r w:rsidR="00434726" w:rsidRPr="007F23AD">
        <w:rPr>
          <w:rFonts w:ascii="Calibri" w:hAnsi="Calibri" w:cs="Calibri"/>
          <w:color w:val="000000" w:themeColor="text1"/>
          <w:sz w:val="22"/>
          <w:szCs w:val="22"/>
          <w:lang w:val="en-GB"/>
        </w:rPr>
        <w:t>e the environmental impact of their supply chains.</w:t>
      </w:r>
      <w:r w:rsidR="00363A1D" w:rsidRPr="007F23AD">
        <w:rPr>
          <w:color w:val="000000" w:themeColor="text1"/>
        </w:rPr>
        <w:t xml:space="preserve"> </w:t>
      </w:r>
      <w:r w:rsidR="00363A1D" w:rsidRPr="007F23AD">
        <w:rPr>
          <w:rFonts w:ascii="Calibri" w:hAnsi="Calibri" w:cs="Calibri"/>
          <w:color w:val="000000" w:themeColor="text1"/>
          <w:sz w:val="22"/>
          <w:szCs w:val="22"/>
          <w:lang w:val="en-GB"/>
        </w:rPr>
        <w:t xml:space="preserve">A </w:t>
      </w:r>
      <w:r w:rsidR="00363A1D" w:rsidRPr="007F23AD">
        <w:rPr>
          <w:rFonts w:ascii="Calibri" w:hAnsi="Calibri" w:cs="Calibri"/>
          <w:color w:val="000000" w:themeColor="text1"/>
          <w:sz w:val="22"/>
          <w:szCs w:val="22"/>
          <w:lang w:val="en-GB"/>
        </w:rPr>
        <w:lastRenderedPageBreak/>
        <w:t xml:space="preserve">systematic literature review focusing on the adoption of new technology in the construction </w:t>
      </w:r>
      <w:r w:rsidR="00D51F07" w:rsidRPr="007F23AD">
        <w:rPr>
          <w:rFonts w:ascii="Calibri" w:hAnsi="Calibri" w:cs="Calibri"/>
          <w:color w:val="000000" w:themeColor="text1"/>
          <w:sz w:val="22"/>
          <w:szCs w:val="22"/>
          <w:lang w:val="en-GB"/>
        </w:rPr>
        <w:t>SMEs</w:t>
      </w:r>
      <w:r w:rsidR="00363A1D" w:rsidRPr="007F23AD">
        <w:rPr>
          <w:rFonts w:ascii="Calibri" w:hAnsi="Calibri" w:cs="Calibri"/>
          <w:color w:val="000000" w:themeColor="text1"/>
          <w:sz w:val="22"/>
          <w:szCs w:val="22"/>
          <w:lang w:val="en-GB"/>
        </w:rPr>
        <w:t xml:space="preserve"> is necessary.</w:t>
      </w:r>
    </w:p>
    <w:p w14:paraId="155440BB" w14:textId="77777777" w:rsidR="00C010F8" w:rsidRDefault="00C010F8" w:rsidP="00C010F8">
      <w:pPr>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rPr>
        <w:lastRenderedPageBreak/>
        <w:t>Table VI: Research agenda for construction SMEs supply chain risks</w:t>
      </w:r>
      <w:r w:rsidRPr="00C010F8">
        <w:rPr>
          <w:rFonts w:ascii="Calibri" w:hAnsi="Calibri" w:cs="Calibri"/>
          <w:color w:val="000000" w:themeColor="text1"/>
          <w:sz w:val="22"/>
          <w:szCs w:val="22"/>
          <w:lang w:val="en-GB"/>
        </w:rPr>
        <w:t xml:space="preserve"> </w:t>
      </w:r>
    </w:p>
    <w:p w14:paraId="5C4407F2" w14:textId="77777777" w:rsidR="00C010F8" w:rsidRDefault="00C010F8" w:rsidP="00C010F8">
      <w:pPr>
        <w:jc w:val="center"/>
        <w:rPr>
          <w:rFonts w:ascii="Calibri" w:hAnsi="Calibri" w:cs="Calibri"/>
          <w:color w:val="000000" w:themeColor="text1"/>
          <w:sz w:val="22"/>
          <w:szCs w:val="22"/>
          <w:lang w:val="en-GB"/>
        </w:rPr>
      </w:pPr>
      <w:r w:rsidRPr="003E6EF8">
        <w:rPr>
          <w:rFonts w:ascii="Calibri" w:hAnsi="Calibri" w:cs="Calibri"/>
          <w:color w:val="000000" w:themeColor="text1"/>
          <w:sz w:val="22"/>
          <w:szCs w:val="22"/>
          <w:lang w:val="en-GB"/>
        </w:rPr>
        <w:t>Source: Authors own work</w:t>
      </w:r>
    </w:p>
    <w:tbl>
      <w:tblPr>
        <w:tblStyle w:val="a6"/>
        <w:tblW w:w="0" w:type="auto"/>
        <w:tblLook w:val="04A0" w:firstRow="1" w:lastRow="0" w:firstColumn="1" w:lastColumn="0" w:noHBand="0" w:noVBand="1"/>
      </w:tblPr>
      <w:tblGrid>
        <w:gridCol w:w="3681"/>
        <w:gridCol w:w="6237"/>
        <w:gridCol w:w="4032"/>
      </w:tblGrid>
      <w:tr w:rsidR="00C010F8" w:rsidRPr="007F23AD" w14:paraId="420C516C" w14:textId="77777777" w:rsidTr="005B4EA9">
        <w:trPr>
          <w:trHeight w:val="320"/>
        </w:trPr>
        <w:tc>
          <w:tcPr>
            <w:tcW w:w="3681" w:type="dxa"/>
            <w:tcBorders>
              <w:top w:val="single" w:sz="4" w:space="0" w:color="auto"/>
              <w:left w:val="nil"/>
              <w:bottom w:val="single" w:sz="4" w:space="0" w:color="auto"/>
              <w:right w:val="nil"/>
            </w:tcBorders>
            <w:noWrap/>
            <w:hideMark/>
          </w:tcPr>
          <w:p w14:paraId="75BABE6B" w14:textId="77777777" w:rsidR="00C010F8" w:rsidRPr="007F23AD" w:rsidRDefault="00C010F8" w:rsidP="005B4EA9">
            <w:pPr>
              <w:spacing w:line="480" w:lineRule="auto"/>
              <w:jc w:val="center"/>
              <w:rPr>
                <w:rFonts w:ascii="Calibri" w:hAnsi="Calibri" w:cs="Calibri"/>
                <w:b/>
                <w:bCs/>
                <w:color w:val="000000" w:themeColor="text1"/>
                <w:sz w:val="22"/>
                <w:szCs w:val="22"/>
              </w:rPr>
            </w:pPr>
            <w:r w:rsidRPr="007F23AD">
              <w:rPr>
                <w:rFonts w:ascii="Calibri" w:hAnsi="Calibri" w:cs="Calibri" w:hint="eastAsia"/>
                <w:b/>
                <w:bCs/>
                <w:color w:val="000000" w:themeColor="text1"/>
                <w:sz w:val="22"/>
                <w:szCs w:val="22"/>
              </w:rPr>
              <w:t>Research gap</w:t>
            </w:r>
          </w:p>
        </w:tc>
        <w:tc>
          <w:tcPr>
            <w:tcW w:w="6237" w:type="dxa"/>
            <w:tcBorders>
              <w:top w:val="single" w:sz="4" w:space="0" w:color="auto"/>
              <w:left w:val="nil"/>
              <w:bottom w:val="single" w:sz="4" w:space="0" w:color="auto"/>
              <w:right w:val="nil"/>
            </w:tcBorders>
            <w:noWrap/>
            <w:hideMark/>
          </w:tcPr>
          <w:p w14:paraId="1827FAC5" w14:textId="77777777" w:rsidR="00C010F8" w:rsidRPr="007F23AD" w:rsidRDefault="00C010F8" w:rsidP="005B4EA9">
            <w:pPr>
              <w:spacing w:line="480" w:lineRule="auto"/>
              <w:jc w:val="center"/>
              <w:rPr>
                <w:rFonts w:ascii="Calibri" w:hAnsi="Calibri" w:cs="Calibri"/>
                <w:b/>
                <w:bCs/>
                <w:color w:val="000000" w:themeColor="text1"/>
                <w:sz w:val="22"/>
                <w:szCs w:val="22"/>
              </w:rPr>
            </w:pPr>
            <w:r w:rsidRPr="007F23AD">
              <w:rPr>
                <w:rFonts w:ascii="Calibri" w:hAnsi="Calibri" w:cs="Calibri"/>
                <w:b/>
                <w:bCs/>
                <w:color w:val="000000" w:themeColor="text1"/>
                <w:sz w:val="22"/>
                <w:szCs w:val="22"/>
              </w:rPr>
              <w:t xml:space="preserve">Pertinent research </w:t>
            </w:r>
            <w:r w:rsidRPr="007F23AD">
              <w:rPr>
                <w:rFonts w:ascii="Calibri" w:hAnsi="Calibri" w:cs="Calibri" w:hint="eastAsia"/>
                <w:b/>
                <w:bCs/>
                <w:color w:val="000000" w:themeColor="text1"/>
                <w:sz w:val="22"/>
                <w:szCs w:val="22"/>
              </w:rPr>
              <w:t>questions</w:t>
            </w:r>
          </w:p>
        </w:tc>
        <w:tc>
          <w:tcPr>
            <w:tcW w:w="4032" w:type="dxa"/>
            <w:tcBorders>
              <w:top w:val="single" w:sz="4" w:space="0" w:color="auto"/>
              <w:left w:val="nil"/>
              <w:bottom w:val="single" w:sz="4" w:space="0" w:color="auto"/>
              <w:right w:val="nil"/>
            </w:tcBorders>
            <w:noWrap/>
            <w:hideMark/>
          </w:tcPr>
          <w:p w14:paraId="50CC209F" w14:textId="77777777" w:rsidR="00C010F8" w:rsidRPr="007F23AD" w:rsidRDefault="00C010F8" w:rsidP="005B4EA9">
            <w:pPr>
              <w:spacing w:line="480" w:lineRule="auto"/>
              <w:jc w:val="center"/>
              <w:rPr>
                <w:rFonts w:ascii="Calibri" w:hAnsi="Calibri" w:cs="Calibri"/>
                <w:b/>
                <w:bCs/>
                <w:color w:val="000000" w:themeColor="text1"/>
                <w:sz w:val="22"/>
                <w:szCs w:val="22"/>
              </w:rPr>
            </w:pPr>
            <w:r w:rsidRPr="007F23AD">
              <w:rPr>
                <w:rFonts w:ascii="Calibri" w:hAnsi="Calibri" w:cs="Calibri"/>
                <w:b/>
                <w:bCs/>
                <w:color w:val="000000" w:themeColor="text1"/>
                <w:sz w:val="22"/>
                <w:szCs w:val="22"/>
              </w:rPr>
              <w:t>Practical implication</w:t>
            </w:r>
          </w:p>
        </w:tc>
      </w:tr>
      <w:tr w:rsidR="00C010F8" w:rsidRPr="007F23AD" w14:paraId="2C38042A" w14:textId="77777777" w:rsidTr="005B4EA9">
        <w:trPr>
          <w:trHeight w:val="320"/>
        </w:trPr>
        <w:tc>
          <w:tcPr>
            <w:tcW w:w="3681" w:type="dxa"/>
            <w:tcBorders>
              <w:top w:val="single" w:sz="4" w:space="0" w:color="auto"/>
              <w:left w:val="nil"/>
              <w:bottom w:val="single" w:sz="4" w:space="0" w:color="auto"/>
              <w:right w:val="nil"/>
            </w:tcBorders>
            <w:noWrap/>
            <w:hideMark/>
          </w:tcPr>
          <w:p w14:paraId="6D9C7805"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1.Research on Revealing Risk Interaction in Construction SMEs</w:t>
            </w:r>
          </w:p>
        </w:tc>
        <w:tc>
          <w:tcPr>
            <w:tcW w:w="6237" w:type="dxa"/>
            <w:tcBorders>
              <w:top w:val="single" w:sz="4" w:space="0" w:color="auto"/>
              <w:left w:val="nil"/>
              <w:bottom w:val="single" w:sz="4" w:space="0" w:color="auto"/>
              <w:right w:val="nil"/>
            </w:tcBorders>
            <w:noWrap/>
            <w:hideMark/>
          </w:tcPr>
          <w:p w14:paraId="26B54537"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What is the difference between risk propagation (Ripple Effect) and risk interaction among supply chain risks in construction SMEs?</w:t>
            </w:r>
          </w:p>
          <w:p w14:paraId="132D09F4" w14:textId="77777777" w:rsidR="00C010F8" w:rsidRPr="007F23AD" w:rsidRDefault="00C010F8" w:rsidP="005B4EA9">
            <w:pPr>
              <w:jc w:val="center"/>
              <w:rPr>
                <w:rFonts w:ascii="Calibri" w:hAnsi="Calibri" w:cs="Calibri"/>
                <w:color w:val="000000" w:themeColor="text1"/>
                <w:kern w:val="0"/>
                <w:sz w:val="22"/>
                <w:szCs w:val="22"/>
              </w:rPr>
            </w:pPr>
          </w:p>
          <w:p w14:paraId="41E3873E"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Which mitigation strategies are effective in managing the interaction of supply chain risks within construction SMEs?</w:t>
            </w:r>
          </w:p>
        </w:tc>
        <w:tc>
          <w:tcPr>
            <w:tcW w:w="4032" w:type="dxa"/>
            <w:tcBorders>
              <w:top w:val="single" w:sz="4" w:space="0" w:color="auto"/>
              <w:left w:val="nil"/>
              <w:bottom w:val="single" w:sz="4" w:space="0" w:color="auto"/>
              <w:right w:val="nil"/>
            </w:tcBorders>
            <w:noWrap/>
            <w:hideMark/>
          </w:tcPr>
          <w:p w14:paraId="50C838CD"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Develop comprehensive frameworks to aid construction SMEs in identifying and evaluating the potential for interactions among various risks.</w:t>
            </w:r>
          </w:p>
        </w:tc>
      </w:tr>
      <w:tr w:rsidR="00C010F8" w:rsidRPr="007F23AD" w14:paraId="5DEF9F92" w14:textId="77777777" w:rsidTr="005B4EA9">
        <w:trPr>
          <w:trHeight w:val="919"/>
        </w:trPr>
        <w:tc>
          <w:tcPr>
            <w:tcW w:w="3681" w:type="dxa"/>
            <w:tcBorders>
              <w:top w:val="single" w:sz="4" w:space="0" w:color="auto"/>
              <w:left w:val="nil"/>
              <w:bottom w:val="single" w:sz="4" w:space="0" w:color="auto"/>
              <w:right w:val="nil"/>
            </w:tcBorders>
            <w:noWrap/>
            <w:hideMark/>
          </w:tcPr>
          <w:p w14:paraId="7C04841D"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2.Systematic Work on Risk Prioritization for Construction SMEs</w:t>
            </w:r>
          </w:p>
        </w:tc>
        <w:tc>
          <w:tcPr>
            <w:tcW w:w="6237" w:type="dxa"/>
            <w:tcBorders>
              <w:top w:val="single" w:sz="4" w:space="0" w:color="auto"/>
              <w:left w:val="nil"/>
              <w:bottom w:val="single" w:sz="4" w:space="0" w:color="auto"/>
              <w:right w:val="nil"/>
            </w:tcBorders>
            <w:noWrap/>
            <w:hideMark/>
          </w:tcPr>
          <w:p w14:paraId="544D49F7"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How can the impacts of various supply chain risks be quantified and compared within the context of construction SMEs?</w:t>
            </w:r>
          </w:p>
        </w:tc>
        <w:tc>
          <w:tcPr>
            <w:tcW w:w="4032" w:type="dxa"/>
            <w:tcBorders>
              <w:top w:val="single" w:sz="4" w:space="0" w:color="auto"/>
              <w:left w:val="nil"/>
              <w:bottom w:val="single" w:sz="4" w:space="0" w:color="auto"/>
              <w:right w:val="nil"/>
            </w:tcBorders>
            <w:noWrap/>
            <w:hideMark/>
          </w:tcPr>
          <w:p w14:paraId="341B6545" w14:textId="77777777" w:rsidR="00C010F8" w:rsidRPr="007F23AD" w:rsidRDefault="00C010F8" w:rsidP="005B4EA9">
            <w:pPr>
              <w:jc w:val="center"/>
              <w:rPr>
                <w:rFonts w:ascii="Calibri" w:hAnsi="Calibri" w:cs="Calibri"/>
                <w:color w:val="000000" w:themeColor="text1"/>
                <w:kern w:val="0"/>
                <w:sz w:val="22"/>
                <w:szCs w:val="22"/>
              </w:rPr>
            </w:pPr>
            <w:r w:rsidRPr="007F23AD">
              <w:rPr>
                <w:rFonts w:ascii="Calibri" w:hAnsi="Calibri" w:cs="Calibri"/>
                <w:color w:val="000000" w:themeColor="text1"/>
                <w:sz w:val="22"/>
                <w:szCs w:val="22"/>
              </w:rPr>
              <w:t>Demonstrate to construction SMEs how to priorities risks, enabling them to focus on the most severe threats.</w:t>
            </w:r>
          </w:p>
          <w:p w14:paraId="1A08C80F" w14:textId="77777777" w:rsidR="00C010F8" w:rsidRPr="007F23AD" w:rsidRDefault="00C010F8" w:rsidP="005B4EA9">
            <w:pPr>
              <w:jc w:val="center"/>
              <w:rPr>
                <w:rFonts w:ascii="Calibri" w:hAnsi="Calibri" w:cs="Calibri"/>
                <w:color w:val="000000" w:themeColor="text1"/>
                <w:sz w:val="22"/>
                <w:szCs w:val="22"/>
              </w:rPr>
            </w:pPr>
          </w:p>
        </w:tc>
      </w:tr>
      <w:tr w:rsidR="00C010F8" w:rsidRPr="007F23AD" w14:paraId="4CCEA2B0" w14:textId="77777777" w:rsidTr="005B4EA9">
        <w:trPr>
          <w:trHeight w:val="320"/>
        </w:trPr>
        <w:tc>
          <w:tcPr>
            <w:tcW w:w="3681" w:type="dxa"/>
            <w:tcBorders>
              <w:top w:val="single" w:sz="4" w:space="0" w:color="auto"/>
              <w:left w:val="nil"/>
              <w:bottom w:val="single" w:sz="4" w:space="0" w:color="auto"/>
              <w:right w:val="nil"/>
            </w:tcBorders>
            <w:noWrap/>
          </w:tcPr>
          <w:p w14:paraId="4CC97FC0"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3.Work on Green Supply Chain Focused on Construction SMEs</w:t>
            </w:r>
          </w:p>
        </w:tc>
        <w:tc>
          <w:tcPr>
            <w:tcW w:w="6237" w:type="dxa"/>
            <w:tcBorders>
              <w:top w:val="single" w:sz="4" w:space="0" w:color="auto"/>
              <w:left w:val="nil"/>
              <w:bottom w:val="single" w:sz="4" w:space="0" w:color="auto"/>
              <w:right w:val="nil"/>
            </w:tcBorders>
            <w:noWrap/>
          </w:tcPr>
          <w:p w14:paraId="6936CF2D"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Which supply chain risks are associated with sustainable practices in construction SMEs, and how can these be effectively managed?</w:t>
            </w:r>
          </w:p>
        </w:tc>
        <w:tc>
          <w:tcPr>
            <w:tcW w:w="4032" w:type="dxa"/>
            <w:tcBorders>
              <w:top w:val="single" w:sz="4" w:space="0" w:color="auto"/>
              <w:left w:val="nil"/>
              <w:bottom w:val="single" w:sz="4" w:space="0" w:color="auto"/>
              <w:right w:val="nil"/>
            </w:tcBorders>
            <w:noWrap/>
          </w:tcPr>
          <w:p w14:paraId="76B6D6CC" w14:textId="77777777" w:rsidR="00C010F8" w:rsidRPr="007F23AD" w:rsidRDefault="00C010F8" w:rsidP="005B4EA9">
            <w:pPr>
              <w:jc w:val="center"/>
              <w:rPr>
                <w:rFonts w:ascii="Calibri" w:hAnsi="Calibri" w:cs="Calibri"/>
                <w:color w:val="000000" w:themeColor="text1"/>
                <w:kern w:val="0"/>
                <w:sz w:val="22"/>
                <w:szCs w:val="22"/>
              </w:rPr>
            </w:pPr>
            <w:r w:rsidRPr="007F23AD">
              <w:rPr>
                <w:rFonts w:ascii="Calibri" w:hAnsi="Calibri" w:cs="Calibri"/>
                <w:color w:val="000000" w:themeColor="text1"/>
                <w:sz w:val="22"/>
                <w:szCs w:val="22"/>
              </w:rPr>
              <w:t>Create a framework to guide construction SMEs in managing risks associated with the growth of a green supply chain, thus promoting sustainability, and preventing financial loss or legal issues.</w:t>
            </w:r>
          </w:p>
          <w:p w14:paraId="5F5B4E10" w14:textId="77777777" w:rsidR="00C010F8" w:rsidRPr="007F23AD" w:rsidRDefault="00C010F8" w:rsidP="005B4EA9">
            <w:pPr>
              <w:jc w:val="center"/>
              <w:rPr>
                <w:rFonts w:ascii="Calibri" w:hAnsi="Calibri" w:cs="Calibri"/>
                <w:color w:val="000000" w:themeColor="text1"/>
                <w:sz w:val="22"/>
                <w:szCs w:val="22"/>
              </w:rPr>
            </w:pPr>
          </w:p>
        </w:tc>
      </w:tr>
      <w:tr w:rsidR="00C010F8" w:rsidRPr="007F23AD" w14:paraId="02869E56" w14:textId="77777777" w:rsidTr="005B4EA9">
        <w:trPr>
          <w:trHeight w:val="320"/>
        </w:trPr>
        <w:tc>
          <w:tcPr>
            <w:tcW w:w="3681" w:type="dxa"/>
            <w:tcBorders>
              <w:top w:val="single" w:sz="4" w:space="0" w:color="auto"/>
              <w:left w:val="nil"/>
              <w:bottom w:val="single" w:sz="4" w:space="0" w:color="auto"/>
              <w:right w:val="nil"/>
            </w:tcBorders>
            <w:noWrap/>
            <w:hideMark/>
          </w:tcPr>
          <w:p w14:paraId="2E4422D7"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4.Research on Procurement Risks in Construction SMEs</w:t>
            </w:r>
          </w:p>
        </w:tc>
        <w:tc>
          <w:tcPr>
            <w:tcW w:w="6237" w:type="dxa"/>
            <w:tcBorders>
              <w:top w:val="single" w:sz="4" w:space="0" w:color="auto"/>
              <w:left w:val="nil"/>
              <w:bottom w:val="single" w:sz="4" w:space="0" w:color="auto"/>
              <w:right w:val="nil"/>
            </w:tcBorders>
            <w:noWrap/>
            <w:hideMark/>
          </w:tcPr>
          <w:p w14:paraId="06F950F9"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What is the current state of procurement practices in construction SMEs?</w:t>
            </w:r>
          </w:p>
        </w:tc>
        <w:tc>
          <w:tcPr>
            <w:tcW w:w="4032" w:type="dxa"/>
            <w:tcBorders>
              <w:top w:val="single" w:sz="4" w:space="0" w:color="auto"/>
              <w:left w:val="nil"/>
              <w:bottom w:val="single" w:sz="4" w:space="0" w:color="auto"/>
              <w:right w:val="nil"/>
            </w:tcBorders>
            <w:noWrap/>
            <w:hideMark/>
          </w:tcPr>
          <w:p w14:paraId="25A42325" w14:textId="77777777" w:rsidR="00C010F8" w:rsidRPr="007F23AD" w:rsidRDefault="00C010F8" w:rsidP="005B4EA9">
            <w:pPr>
              <w:jc w:val="center"/>
              <w:rPr>
                <w:rFonts w:ascii="Calibri" w:hAnsi="Calibri" w:cs="Calibri"/>
                <w:color w:val="000000" w:themeColor="text1"/>
                <w:kern w:val="0"/>
                <w:sz w:val="22"/>
                <w:szCs w:val="22"/>
              </w:rPr>
            </w:pPr>
            <w:r w:rsidRPr="007F23AD">
              <w:rPr>
                <w:rFonts w:ascii="Calibri" w:hAnsi="Calibri" w:cs="Calibri"/>
                <w:color w:val="000000" w:themeColor="text1"/>
                <w:sz w:val="22"/>
                <w:szCs w:val="22"/>
              </w:rPr>
              <w:t>Assist construction SMEs in formulating procurement policies that mitigate potential risks.</w:t>
            </w:r>
          </w:p>
          <w:p w14:paraId="24E50F3F" w14:textId="77777777" w:rsidR="00C010F8" w:rsidRPr="007F23AD" w:rsidRDefault="00C010F8" w:rsidP="005B4EA9">
            <w:pPr>
              <w:jc w:val="center"/>
              <w:rPr>
                <w:rFonts w:ascii="Calibri" w:hAnsi="Calibri" w:cs="Calibri"/>
                <w:color w:val="000000" w:themeColor="text1"/>
                <w:sz w:val="22"/>
                <w:szCs w:val="22"/>
              </w:rPr>
            </w:pPr>
          </w:p>
        </w:tc>
      </w:tr>
      <w:tr w:rsidR="00C010F8" w:rsidRPr="007F23AD" w14:paraId="0C51CFE7" w14:textId="77777777" w:rsidTr="005B4EA9">
        <w:trPr>
          <w:trHeight w:val="320"/>
        </w:trPr>
        <w:tc>
          <w:tcPr>
            <w:tcW w:w="3681" w:type="dxa"/>
            <w:tcBorders>
              <w:top w:val="single" w:sz="4" w:space="0" w:color="auto"/>
              <w:left w:val="nil"/>
              <w:bottom w:val="single" w:sz="4" w:space="0" w:color="auto"/>
              <w:right w:val="nil"/>
            </w:tcBorders>
            <w:noWrap/>
          </w:tcPr>
          <w:p w14:paraId="0174F06F"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5.Systematic Work on F</w:t>
            </w:r>
            <w:r w:rsidRPr="007F23AD">
              <w:rPr>
                <w:rFonts w:ascii="Calibri" w:hAnsi="Calibri" w:cs="Calibri" w:hint="eastAsia"/>
                <w:color w:val="000000" w:themeColor="text1"/>
                <w:sz w:val="22"/>
                <w:szCs w:val="22"/>
              </w:rPr>
              <w:t>i</w:t>
            </w:r>
            <w:r w:rsidRPr="007F23AD">
              <w:rPr>
                <w:rFonts w:ascii="Calibri" w:hAnsi="Calibri" w:cs="Calibri"/>
                <w:color w:val="000000" w:themeColor="text1"/>
                <w:sz w:val="22"/>
                <w:szCs w:val="22"/>
              </w:rPr>
              <w:t>nancial Risks in Construction SMEs</w:t>
            </w:r>
          </w:p>
        </w:tc>
        <w:tc>
          <w:tcPr>
            <w:tcW w:w="6237" w:type="dxa"/>
            <w:tcBorders>
              <w:top w:val="single" w:sz="4" w:space="0" w:color="auto"/>
              <w:left w:val="nil"/>
              <w:bottom w:val="single" w:sz="4" w:space="0" w:color="auto"/>
              <w:right w:val="nil"/>
            </w:tcBorders>
            <w:noWrap/>
          </w:tcPr>
          <w:p w14:paraId="7E3885B9"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 xml:space="preserve">What are the sources of finical risks in constriction SMEs and what are the consequences? </w:t>
            </w:r>
          </w:p>
        </w:tc>
        <w:tc>
          <w:tcPr>
            <w:tcW w:w="4032" w:type="dxa"/>
            <w:tcBorders>
              <w:top w:val="single" w:sz="4" w:space="0" w:color="auto"/>
              <w:left w:val="nil"/>
              <w:bottom w:val="single" w:sz="4" w:space="0" w:color="auto"/>
              <w:right w:val="nil"/>
            </w:tcBorders>
            <w:noWrap/>
          </w:tcPr>
          <w:p w14:paraId="596F1245"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 xml:space="preserve">Help construction SMEs by identify and manage potential factors that causes financial risks. </w:t>
            </w:r>
          </w:p>
          <w:p w14:paraId="151CC8D8" w14:textId="77777777" w:rsidR="00C010F8" w:rsidRPr="007F23AD" w:rsidRDefault="00C010F8" w:rsidP="005B4EA9">
            <w:pPr>
              <w:jc w:val="center"/>
              <w:rPr>
                <w:rFonts w:ascii="Calibri" w:hAnsi="Calibri" w:cs="Calibri"/>
                <w:color w:val="000000" w:themeColor="text1"/>
                <w:sz w:val="22"/>
                <w:szCs w:val="22"/>
              </w:rPr>
            </w:pPr>
          </w:p>
        </w:tc>
      </w:tr>
      <w:tr w:rsidR="00C010F8" w:rsidRPr="007F23AD" w14:paraId="7B1965A1" w14:textId="77777777" w:rsidTr="005B4EA9">
        <w:trPr>
          <w:trHeight w:val="320"/>
        </w:trPr>
        <w:tc>
          <w:tcPr>
            <w:tcW w:w="3681" w:type="dxa"/>
            <w:tcBorders>
              <w:top w:val="single" w:sz="4" w:space="0" w:color="auto"/>
              <w:left w:val="nil"/>
              <w:bottom w:val="single" w:sz="4" w:space="0" w:color="auto"/>
              <w:right w:val="nil"/>
            </w:tcBorders>
            <w:noWrap/>
            <w:hideMark/>
          </w:tcPr>
          <w:p w14:paraId="39A184B2"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6.Research on the Impact of Technology in Construction SMEs</w:t>
            </w:r>
          </w:p>
        </w:tc>
        <w:tc>
          <w:tcPr>
            <w:tcW w:w="6237" w:type="dxa"/>
            <w:tcBorders>
              <w:top w:val="single" w:sz="4" w:space="0" w:color="auto"/>
              <w:left w:val="nil"/>
              <w:bottom w:val="single" w:sz="4" w:space="0" w:color="auto"/>
              <w:right w:val="nil"/>
            </w:tcBorders>
            <w:noWrap/>
            <w:hideMark/>
          </w:tcPr>
          <w:p w14:paraId="046C67DA" w14:textId="77777777" w:rsidR="00C010F8" w:rsidRPr="007F23AD" w:rsidRDefault="00C010F8" w:rsidP="005B4EA9">
            <w:pPr>
              <w:jc w:val="center"/>
              <w:rPr>
                <w:rFonts w:ascii="Calibri" w:hAnsi="Calibri" w:cs="Calibri"/>
                <w:color w:val="000000" w:themeColor="text1"/>
                <w:sz w:val="22"/>
                <w:szCs w:val="22"/>
              </w:rPr>
            </w:pPr>
            <w:r w:rsidRPr="007F23AD">
              <w:rPr>
                <w:rFonts w:ascii="Calibri" w:hAnsi="Calibri" w:cs="Calibri"/>
                <w:color w:val="000000" w:themeColor="text1"/>
                <w:sz w:val="22"/>
                <w:szCs w:val="22"/>
              </w:rPr>
              <w:t>What are the implications of emerging technologies on the supply chain risks faced by construction SMEs, and what mitigation strategies can be implemented?</w:t>
            </w:r>
          </w:p>
        </w:tc>
        <w:tc>
          <w:tcPr>
            <w:tcW w:w="4032" w:type="dxa"/>
            <w:tcBorders>
              <w:top w:val="single" w:sz="4" w:space="0" w:color="auto"/>
              <w:left w:val="nil"/>
              <w:bottom w:val="single" w:sz="4" w:space="0" w:color="auto"/>
              <w:right w:val="nil"/>
            </w:tcBorders>
            <w:noWrap/>
            <w:hideMark/>
          </w:tcPr>
          <w:p w14:paraId="0E33FA63" w14:textId="7FF796BB" w:rsidR="00C010F8" w:rsidRPr="00C010F8" w:rsidRDefault="00C010F8" w:rsidP="00C010F8">
            <w:pPr>
              <w:jc w:val="center"/>
              <w:rPr>
                <w:rFonts w:ascii="Calibri" w:hAnsi="Calibri" w:cs="Calibri" w:hint="eastAsia"/>
                <w:color w:val="000000" w:themeColor="text1"/>
                <w:kern w:val="0"/>
                <w:sz w:val="22"/>
                <w:szCs w:val="22"/>
              </w:rPr>
            </w:pPr>
            <w:r w:rsidRPr="007F23AD">
              <w:rPr>
                <w:rFonts w:ascii="Calibri" w:hAnsi="Calibri" w:cs="Calibri"/>
                <w:color w:val="000000" w:themeColor="text1"/>
                <w:sz w:val="22"/>
                <w:szCs w:val="22"/>
              </w:rPr>
              <w:t>Provide construction SMEs with a thorough understanding of the benefits and drawbacks of new technologies</w:t>
            </w:r>
          </w:p>
        </w:tc>
      </w:tr>
    </w:tbl>
    <w:p w14:paraId="6260FE45" w14:textId="77777777" w:rsidR="00C010F8" w:rsidRDefault="00C010F8" w:rsidP="00F87BD1">
      <w:pPr>
        <w:spacing w:line="480" w:lineRule="auto"/>
        <w:jc w:val="both"/>
        <w:rPr>
          <w:rFonts w:ascii="Calibri" w:hAnsi="Calibri" w:cs="Calibri" w:hint="eastAsia"/>
          <w:color w:val="000000" w:themeColor="text1"/>
          <w:sz w:val="22"/>
          <w:szCs w:val="22"/>
          <w:lang w:val="en-GB"/>
        </w:rPr>
        <w:sectPr w:rsidR="00C010F8" w:rsidSect="00C010F8">
          <w:pgSz w:w="16840" w:h="11900" w:orient="landscape"/>
          <w:pgMar w:top="1800" w:right="1440" w:bottom="1800" w:left="1440" w:header="708" w:footer="708" w:gutter="0"/>
          <w:cols w:space="708"/>
          <w:docGrid w:linePitch="360"/>
        </w:sectPr>
      </w:pPr>
    </w:p>
    <w:p w14:paraId="39366601" w14:textId="070530E7" w:rsidR="00432CBF" w:rsidRPr="007F23AD" w:rsidRDefault="004311A1" w:rsidP="00C3226C">
      <w:pPr>
        <w:pStyle w:val="a3"/>
        <w:numPr>
          <w:ilvl w:val="0"/>
          <w:numId w:val="18"/>
        </w:num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lastRenderedPageBreak/>
        <w:t xml:space="preserve">Conclusion </w:t>
      </w:r>
    </w:p>
    <w:p w14:paraId="11C935BD" w14:textId="77777777" w:rsidR="00862835" w:rsidRPr="007F23AD" w:rsidRDefault="003731B7"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Despite the increasing number of reports on supply chain risk in the construction industry, there is considerably less research focused on SMEs. This paper aims to explore the current state of research on supply chain risk among SMEs in the construction industry and to highlight the gaps that still exist in the field. </w:t>
      </w:r>
      <w:r w:rsidR="007C196A" w:rsidRPr="007F23AD">
        <w:rPr>
          <w:rFonts w:ascii="Calibri" w:hAnsi="Calibri" w:cs="Calibri"/>
          <w:color w:val="000000" w:themeColor="text1"/>
          <w:sz w:val="22"/>
          <w:szCs w:val="22"/>
        </w:rPr>
        <w:t xml:space="preserve">By </w:t>
      </w:r>
      <w:r w:rsidR="00AF5FEA" w:rsidRPr="007F23AD">
        <w:rPr>
          <w:rFonts w:ascii="Calibri" w:hAnsi="Calibri" w:cs="Calibri"/>
          <w:color w:val="000000" w:themeColor="text1"/>
          <w:sz w:val="22"/>
          <w:szCs w:val="22"/>
          <w:lang w:val="en-GB"/>
        </w:rPr>
        <w:t>search</w:t>
      </w:r>
      <w:r w:rsidR="0092087D" w:rsidRPr="007F23AD">
        <w:rPr>
          <w:rFonts w:ascii="Calibri" w:hAnsi="Calibri" w:cs="Calibri"/>
          <w:color w:val="000000" w:themeColor="text1"/>
          <w:sz w:val="22"/>
          <w:szCs w:val="22"/>
          <w:lang w:val="en-GB"/>
        </w:rPr>
        <w:t>ing</w:t>
      </w:r>
      <w:r w:rsidR="00AF5FEA" w:rsidRPr="007F23AD">
        <w:rPr>
          <w:rFonts w:ascii="Calibri" w:hAnsi="Calibri" w:cs="Calibri"/>
          <w:color w:val="000000" w:themeColor="text1"/>
          <w:sz w:val="22"/>
          <w:szCs w:val="22"/>
          <w:lang w:val="en-GB"/>
        </w:rPr>
        <w:t xml:space="preserve"> the rated journal based on the </w:t>
      </w:r>
      <w:r w:rsidR="00ED4461" w:rsidRPr="007F23AD">
        <w:rPr>
          <w:rFonts w:ascii="Calibri" w:hAnsi="Calibri" w:cs="Calibri"/>
          <w:color w:val="000000" w:themeColor="text1"/>
          <w:sz w:val="22"/>
          <w:szCs w:val="22"/>
          <w:lang w:val="en-GB"/>
        </w:rPr>
        <w:t xml:space="preserve">AJG’s </w:t>
      </w:r>
      <w:r w:rsidR="00F87BD1" w:rsidRPr="007F23AD">
        <w:rPr>
          <w:rFonts w:ascii="Calibri" w:hAnsi="Calibri" w:cs="Calibri"/>
          <w:color w:val="000000" w:themeColor="text1"/>
          <w:sz w:val="22"/>
          <w:szCs w:val="22"/>
          <w:lang w:val="en-GB"/>
        </w:rPr>
        <w:t>ratings, this</w:t>
      </w:r>
      <w:r w:rsidR="00301750" w:rsidRPr="007F23AD">
        <w:rPr>
          <w:rFonts w:ascii="Calibri" w:hAnsi="Calibri" w:cs="Calibri"/>
          <w:color w:val="000000" w:themeColor="text1"/>
          <w:sz w:val="22"/>
          <w:szCs w:val="22"/>
          <w:lang w:val="en-GB"/>
        </w:rPr>
        <w:t xml:space="preserve"> paper </w:t>
      </w:r>
      <w:r w:rsidR="00AF5FEA" w:rsidRPr="007F23AD">
        <w:rPr>
          <w:rFonts w:ascii="Calibri" w:hAnsi="Calibri" w:cs="Calibri"/>
          <w:color w:val="000000" w:themeColor="text1"/>
          <w:sz w:val="22"/>
          <w:szCs w:val="22"/>
          <w:lang w:val="en-GB"/>
        </w:rPr>
        <w:t>then adopted thematic analysis to generate themes</w:t>
      </w:r>
      <w:r w:rsidR="001E5C8E" w:rsidRPr="007F23AD">
        <w:rPr>
          <w:rFonts w:ascii="Calibri" w:hAnsi="Calibri" w:cs="Calibri"/>
          <w:color w:val="000000" w:themeColor="text1"/>
          <w:sz w:val="22"/>
          <w:szCs w:val="22"/>
          <w:lang w:val="en-GB"/>
        </w:rPr>
        <w:t xml:space="preserve">. </w:t>
      </w:r>
      <w:r w:rsidR="005927AB" w:rsidRPr="007F23AD">
        <w:rPr>
          <w:rFonts w:ascii="Calibri" w:hAnsi="Calibri" w:cs="Calibri"/>
          <w:color w:val="000000" w:themeColor="text1"/>
          <w:sz w:val="22"/>
          <w:szCs w:val="22"/>
          <w:lang w:val="en-GB"/>
        </w:rPr>
        <w:t>This research concludes by identifying three themes</w:t>
      </w:r>
      <w:r w:rsidR="00862835" w:rsidRPr="007F23AD">
        <w:rPr>
          <w:rFonts w:ascii="Calibri" w:hAnsi="Calibri" w:cs="Calibri"/>
          <w:color w:val="000000" w:themeColor="text1"/>
          <w:sz w:val="22"/>
          <w:szCs w:val="22"/>
          <w:lang w:val="en-GB"/>
        </w:rPr>
        <w:t xml:space="preserve">: </w:t>
      </w:r>
      <w:r w:rsidR="005927AB" w:rsidRPr="007F23AD">
        <w:rPr>
          <w:rFonts w:ascii="Calibri" w:hAnsi="Calibri" w:cs="Calibri"/>
          <w:color w:val="000000" w:themeColor="text1"/>
          <w:sz w:val="22"/>
          <w:szCs w:val="22"/>
          <w:lang w:val="en-GB"/>
        </w:rPr>
        <w:t>management and strategy, operations and process, and sustainability</w:t>
      </w:r>
      <w:r w:rsidR="00862835" w:rsidRPr="007F23AD">
        <w:rPr>
          <w:rFonts w:ascii="Calibri" w:hAnsi="Calibri" w:cs="Calibri"/>
          <w:color w:val="000000" w:themeColor="text1"/>
          <w:sz w:val="22"/>
          <w:szCs w:val="22"/>
          <w:lang w:val="en-GB"/>
        </w:rPr>
        <w:t xml:space="preserve"> which</w:t>
      </w:r>
      <w:r w:rsidR="005927AB" w:rsidRPr="007F23AD">
        <w:rPr>
          <w:rFonts w:ascii="Calibri" w:hAnsi="Calibri" w:cs="Calibri"/>
          <w:color w:val="000000" w:themeColor="text1"/>
          <w:sz w:val="22"/>
          <w:szCs w:val="22"/>
          <w:lang w:val="en-GB"/>
        </w:rPr>
        <w:t xml:space="preserve"> encompass </w:t>
      </w:r>
      <w:r w:rsidR="00B60A55" w:rsidRPr="007F23AD">
        <w:rPr>
          <w:rFonts w:ascii="Calibri" w:hAnsi="Calibri" w:cs="Calibri"/>
          <w:color w:val="000000" w:themeColor="text1"/>
          <w:sz w:val="22"/>
          <w:szCs w:val="22"/>
          <w:lang w:val="en-GB"/>
        </w:rPr>
        <w:t>eight</w:t>
      </w:r>
      <w:r w:rsidR="005927AB" w:rsidRPr="007F23AD">
        <w:rPr>
          <w:rFonts w:ascii="Calibri" w:hAnsi="Calibri" w:cs="Calibri"/>
          <w:color w:val="000000" w:themeColor="text1"/>
          <w:sz w:val="22"/>
          <w:szCs w:val="22"/>
          <w:lang w:val="en-GB"/>
        </w:rPr>
        <w:t xml:space="preserve"> supply chain risks faced by construction SMEs. </w:t>
      </w:r>
    </w:p>
    <w:p w14:paraId="1CC82919" w14:textId="77777777" w:rsidR="00862835" w:rsidRPr="007F23AD" w:rsidRDefault="00862835" w:rsidP="00C3226C">
      <w:pPr>
        <w:spacing w:line="480" w:lineRule="auto"/>
        <w:jc w:val="both"/>
        <w:rPr>
          <w:rFonts w:ascii="Calibri" w:hAnsi="Calibri" w:cs="Calibri"/>
          <w:color w:val="000000" w:themeColor="text1"/>
          <w:sz w:val="22"/>
          <w:szCs w:val="22"/>
          <w:lang w:val="en-GB"/>
        </w:rPr>
      </w:pPr>
    </w:p>
    <w:p w14:paraId="7218D891" w14:textId="25981C43" w:rsidR="00CD18ED" w:rsidRPr="007F23AD" w:rsidRDefault="00395D5C"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The </w:t>
      </w:r>
      <w:r w:rsidR="00EA77CF" w:rsidRPr="007F23AD">
        <w:rPr>
          <w:rFonts w:ascii="Calibri" w:hAnsi="Calibri" w:cs="Calibri"/>
          <w:color w:val="000000" w:themeColor="text1"/>
          <w:sz w:val="22"/>
          <w:szCs w:val="22"/>
          <w:lang w:val="en-GB"/>
        </w:rPr>
        <w:t>exist</w:t>
      </w:r>
      <w:r w:rsidR="0048765D" w:rsidRPr="007F23AD">
        <w:rPr>
          <w:rFonts w:ascii="Calibri" w:hAnsi="Calibri" w:cs="Calibri"/>
          <w:color w:val="000000" w:themeColor="text1"/>
          <w:sz w:val="22"/>
          <w:szCs w:val="22"/>
          <w:lang w:val="en-GB"/>
        </w:rPr>
        <w:t>ing</w:t>
      </w:r>
      <w:r w:rsidR="00EA77CF" w:rsidRPr="007F23AD">
        <w:rPr>
          <w:rFonts w:ascii="Calibri" w:hAnsi="Calibri" w:cs="Calibri"/>
          <w:color w:val="000000" w:themeColor="text1"/>
          <w:sz w:val="22"/>
          <w:szCs w:val="22"/>
          <w:lang w:val="en-GB"/>
        </w:rPr>
        <w:t xml:space="preserve"> </w:t>
      </w:r>
      <w:r w:rsidRPr="007F23AD">
        <w:rPr>
          <w:rFonts w:ascii="Calibri" w:hAnsi="Calibri" w:cs="Calibri"/>
          <w:color w:val="000000" w:themeColor="text1"/>
          <w:sz w:val="22"/>
          <w:szCs w:val="22"/>
          <w:lang w:val="en-GB"/>
        </w:rPr>
        <w:t>literature in this paper predominantly focuses on the inherent risks faced by construction SMEs and overlooks their roles within the broader supply chain</w:t>
      </w:r>
      <w:r w:rsidR="002E5CE7" w:rsidRPr="007F23AD">
        <w:rPr>
          <w:rFonts w:ascii="Calibri" w:hAnsi="Calibri" w:cs="Calibri"/>
          <w:color w:val="000000" w:themeColor="text1"/>
          <w:sz w:val="22"/>
          <w:szCs w:val="22"/>
          <w:lang w:val="en-GB"/>
        </w:rPr>
        <w:t xml:space="preserve"> </w:t>
      </w:r>
      <w:r w:rsidR="002E5CE7" w:rsidRPr="007F23AD">
        <w:rPr>
          <w:rFonts w:ascii="Calibri" w:hAnsi="Calibri" w:cs="Calibri"/>
          <w:color w:val="000000" w:themeColor="text1"/>
          <w:sz w:val="22"/>
          <w:szCs w:val="22"/>
          <w:lang w:val="en-GB"/>
        </w:rPr>
        <w:fldChar w:fldCharType="begin"/>
      </w:r>
      <w:r w:rsidR="00726588" w:rsidRPr="007F23AD">
        <w:rPr>
          <w:rFonts w:ascii="Calibri" w:hAnsi="Calibri" w:cs="Calibri"/>
          <w:color w:val="000000" w:themeColor="text1"/>
          <w:sz w:val="22"/>
          <w:szCs w:val="22"/>
          <w:lang w:val="en-GB"/>
        </w:rPr>
        <w:instrText xml:space="preserve"> ADDIN EN.CITE &lt;EndNote&gt;&lt;Cite&gt;&lt;Author&gt;Pham&lt;/Author&gt;&lt;Year&gt;2022&lt;/Year&gt;&lt;RecNum&gt;54&lt;/RecNum&gt;&lt;DisplayText&gt;(Pham et al. 2022)&lt;/DisplayText&gt;&lt;record&gt;&lt;rec-number&gt;54&lt;/rec-number&gt;&lt;foreign-keys&gt;&lt;key app="EN" db-id="vxw0ffesn9zzt0ewpdx5r5a3fpw92aep9re9" timestamp="1683536773" guid="41b516c1-e64c-4468-9b89-dd6e88d80716"&gt;54&lt;/key&gt;&lt;/foreign-keys&gt;&lt;ref-type name="Journal Article"&gt;17&lt;/ref-type&gt;&lt;contributors&gt;&lt;authors&gt;&lt;author&gt;Pham, Hai Thanh&lt;/author&gt;&lt;author&gt;Pham, Tho&lt;/author&gt;&lt;author&gt;Truong Quang, Huy&lt;/author&gt;&lt;author&gt;Dang, Chau Ngoc&lt;/author&gt;&lt;/authors&gt;&lt;/contributors&gt;&lt;titles&gt;&lt;title&gt;Supply chain risk management research in construction: a systematic review&lt;/title&gt;&lt;secondary-title&gt;International Journal of Construction Management&lt;/secondary-title&gt;&lt;/titles&gt;&lt;periodical&gt;&lt;full-title&gt;International Journal of Construction Management&lt;/full-title&gt;&lt;/periodical&gt;&lt;pages&gt;1-11&lt;/pages&gt;&lt;dates&gt;&lt;year&gt;2022&lt;/year&gt;&lt;/dates&gt;&lt;publisher&gt;Taylor &amp;amp; Francis&lt;/publisher&gt;&lt;isbn&gt;1562-3599&lt;/isbn&gt;&lt;urls&gt;&lt;related-urls&gt;&lt;url&gt;https://doi.org/10.1080/15623599.2022.2029677&lt;/url&gt;&lt;/related-urls&gt;&lt;/urls&gt;&lt;electronic-resource-num&gt;10.1080/15623599.2022.2029677&lt;/electronic-resource-num&gt;&lt;/record&gt;&lt;/Cite&gt;&lt;/EndNote&gt;</w:instrText>
      </w:r>
      <w:r w:rsidR="002E5CE7" w:rsidRPr="007F23AD">
        <w:rPr>
          <w:rFonts w:ascii="Calibri" w:hAnsi="Calibri" w:cs="Calibri"/>
          <w:color w:val="000000" w:themeColor="text1"/>
          <w:sz w:val="22"/>
          <w:szCs w:val="22"/>
          <w:lang w:val="en-GB"/>
        </w:rPr>
        <w:fldChar w:fldCharType="separate"/>
      </w:r>
      <w:r w:rsidR="00726588" w:rsidRPr="007F23AD">
        <w:rPr>
          <w:rFonts w:ascii="Calibri" w:hAnsi="Calibri" w:cs="Calibri"/>
          <w:noProof/>
          <w:color w:val="000000" w:themeColor="text1"/>
          <w:sz w:val="22"/>
          <w:szCs w:val="22"/>
          <w:lang w:val="en-GB"/>
        </w:rPr>
        <w:t>(Pham et al. 2022)</w:t>
      </w:r>
      <w:r w:rsidR="002E5CE7" w:rsidRPr="007F23AD">
        <w:rPr>
          <w:rFonts w:ascii="Calibri" w:hAnsi="Calibri" w:cs="Calibri"/>
          <w:color w:val="000000" w:themeColor="text1"/>
          <w:sz w:val="22"/>
          <w:szCs w:val="22"/>
          <w:lang w:val="en-GB"/>
        </w:rPr>
        <w:fldChar w:fldCharType="end"/>
      </w:r>
      <w:r w:rsidRPr="007F23AD">
        <w:rPr>
          <w:rFonts w:ascii="Calibri" w:hAnsi="Calibri" w:cs="Calibri"/>
          <w:color w:val="000000" w:themeColor="text1"/>
          <w:sz w:val="22"/>
          <w:szCs w:val="22"/>
          <w:lang w:val="en-GB"/>
        </w:rPr>
        <w:t xml:space="preserve">. </w:t>
      </w:r>
      <w:r w:rsidR="00A60E6D" w:rsidRPr="007F23AD">
        <w:rPr>
          <w:rFonts w:ascii="Calibri" w:hAnsi="Calibri" w:cs="Calibri"/>
          <w:color w:val="000000" w:themeColor="text1"/>
          <w:sz w:val="22"/>
          <w:szCs w:val="22"/>
          <w:lang w:val="en-GB"/>
        </w:rPr>
        <w:t>To fill this gap, this paper systematically explores the risks faced by SMEs in the construction industry, both within their operations and in the supply chain.</w:t>
      </w:r>
      <w:r w:rsidR="00A2658B" w:rsidRPr="007F23AD">
        <w:rPr>
          <w:color w:val="000000" w:themeColor="text1"/>
        </w:rPr>
        <w:t xml:space="preserve"> </w:t>
      </w:r>
      <w:r w:rsidR="00F713C5" w:rsidRPr="007F23AD">
        <w:rPr>
          <w:rFonts w:ascii="Calibri" w:hAnsi="Calibri" w:cs="Calibri"/>
          <w:color w:val="000000" w:themeColor="text1"/>
          <w:sz w:val="22"/>
          <w:szCs w:val="22"/>
          <w:lang w:val="en-GB"/>
        </w:rPr>
        <w:t>The current literature review of construction supply chains by scholars focuses primarily on the risk management process</w:t>
      </w:r>
      <w:r w:rsidR="00EA7FB3" w:rsidRPr="007F23AD">
        <w:rPr>
          <w:rFonts w:ascii="Calibri" w:hAnsi="Calibri" w:cs="Calibri"/>
          <w:color w:val="000000" w:themeColor="text1"/>
          <w:sz w:val="22"/>
          <w:szCs w:val="22"/>
          <w:lang w:val="en-GB"/>
        </w:rPr>
        <w:t xml:space="preserve">, while providing different insights on risk delineation and mitigation specific to the construction industry. This paper highlights the differences between construction SMEs and SMEs in other </w:t>
      </w:r>
      <w:r w:rsidR="008032D5" w:rsidRPr="007F23AD">
        <w:rPr>
          <w:rFonts w:ascii="Calibri" w:hAnsi="Calibri" w:cs="Calibri" w:hint="eastAsia"/>
          <w:color w:val="000000" w:themeColor="text1"/>
          <w:sz w:val="22"/>
          <w:szCs w:val="22"/>
          <w:lang w:val="en-GB"/>
        </w:rPr>
        <w:t>in</w:t>
      </w:r>
      <w:proofErr w:type="spellStart"/>
      <w:r w:rsidR="008032D5" w:rsidRPr="007F23AD">
        <w:rPr>
          <w:rFonts w:ascii="Calibri" w:hAnsi="Calibri" w:cs="Calibri"/>
          <w:color w:val="000000" w:themeColor="text1"/>
          <w:sz w:val="22"/>
          <w:szCs w:val="22"/>
        </w:rPr>
        <w:t>dustry</w:t>
      </w:r>
      <w:proofErr w:type="spellEnd"/>
      <w:r w:rsidR="00EA7FB3" w:rsidRPr="007F23AD">
        <w:rPr>
          <w:rFonts w:ascii="Calibri" w:hAnsi="Calibri" w:cs="Calibri"/>
          <w:color w:val="000000" w:themeColor="text1"/>
          <w:sz w:val="22"/>
          <w:szCs w:val="22"/>
          <w:lang w:val="en-GB"/>
        </w:rPr>
        <w:t>, such as manufacturing and services. Our characteri</w:t>
      </w:r>
      <w:r w:rsidR="003B5285" w:rsidRPr="007F23AD">
        <w:rPr>
          <w:rFonts w:ascii="Calibri" w:hAnsi="Calibri" w:cs="Calibri" w:hint="eastAsia"/>
          <w:color w:val="000000" w:themeColor="text1"/>
          <w:sz w:val="22"/>
          <w:szCs w:val="22"/>
          <w:lang w:val="en-GB"/>
        </w:rPr>
        <w:t>s</w:t>
      </w:r>
      <w:r w:rsidR="00EA7FB3" w:rsidRPr="007F23AD">
        <w:rPr>
          <w:rFonts w:ascii="Calibri" w:hAnsi="Calibri" w:cs="Calibri"/>
          <w:color w:val="000000" w:themeColor="text1"/>
          <w:sz w:val="22"/>
          <w:szCs w:val="22"/>
          <w:lang w:val="en-GB"/>
        </w:rPr>
        <w:t>ation of the research objectives defines a research framework that can be applied more broadly to other industries.</w:t>
      </w:r>
    </w:p>
    <w:p w14:paraId="30149982" w14:textId="77777777" w:rsidR="00CD18ED" w:rsidRPr="007F23AD" w:rsidRDefault="00CD18ED" w:rsidP="00C3226C">
      <w:pPr>
        <w:spacing w:line="480" w:lineRule="auto"/>
        <w:jc w:val="both"/>
        <w:rPr>
          <w:rFonts w:ascii="Calibri" w:hAnsi="Calibri" w:cs="Calibri"/>
          <w:color w:val="000000" w:themeColor="text1"/>
          <w:sz w:val="22"/>
          <w:szCs w:val="22"/>
          <w:lang w:val="en-GB"/>
        </w:rPr>
      </w:pPr>
    </w:p>
    <w:p w14:paraId="05C3A5E4" w14:textId="2BC89A0E" w:rsidR="0038627E" w:rsidRPr="007F23AD" w:rsidRDefault="00FC5935" w:rsidP="003E45AB">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Another</w:t>
      </w:r>
      <w:r w:rsidR="00D42FF8" w:rsidRPr="007F23AD">
        <w:rPr>
          <w:rFonts w:ascii="Calibri" w:hAnsi="Calibri" w:cs="Calibri"/>
          <w:color w:val="000000" w:themeColor="text1"/>
          <w:sz w:val="22"/>
          <w:szCs w:val="22"/>
          <w:lang w:val="en-GB"/>
        </w:rPr>
        <w:t xml:space="preserve"> scholarly contribution</w:t>
      </w:r>
      <w:r w:rsidRPr="007F23AD">
        <w:rPr>
          <w:rFonts w:ascii="Calibri" w:hAnsi="Calibri" w:cs="Calibri"/>
          <w:color w:val="000000" w:themeColor="text1"/>
          <w:sz w:val="22"/>
          <w:szCs w:val="22"/>
          <w:lang w:val="en-GB"/>
        </w:rPr>
        <w:t xml:space="preserve"> of this study is to summarise the supply chain risks specific to SMEs in the construction industry. The study clearly distinguishes between the impact of these risks on SMEs and large enterprises. In addition, by exploring the daily operations and processes of construction SMEs and their management strategies, this paper reveals that traditional risk management frameworks are inadequate to meet the nuanced needs of construction SMEs. Scholars should first segment specific construction subsectors, such as </w:t>
      </w:r>
      <w:r w:rsidRPr="007F23AD">
        <w:rPr>
          <w:rFonts w:ascii="Calibri" w:hAnsi="Calibri" w:cs="Calibri"/>
          <w:color w:val="000000" w:themeColor="text1"/>
          <w:sz w:val="22"/>
          <w:szCs w:val="22"/>
          <w:lang w:val="en-GB"/>
        </w:rPr>
        <w:lastRenderedPageBreak/>
        <w:t>home building and renovation. By conducting empirical studies on target firms in these subsectors and exploring the practical problems they encounter, a suitable management framework for construction SMEs can be further developed.</w:t>
      </w:r>
      <w:r w:rsidR="000504E8" w:rsidRPr="007F23AD">
        <w:rPr>
          <w:rFonts w:ascii="Calibri" w:hAnsi="Calibri" w:cs="Calibri"/>
          <w:color w:val="000000" w:themeColor="text1"/>
          <w:sz w:val="22"/>
          <w:szCs w:val="22"/>
          <w:lang w:val="en-GB"/>
        </w:rPr>
        <w:t xml:space="preserve"> </w:t>
      </w:r>
    </w:p>
    <w:p w14:paraId="7FCBF42C" w14:textId="77777777" w:rsidR="0038627E" w:rsidRPr="007F23AD" w:rsidRDefault="0038627E" w:rsidP="003E45AB">
      <w:pPr>
        <w:spacing w:line="480" w:lineRule="auto"/>
        <w:jc w:val="both"/>
        <w:rPr>
          <w:rFonts w:ascii="Calibri" w:hAnsi="Calibri" w:cs="Calibri"/>
          <w:color w:val="000000" w:themeColor="text1"/>
          <w:sz w:val="22"/>
          <w:szCs w:val="22"/>
          <w:lang w:val="en-GB"/>
        </w:rPr>
      </w:pPr>
    </w:p>
    <w:p w14:paraId="79990B4C" w14:textId="3DBFBD3F" w:rsidR="0038627E" w:rsidRPr="007F23AD" w:rsidRDefault="0038627E" w:rsidP="003E45AB">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The practical significance of this paper is to provide SMEs with a comprehensive framework for identifying and categorising risks associated with management and strategy, operation and process, and sustainability in the construction industry. This framework can be used by SMEs to systematically assess potential risks at all stages of a project, leading to more proactive risk management. SMEs can develop more comprehensive strategies for resources control and contract management. Furthermore, SMEs can achieve operational improvements through the implementation of advanced project management tools and techniques. Finally, SMEs can enhance their competitiveness by integrating sustainability into their normal management processes.</w:t>
      </w:r>
    </w:p>
    <w:p w14:paraId="3A4816A9" w14:textId="77777777" w:rsidR="0038627E" w:rsidRPr="007F23AD" w:rsidRDefault="0038627E" w:rsidP="003E45AB">
      <w:pPr>
        <w:spacing w:line="480" w:lineRule="auto"/>
        <w:jc w:val="both"/>
        <w:rPr>
          <w:rFonts w:ascii="Calibri" w:hAnsi="Calibri" w:cs="Calibri"/>
          <w:color w:val="000000" w:themeColor="text1"/>
          <w:sz w:val="22"/>
          <w:szCs w:val="22"/>
          <w:lang w:val="en-GB"/>
        </w:rPr>
      </w:pPr>
    </w:p>
    <w:p w14:paraId="56EB901C" w14:textId="50559E80" w:rsidR="005F69BB" w:rsidRPr="007F23AD" w:rsidRDefault="00AF7DF3" w:rsidP="003E45AB">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For policymakers, construction SMEs can be supported through regulatory reforms, financial incentives, and education and communication programmes. Specifically, policymakers can adopt more simplified and transparent standard contract management procedures to reduce the waste of time and resources associated with complex steps. In addition, financial incentives and support, such as low-interest loans and tax incentive subsidies, can be actively provided. Finally, the awareness and capacity of SMEs to apply modern risk management tools and techniques can be enhanced through educational programmes. Also, peer-to-peer support sessions can be conducted to promote information exchange among construction SMEs.</w:t>
      </w:r>
      <w:r w:rsidR="001102A4" w:rsidRPr="007F23AD">
        <w:rPr>
          <w:rFonts w:ascii="Calibri" w:hAnsi="Calibri" w:cs="Calibri"/>
          <w:color w:val="000000" w:themeColor="text1"/>
          <w:sz w:val="22"/>
          <w:szCs w:val="22"/>
          <w:lang w:val="en-GB"/>
        </w:rPr>
        <w:t xml:space="preserve"> </w:t>
      </w:r>
    </w:p>
    <w:p w14:paraId="303A9159" w14:textId="77777777" w:rsidR="00A009F9" w:rsidRPr="007F23AD" w:rsidRDefault="00A009F9" w:rsidP="00C3226C">
      <w:pPr>
        <w:spacing w:line="480" w:lineRule="auto"/>
        <w:jc w:val="both"/>
        <w:rPr>
          <w:rFonts w:ascii="Calibri" w:hAnsi="Calibri" w:cs="Calibri"/>
          <w:color w:val="000000" w:themeColor="text1"/>
          <w:sz w:val="22"/>
          <w:szCs w:val="22"/>
          <w:lang w:val="en-GB"/>
        </w:rPr>
      </w:pPr>
    </w:p>
    <w:p w14:paraId="4228B9FF" w14:textId="507D7561" w:rsidR="00BC6613" w:rsidRPr="007F23AD" w:rsidRDefault="00432CBF"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 xml:space="preserve">While this </w:t>
      </w:r>
      <w:r w:rsidR="0031760F" w:rsidRPr="007F23AD">
        <w:rPr>
          <w:rFonts w:ascii="Calibri" w:hAnsi="Calibri" w:cs="Calibri"/>
          <w:color w:val="000000" w:themeColor="text1"/>
          <w:sz w:val="22"/>
          <w:szCs w:val="22"/>
          <w:lang w:val="en-GB"/>
        </w:rPr>
        <w:t>paper</w:t>
      </w:r>
      <w:r w:rsidRPr="007F23AD">
        <w:rPr>
          <w:rFonts w:ascii="Calibri" w:hAnsi="Calibri" w:cs="Calibri"/>
          <w:color w:val="000000" w:themeColor="text1"/>
          <w:sz w:val="22"/>
          <w:szCs w:val="22"/>
          <w:lang w:val="en-GB"/>
        </w:rPr>
        <w:t xml:space="preserve"> identified supply chain risks at construction </w:t>
      </w:r>
      <w:r w:rsidR="0031760F" w:rsidRPr="007F23AD">
        <w:rPr>
          <w:rFonts w:ascii="Calibri" w:hAnsi="Calibri" w:cs="Calibri"/>
          <w:color w:val="000000" w:themeColor="text1"/>
          <w:sz w:val="22"/>
          <w:szCs w:val="22"/>
          <w:lang w:val="en-GB"/>
        </w:rPr>
        <w:t>SMEs</w:t>
      </w:r>
      <w:r w:rsidRPr="007F23AD">
        <w:rPr>
          <w:rFonts w:ascii="Calibri" w:hAnsi="Calibri" w:cs="Calibri"/>
          <w:color w:val="000000" w:themeColor="text1"/>
          <w:sz w:val="22"/>
          <w:szCs w:val="22"/>
          <w:lang w:val="en-GB"/>
        </w:rPr>
        <w:t xml:space="preserve"> and presented possible </w:t>
      </w:r>
      <w:r w:rsidR="0031760F" w:rsidRPr="007F23AD">
        <w:rPr>
          <w:rFonts w:ascii="Calibri" w:hAnsi="Calibri" w:cs="Calibri"/>
          <w:color w:val="000000" w:themeColor="text1"/>
          <w:sz w:val="22"/>
          <w:szCs w:val="22"/>
          <w:lang w:val="en-GB"/>
        </w:rPr>
        <w:t>research directions</w:t>
      </w:r>
      <w:r w:rsidRPr="007F23AD">
        <w:rPr>
          <w:rFonts w:ascii="Calibri" w:hAnsi="Calibri" w:cs="Calibri"/>
          <w:color w:val="000000" w:themeColor="text1"/>
          <w:sz w:val="22"/>
          <w:szCs w:val="22"/>
          <w:lang w:val="en-GB"/>
        </w:rPr>
        <w:t xml:space="preserve">. However, some limitations remain. First, </w:t>
      </w:r>
      <w:r w:rsidR="0031760F" w:rsidRPr="007F23AD">
        <w:rPr>
          <w:rFonts w:ascii="Calibri" w:hAnsi="Calibri" w:cs="Calibri"/>
          <w:color w:val="000000" w:themeColor="text1"/>
          <w:sz w:val="22"/>
          <w:szCs w:val="22"/>
          <w:lang w:val="en-GB"/>
        </w:rPr>
        <w:t xml:space="preserve">only </w:t>
      </w:r>
      <w:r w:rsidRPr="007F23AD">
        <w:rPr>
          <w:rFonts w:ascii="Calibri" w:hAnsi="Calibri" w:cs="Calibri"/>
          <w:color w:val="000000" w:themeColor="text1"/>
          <w:sz w:val="22"/>
          <w:szCs w:val="22"/>
          <w:lang w:val="en-GB"/>
        </w:rPr>
        <w:t xml:space="preserve">few numbers of studies that </w:t>
      </w:r>
      <w:r w:rsidRPr="007F23AD">
        <w:rPr>
          <w:rFonts w:ascii="Calibri" w:hAnsi="Calibri" w:cs="Calibri"/>
          <w:color w:val="000000" w:themeColor="text1"/>
          <w:sz w:val="22"/>
          <w:szCs w:val="22"/>
          <w:lang w:val="en-GB"/>
        </w:rPr>
        <w:lastRenderedPageBreak/>
        <w:t xml:space="preserve">have focused on supply chain risk in construction </w:t>
      </w:r>
      <w:r w:rsidR="0031760F" w:rsidRPr="007F23AD">
        <w:rPr>
          <w:rFonts w:ascii="Calibri" w:hAnsi="Calibri" w:cs="Calibri"/>
          <w:color w:val="000000" w:themeColor="text1"/>
          <w:sz w:val="22"/>
          <w:szCs w:val="22"/>
          <w:lang w:val="en-GB"/>
        </w:rPr>
        <w:t>SMEs</w:t>
      </w:r>
      <w:r w:rsidRPr="007F23AD">
        <w:rPr>
          <w:rFonts w:ascii="Calibri" w:hAnsi="Calibri" w:cs="Calibri"/>
          <w:color w:val="000000" w:themeColor="text1"/>
          <w:sz w:val="22"/>
          <w:szCs w:val="22"/>
          <w:lang w:val="en-GB"/>
        </w:rPr>
        <w:t xml:space="preserve"> may have impacted the richness of the literature.</w:t>
      </w:r>
      <w:r w:rsidR="00A26C6E" w:rsidRPr="007F23AD">
        <w:rPr>
          <w:rFonts w:ascii="Calibri" w:hAnsi="Calibri" w:cs="Calibri"/>
          <w:color w:val="000000" w:themeColor="text1"/>
          <w:sz w:val="22"/>
          <w:szCs w:val="22"/>
        </w:rPr>
        <w:t xml:space="preserve"> </w:t>
      </w:r>
      <w:r w:rsidR="00647F56" w:rsidRPr="007F23AD">
        <w:rPr>
          <w:rFonts w:ascii="Calibri" w:hAnsi="Calibri" w:cs="Calibri"/>
          <w:color w:val="000000" w:themeColor="text1"/>
          <w:sz w:val="22"/>
          <w:szCs w:val="22"/>
        </w:rPr>
        <w:t>Second, the structured literature review methodology deliberately focuses on academic journal articles listed in the ABS to ensure the quality of the reviewed publication. While</w:t>
      </w:r>
      <w:r w:rsidR="00A26C6E" w:rsidRPr="007F23AD">
        <w:rPr>
          <w:rFonts w:ascii="Calibri" w:hAnsi="Calibri" w:cs="Calibri"/>
          <w:color w:val="000000" w:themeColor="text1"/>
          <w:sz w:val="22"/>
          <w:szCs w:val="22"/>
        </w:rPr>
        <w:t xml:space="preserve"> the structured literature review methodology</w:t>
      </w:r>
      <w:r w:rsidR="005F7D20" w:rsidRPr="007F23AD">
        <w:rPr>
          <w:rFonts w:ascii="Calibri" w:hAnsi="Calibri" w:cs="Calibri"/>
          <w:color w:val="000000" w:themeColor="text1"/>
          <w:sz w:val="22"/>
          <w:szCs w:val="22"/>
        </w:rPr>
        <w:t xml:space="preserve"> with ABS</w:t>
      </w:r>
      <w:r w:rsidR="00A26C6E" w:rsidRPr="007F23AD">
        <w:rPr>
          <w:rFonts w:ascii="Calibri" w:hAnsi="Calibri" w:cs="Calibri"/>
          <w:color w:val="000000" w:themeColor="text1"/>
          <w:sz w:val="22"/>
          <w:szCs w:val="22"/>
        </w:rPr>
        <w:t xml:space="preserve"> has been well used </w:t>
      </w:r>
      <w:r w:rsidR="003C41D4" w:rsidRPr="007F23AD">
        <w:rPr>
          <w:rFonts w:ascii="Calibri" w:hAnsi="Calibri" w:cs="Calibri"/>
          <w:color w:val="000000" w:themeColor="text1"/>
          <w:sz w:val="22"/>
          <w:szCs w:val="22"/>
        </w:rPr>
        <w:t xml:space="preserve"> </w:t>
      </w:r>
      <w:r w:rsidR="003C41D4" w:rsidRPr="007F23AD">
        <w:rPr>
          <w:rFonts w:ascii="Calibri" w:hAnsi="Calibri" w:cs="Calibri"/>
          <w:color w:val="000000" w:themeColor="text1"/>
          <w:sz w:val="22"/>
          <w:szCs w:val="22"/>
        </w:rPr>
        <w:fldChar w:fldCharType="begin"/>
      </w:r>
      <w:r w:rsidR="003C41D4" w:rsidRPr="007F23AD">
        <w:rPr>
          <w:rFonts w:ascii="Calibri" w:hAnsi="Calibri" w:cs="Calibri"/>
          <w:color w:val="000000" w:themeColor="text1"/>
          <w:sz w:val="22"/>
          <w:szCs w:val="22"/>
        </w:rPr>
        <w:instrText xml:space="preserve"> ADDIN EN.CITE &lt;EndNote&gt;&lt;Cite&gt;&lt;Author&gt;Gosling&lt;/Author&gt;&lt;Year&gt;2009&lt;/Year&gt;&lt;RecNum&gt;308&lt;/RecNum&gt;&lt;DisplayText&gt;(Gosling and Naim 2009)&lt;/DisplayText&gt;&lt;record&gt;&lt;rec-number&gt;308&lt;/rec-number&gt;&lt;foreign-keys&gt;&lt;key app="EN" db-id="vxw0ffesn9zzt0ewpdx5r5a3fpw92aep9re9" timestamp="1683537976" guid="9ece3df2-70c4-45a1-bb98-db336bb4f11a"&gt;308&lt;/key&gt;&lt;/foreign-keys&gt;&lt;ref-type name="Journal Article"&gt;17&lt;/ref-type&gt;&lt;contributors&gt;&lt;authors&gt;&lt;author&gt;Gosling, Jonathan&lt;/author&gt;&lt;author&gt;Naim, Mohamed M.&lt;/author&gt;&lt;/authors&gt;&lt;/contributors&gt;&lt;titles&gt;&lt;title&gt;Engineer-to-order supply chain management: A literature review and research agenda&lt;/title&gt;&lt;secondary-title&gt;International Journal of Production Economics&lt;/secondary-title&gt;&lt;/titles&gt;&lt;periodical&gt;&lt;full-title&gt;International Journal of Production Economics&lt;/full-title&gt;&lt;/periodical&gt;&lt;pages&gt;741-754&lt;/pages&gt;&lt;volume&gt;122&lt;/volume&gt;&lt;number&gt;2&lt;/number&gt;&lt;keywords&gt;&lt;keyword&gt;Engineer-to-order&lt;/keyword&gt;&lt;keyword&gt;Project&lt;/keyword&gt;&lt;keyword&gt;One-of-a-kind&lt;/keyword&gt;&lt;keyword&gt;Supply chain&lt;/keyword&gt;&lt;keyword&gt;Literature review&lt;/keyword&gt;&lt;/keywords&gt;&lt;dates&gt;&lt;year&gt;2009&lt;/year&gt;&lt;pub-dates&gt;&lt;date&gt;2009/12/01/&lt;/date&gt;&lt;/pub-dates&gt;&lt;/dates&gt;&lt;isbn&gt;0925-5273&lt;/isbn&gt;&lt;urls&gt;&lt;related-urls&gt;&lt;url&gt;https://www.sciencedirect.com/science/article/pii/S0925527309002394&lt;/url&gt;&lt;/related-urls&gt;&lt;/urls&gt;&lt;electronic-resource-num&gt;https://doi.org/10.1016/j.ijpe.2009.07.002&lt;/electronic-resource-num&gt;&lt;/record&gt;&lt;/Cite&gt;&lt;/EndNote&gt;</w:instrText>
      </w:r>
      <w:r w:rsidR="003C41D4" w:rsidRPr="007F23AD">
        <w:rPr>
          <w:rFonts w:ascii="Calibri" w:hAnsi="Calibri" w:cs="Calibri"/>
          <w:color w:val="000000" w:themeColor="text1"/>
          <w:sz w:val="22"/>
          <w:szCs w:val="22"/>
        </w:rPr>
        <w:fldChar w:fldCharType="separate"/>
      </w:r>
      <w:r w:rsidR="003C41D4" w:rsidRPr="007F23AD">
        <w:rPr>
          <w:rFonts w:ascii="Calibri" w:hAnsi="Calibri" w:cs="Calibri"/>
          <w:noProof/>
          <w:color w:val="000000" w:themeColor="text1"/>
          <w:sz w:val="22"/>
          <w:szCs w:val="22"/>
        </w:rPr>
        <w:t>(Gosling and Naim 2009)</w:t>
      </w:r>
      <w:r w:rsidR="003C41D4" w:rsidRPr="007F23AD">
        <w:rPr>
          <w:rFonts w:ascii="Calibri" w:hAnsi="Calibri" w:cs="Calibri"/>
          <w:color w:val="000000" w:themeColor="text1"/>
          <w:sz w:val="22"/>
          <w:szCs w:val="22"/>
        </w:rPr>
        <w:fldChar w:fldCharType="end"/>
      </w:r>
      <w:r w:rsidR="00A26C6E" w:rsidRPr="007F23AD">
        <w:rPr>
          <w:rFonts w:ascii="Calibri" w:hAnsi="Calibri" w:cs="Calibri"/>
          <w:color w:val="000000" w:themeColor="text1"/>
          <w:sz w:val="22"/>
          <w:szCs w:val="22"/>
        </w:rPr>
        <w:t xml:space="preserve">, other methodologies such as the systematic literature review </w:t>
      </w:r>
      <w:r w:rsidR="00A26C6E" w:rsidRPr="007F23AD">
        <w:rPr>
          <w:rFonts w:ascii="Calibri" w:hAnsi="Calibri" w:cs="Calibri"/>
          <w:color w:val="000000" w:themeColor="text1"/>
          <w:sz w:val="22"/>
          <w:szCs w:val="22"/>
        </w:rPr>
        <w:fldChar w:fldCharType="begin"/>
      </w:r>
      <w:r w:rsidR="00A26C6E" w:rsidRPr="007F23AD">
        <w:rPr>
          <w:rFonts w:ascii="Calibri" w:hAnsi="Calibri" w:cs="Calibri"/>
          <w:color w:val="000000" w:themeColor="text1"/>
          <w:sz w:val="22"/>
          <w:szCs w:val="22"/>
        </w:rPr>
        <w:instrText xml:space="preserve"> ADDIN EN.CITE &lt;EndNote&gt;&lt;Cite&gt;&lt;Author&gt;Tranfield&lt;/Author&gt;&lt;Year&gt;2003&lt;/Year&gt;&lt;RecNum&gt;284&lt;/RecNum&gt;&lt;DisplayText&gt;(Tranfield et al. 2003)&lt;/DisplayText&gt;&lt;record&gt;&lt;rec-number&gt;284&lt;/rec-number&gt;&lt;foreign-keys&gt;&lt;key app="EN" db-id="vxw0ffesn9zzt0ewpdx5r5a3fpw92aep9re9" timestamp="1683537899" guid="18125d50-125c-4c1c-bb71-27f0546b2a1c"&gt;284&lt;/key&gt;&lt;/foreign-keys&gt;&lt;ref-type name="Journal Article"&gt;17&lt;/ref-type&gt;&lt;contributors&gt;&lt;authors&gt;&lt;author&gt;Tranfield, David&lt;/author&gt;&lt;author&gt;Denyer, David&lt;/author&gt;&lt;author&gt;Smart, Palminder&lt;/author&gt;&lt;/authors&gt;&lt;/contributors&gt;&lt;titles&gt;&lt;title&gt;Towards a Methodology for Developing Evidence-Informed Management Knowledge by Means of Systematic Review&lt;/title&gt;&lt;secondary-title&gt;British Journal of Management&lt;/secondary-title&gt;&lt;/titles&gt;&lt;periodical&gt;&lt;full-title&gt;British Journal of Management&lt;/full-title&gt;&lt;/periodical&gt;&lt;pages&gt;207-222&lt;/pages&gt;&lt;volume&gt;14&lt;/volume&gt;&lt;dates&gt;&lt;year&gt;2003&lt;/year&gt;&lt;pub-dates&gt;&lt;date&gt;09/01&lt;/date&gt;&lt;/pub-dates&gt;&lt;/dates&gt;&lt;urls&gt;&lt;/urls&gt;&lt;electronic-resource-num&gt;10.1111/1467-8551.00375&lt;/electronic-resource-num&gt;&lt;/record&gt;&lt;/Cite&gt;&lt;/EndNote&gt;</w:instrText>
      </w:r>
      <w:r w:rsidR="00A26C6E" w:rsidRPr="007F23AD">
        <w:rPr>
          <w:rFonts w:ascii="Calibri" w:hAnsi="Calibri" w:cs="Calibri"/>
          <w:color w:val="000000" w:themeColor="text1"/>
          <w:sz w:val="22"/>
          <w:szCs w:val="22"/>
        </w:rPr>
        <w:fldChar w:fldCharType="separate"/>
      </w:r>
      <w:r w:rsidR="00A26C6E" w:rsidRPr="007F23AD">
        <w:rPr>
          <w:rFonts w:ascii="Calibri" w:hAnsi="Calibri" w:cs="Calibri"/>
          <w:noProof/>
          <w:color w:val="000000" w:themeColor="text1"/>
          <w:sz w:val="22"/>
          <w:szCs w:val="22"/>
        </w:rPr>
        <w:t>(Tranfield et al. 2003)</w:t>
      </w:r>
      <w:r w:rsidR="00A26C6E" w:rsidRPr="007F23AD">
        <w:rPr>
          <w:rFonts w:ascii="Calibri" w:hAnsi="Calibri" w:cs="Calibri"/>
          <w:color w:val="000000" w:themeColor="text1"/>
          <w:sz w:val="22"/>
          <w:szCs w:val="22"/>
        </w:rPr>
        <w:fldChar w:fldCharType="end"/>
      </w:r>
      <w:r w:rsidR="00A26C6E" w:rsidRPr="007F23AD">
        <w:rPr>
          <w:rFonts w:ascii="Calibri" w:hAnsi="Calibri" w:cs="Calibri"/>
          <w:color w:val="000000" w:themeColor="text1"/>
          <w:sz w:val="22"/>
          <w:szCs w:val="22"/>
        </w:rPr>
        <w:t xml:space="preserve"> could potentially produce a wider range of results, albeit with output quality tools</w:t>
      </w:r>
      <w:r w:rsidR="003C41D4" w:rsidRPr="007F23AD">
        <w:rPr>
          <w:rFonts w:ascii="Calibri" w:hAnsi="Calibri" w:cs="Calibri"/>
          <w:color w:val="000000" w:themeColor="text1"/>
          <w:sz w:val="22"/>
          <w:szCs w:val="22"/>
        </w:rPr>
        <w:t>.</w:t>
      </w:r>
      <w:r w:rsidR="00D5155A" w:rsidRPr="007F23AD">
        <w:rPr>
          <w:rFonts w:ascii="Calibri" w:hAnsi="Calibri" w:cs="Calibri"/>
          <w:color w:val="000000" w:themeColor="text1"/>
          <w:sz w:val="22"/>
          <w:szCs w:val="22"/>
        </w:rPr>
        <w:t xml:space="preserve"> </w:t>
      </w:r>
    </w:p>
    <w:p w14:paraId="6F201DB6" w14:textId="114709A1" w:rsidR="004628B3" w:rsidRPr="007F23AD" w:rsidRDefault="004628B3">
      <w:pP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br w:type="page"/>
      </w:r>
    </w:p>
    <w:p w14:paraId="6D493150" w14:textId="77777777" w:rsidR="00FA14C1" w:rsidRPr="007F23AD" w:rsidRDefault="00FA14C1">
      <w:pPr>
        <w:rPr>
          <w:rFonts w:ascii="Calibri" w:hAnsi="Calibri" w:cs="Calibri" w:hint="eastAsia"/>
          <w:color w:val="000000" w:themeColor="text1"/>
          <w:sz w:val="22"/>
          <w:szCs w:val="22"/>
          <w:lang w:val="en-GB"/>
        </w:rPr>
      </w:pPr>
    </w:p>
    <w:p w14:paraId="19E51324" w14:textId="61D45BE5" w:rsidR="00BC6613" w:rsidRDefault="00FA14C1" w:rsidP="004628B3">
      <w:pPr>
        <w:jc w:val="center"/>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t>Appendix: Distribution of articles across AJG-rated journals</w:t>
      </w:r>
    </w:p>
    <w:p w14:paraId="29200FCF" w14:textId="63EE3EB0" w:rsidR="00C010F8" w:rsidRPr="003C2737" w:rsidRDefault="00C010F8" w:rsidP="00C010F8">
      <w:pPr>
        <w:jc w:val="center"/>
        <w:rPr>
          <w:rFonts w:ascii="Calibri" w:hAnsi="Calibri" w:cs="Calibri"/>
          <w:color w:val="000000" w:themeColor="text1"/>
          <w:sz w:val="22"/>
          <w:szCs w:val="22"/>
        </w:rPr>
      </w:pPr>
      <w:r w:rsidRPr="003E6EF8">
        <w:rPr>
          <w:rFonts w:ascii="Calibri" w:hAnsi="Calibri" w:cs="Calibri"/>
          <w:color w:val="000000" w:themeColor="text1"/>
          <w:sz w:val="22"/>
          <w:szCs w:val="22"/>
          <w:lang w:val="en-GB"/>
        </w:rPr>
        <w:t>Source: Authors own work</w:t>
      </w:r>
    </w:p>
    <w:tbl>
      <w:tblPr>
        <w:tblW w:w="0" w:type="auto"/>
        <w:tblLayout w:type="fixed"/>
        <w:tblLook w:val="04A0" w:firstRow="1" w:lastRow="0" w:firstColumn="1" w:lastColumn="0" w:noHBand="0" w:noVBand="1"/>
      </w:tblPr>
      <w:tblGrid>
        <w:gridCol w:w="567"/>
        <w:gridCol w:w="5163"/>
        <w:gridCol w:w="746"/>
        <w:gridCol w:w="612"/>
        <w:gridCol w:w="137"/>
        <w:gridCol w:w="1075"/>
      </w:tblGrid>
      <w:tr w:rsidR="007F23AD" w:rsidRPr="007F23AD" w14:paraId="3D05856B" w14:textId="77777777" w:rsidTr="004628B3">
        <w:trPr>
          <w:trHeight w:val="320"/>
        </w:trPr>
        <w:tc>
          <w:tcPr>
            <w:tcW w:w="567" w:type="dxa"/>
            <w:tcBorders>
              <w:top w:val="nil"/>
              <w:left w:val="nil"/>
              <w:bottom w:val="nil"/>
              <w:right w:val="nil"/>
            </w:tcBorders>
            <w:shd w:val="clear" w:color="auto" w:fill="auto"/>
            <w:noWrap/>
            <w:hideMark/>
          </w:tcPr>
          <w:p w14:paraId="2C4837AD" w14:textId="77777777" w:rsidR="00FA14C1" w:rsidRPr="007F23AD" w:rsidRDefault="00FA14C1" w:rsidP="004628B3">
            <w:pPr>
              <w:rPr>
                <w:rFonts w:ascii="Calibri" w:eastAsia="Times New Roman" w:hAnsi="Calibri" w:cs="Calibri"/>
                <w:color w:val="000000" w:themeColor="text1"/>
                <w:sz w:val="18"/>
                <w:szCs w:val="18"/>
                <w:lang w:val="en-GB"/>
              </w:rPr>
            </w:pPr>
          </w:p>
          <w:p w14:paraId="3A61AA96" w14:textId="77777777" w:rsidR="00FA14C1" w:rsidRPr="007F23AD" w:rsidRDefault="00FA14C1" w:rsidP="004628B3">
            <w:pPr>
              <w:rPr>
                <w:rFonts w:ascii="Calibri" w:eastAsia="Times New Roman" w:hAnsi="Calibri" w:cs="Calibri"/>
                <w:color w:val="000000" w:themeColor="text1"/>
                <w:sz w:val="18"/>
                <w:szCs w:val="18"/>
                <w:lang w:val="en-GB"/>
              </w:rPr>
            </w:pPr>
          </w:p>
        </w:tc>
        <w:tc>
          <w:tcPr>
            <w:tcW w:w="5163" w:type="dxa"/>
            <w:tcBorders>
              <w:top w:val="single" w:sz="4" w:space="0" w:color="auto"/>
              <w:left w:val="nil"/>
              <w:bottom w:val="single" w:sz="4" w:space="0" w:color="auto"/>
              <w:right w:val="nil"/>
            </w:tcBorders>
            <w:shd w:val="clear" w:color="auto" w:fill="auto"/>
            <w:noWrap/>
            <w:hideMark/>
          </w:tcPr>
          <w:p w14:paraId="4FD9FF7A" w14:textId="12B6BF72" w:rsidR="00BC6613" w:rsidRPr="007F23AD" w:rsidRDefault="00BC6613" w:rsidP="004628B3">
            <w:pPr>
              <w:jc w:val="cente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w:t>
            </w:r>
            <w:r w:rsidR="00FA14C1" w:rsidRPr="007F23AD">
              <w:rPr>
                <w:rFonts w:ascii="Calibri" w:eastAsia="Times New Roman" w:hAnsi="Calibri" w:cs="Calibri"/>
                <w:color w:val="000000" w:themeColor="text1"/>
                <w:sz w:val="18"/>
                <w:szCs w:val="18"/>
                <w:lang w:val="en-GB"/>
              </w:rPr>
              <w:t xml:space="preserve"> Title</w:t>
            </w:r>
          </w:p>
        </w:tc>
        <w:tc>
          <w:tcPr>
            <w:tcW w:w="1358" w:type="dxa"/>
            <w:gridSpan w:val="2"/>
            <w:tcBorders>
              <w:top w:val="single" w:sz="4" w:space="0" w:color="auto"/>
              <w:left w:val="nil"/>
              <w:bottom w:val="single" w:sz="4" w:space="0" w:color="auto"/>
              <w:right w:val="nil"/>
            </w:tcBorders>
            <w:shd w:val="clear" w:color="auto" w:fill="auto"/>
            <w:noWrap/>
            <w:hideMark/>
          </w:tcPr>
          <w:p w14:paraId="792AD3FE" w14:textId="483AE80E" w:rsidR="00BC6613" w:rsidRPr="007F23AD" w:rsidRDefault="00BC6613" w:rsidP="004628B3">
            <w:pPr>
              <w:jc w:val="cente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Frequency</w:t>
            </w:r>
          </w:p>
        </w:tc>
        <w:tc>
          <w:tcPr>
            <w:tcW w:w="1212" w:type="dxa"/>
            <w:gridSpan w:val="2"/>
            <w:tcBorders>
              <w:top w:val="single" w:sz="4" w:space="0" w:color="auto"/>
              <w:left w:val="nil"/>
              <w:bottom w:val="single" w:sz="4" w:space="0" w:color="auto"/>
              <w:right w:val="nil"/>
            </w:tcBorders>
            <w:shd w:val="clear" w:color="auto" w:fill="auto"/>
            <w:noWrap/>
            <w:hideMark/>
          </w:tcPr>
          <w:p w14:paraId="7B13ADF5" w14:textId="77777777" w:rsidR="00BC6613" w:rsidRPr="007F23AD" w:rsidRDefault="00BC6613" w:rsidP="004628B3">
            <w:pPr>
              <w:jc w:val="cente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ABS Rating 2021</w:t>
            </w:r>
          </w:p>
        </w:tc>
      </w:tr>
      <w:tr w:rsidR="007F23AD" w:rsidRPr="007F23AD" w14:paraId="378D76C9" w14:textId="77777777" w:rsidTr="004628B3">
        <w:trPr>
          <w:trHeight w:val="320"/>
        </w:trPr>
        <w:tc>
          <w:tcPr>
            <w:tcW w:w="567" w:type="dxa"/>
            <w:tcBorders>
              <w:top w:val="nil"/>
              <w:left w:val="nil"/>
              <w:bottom w:val="nil"/>
              <w:right w:val="nil"/>
            </w:tcBorders>
            <w:shd w:val="clear" w:color="auto" w:fill="auto"/>
            <w:noWrap/>
            <w:hideMark/>
          </w:tcPr>
          <w:p w14:paraId="17DC25A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5909" w:type="dxa"/>
            <w:gridSpan w:val="2"/>
            <w:tcBorders>
              <w:top w:val="single" w:sz="4" w:space="0" w:color="auto"/>
              <w:left w:val="nil"/>
              <w:bottom w:val="nil"/>
              <w:right w:val="nil"/>
            </w:tcBorders>
            <w:shd w:val="clear" w:color="auto" w:fill="auto"/>
            <w:noWrap/>
            <w:hideMark/>
          </w:tcPr>
          <w:p w14:paraId="739C3719"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 of Construction Engineering and Management</w:t>
            </w:r>
          </w:p>
        </w:tc>
        <w:tc>
          <w:tcPr>
            <w:tcW w:w="749" w:type="dxa"/>
            <w:gridSpan w:val="2"/>
            <w:tcBorders>
              <w:top w:val="single" w:sz="4" w:space="0" w:color="auto"/>
              <w:left w:val="nil"/>
              <w:bottom w:val="nil"/>
              <w:right w:val="nil"/>
            </w:tcBorders>
            <w:shd w:val="clear" w:color="auto" w:fill="auto"/>
            <w:noWrap/>
            <w:hideMark/>
          </w:tcPr>
          <w:p w14:paraId="4AFAC154"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12</w:t>
            </w:r>
          </w:p>
        </w:tc>
        <w:tc>
          <w:tcPr>
            <w:tcW w:w="1075" w:type="dxa"/>
            <w:tcBorders>
              <w:top w:val="single" w:sz="4" w:space="0" w:color="auto"/>
              <w:left w:val="nil"/>
              <w:bottom w:val="nil"/>
              <w:right w:val="nil"/>
            </w:tcBorders>
            <w:shd w:val="clear" w:color="auto" w:fill="auto"/>
            <w:noWrap/>
            <w:hideMark/>
          </w:tcPr>
          <w:p w14:paraId="10D7881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40571B31" w14:textId="77777777" w:rsidTr="004628B3">
        <w:trPr>
          <w:trHeight w:val="320"/>
        </w:trPr>
        <w:tc>
          <w:tcPr>
            <w:tcW w:w="567" w:type="dxa"/>
            <w:tcBorders>
              <w:top w:val="nil"/>
              <w:left w:val="nil"/>
              <w:bottom w:val="nil"/>
              <w:right w:val="nil"/>
            </w:tcBorders>
            <w:shd w:val="clear" w:color="auto" w:fill="auto"/>
            <w:noWrap/>
            <w:hideMark/>
          </w:tcPr>
          <w:p w14:paraId="4912C3F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5909" w:type="dxa"/>
            <w:gridSpan w:val="2"/>
            <w:tcBorders>
              <w:top w:val="nil"/>
              <w:left w:val="nil"/>
              <w:bottom w:val="nil"/>
              <w:right w:val="nil"/>
            </w:tcBorders>
            <w:shd w:val="clear" w:color="auto" w:fill="auto"/>
            <w:noWrap/>
            <w:hideMark/>
          </w:tcPr>
          <w:p w14:paraId="6FF5282E"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Construction Management</w:t>
            </w:r>
          </w:p>
        </w:tc>
        <w:tc>
          <w:tcPr>
            <w:tcW w:w="749" w:type="dxa"/>
            <w:gridSpan w:val="2"/>
            <w:tcBorders>
              <w:top w:val="nil"/>
              <w:left w:val="nil"/>
              <w:bottom w:val="nil"/>
              <w:right w:val="nil"/>
            </w:tcBorders>
            <w:shd w:val="clear" w:color="auto" w:fill="auto"/>
            <w:noWrap/>
            <w:hideMark/>
          </w:tcPr>
          <w:p w14:paraId="2B136F2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12</w:t>
            </w:r>
          </w:p>
        </w:tc>
        <w:tc>
          <w:tcPr>
            <w:tcW w:w="1075" w:type="dxa"/>
            <w:tcBorders>
              <w:top w:val="nil"/>
              <w:left w:val="nil"/>
              <w:bottom w:val="nil"/>
              <w:right w:val="nil"/>
            </w:tcBorders>
            <w:shd w:val="clear" w:color="auto" w:fill="auto"/>
            <w:noWrap/>
            <w:hideMark/>
          </w:tcPr>
          <w:p w14:paraId="239C5AE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170F5674" w14:textId="77777777" w:rsidTr="004628B3">
        <w:trPr>
          <w:trHeight w:val="320"/>
        </w:trPr>
        <w:tc>
          <w:tcPr>
            <w:tcW w:w="567" w:type="dxa"/>
            <w:tcBorders>
              <w:top w:val="nil"/>
              <w:left w:val="nil"/>
              <w:bottom w:val="nil"/>
              <w:right w:val="nil"/>
            </w:tcBorders>
            <w:shd w:val="clear" w:color="auto" w:fill="auto"/>
            <w:noWrap/>
            <w:hideMark/>
          </w:tcPr>
          <w:p w14:paraId="68BAFC24"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5909" w:type="dxa"/>
            <w:gridSpan w:val="2"/>
            <w:tcBorders>
              <w:top w:val="nil"/>
              <w:left w:val="nil"/>
              <w:bottom w:val="nil"/>
              <w:right w:val="nil"/>
            </w:tcBorders>
            <w:shd w:val="clear" w:color="auto" w:fill="auto"/>
            <w:noWrap/>
            <w:hideMark/>
          </w:tcPr>
          <w:p w14:paraId="6867ED02"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Procurement Management</w:t>
            </w:r>
          </w:p>
        </w:tc>
        <w:tc>
          <w:tcPr>
            <w:tcW w:w="749" w:type="dxa"/>
            <w:gridSpan w:val="2"/>
            <w:tcBorders>
              <w:top w:val="nil"/>
              <w:left w:val="nil"/>
              <w:bottom w:val="nil"/>
              <w:right w:val="nil"/>
            </w:tcBorders>
            <w:shd w:val="clear" w:color="auto" w:fill="auto"/>
            <w:noWrap/>
            <w:hideMark/>
          </w:tcPr>
          <w:p w14:paraId="75FC503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8</w:t>
            </w:r>
          </w:p>
        </w:tc>
        <w:tc>
          <w:tcPr>
            <w:tcW w:w="1075" w:type="dxa"/>
            <w:tcBorders>
              <w:top w:val="nil"/>
              <w:left w:val="nil"/>
              <w:bottom w:val="nil"/>
              <w:right w:val="nil"/>
            </w:tcBorders>
            <w:shd w:val="clear" w:color="auto" w:fill="auto"/>
            <w:noWrap/>
            <w:hideMark/>
          </w:tcPr>
          <w:p w14:paraId="6B9D92A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7EF80699" w14:textId="77777777" w:rsidTr="004628B3">
        <w:trPr>
          <w:trHeight w:val="320"/>
        </w:trPr>
        <w:tc>
          <w:tcPr>
            <w:tcW w:w="567" w:type="dxa"/>
            <w:tcBorders>
              <w:top w:val="nil"/>
              <w:left w:val="nil"/>
              <w:bottom w:val="nil"/>
              <w:right w:val="nil"/>
            </w:tcBorders>
            <w:shd w:val="clear" w:color="auto" w:fill="auto"/>
            <w:noWrap/>
            <w:hideMark/>
          </w:tcPr>
          <w:p w14:paraId="42744E85"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4</w:t>
            </w:r>
          </w:p>
        </w:tc>
        <w:tc>
          <w:tcPr>
            <w:tcW w:w="5909" w:type="dxa"/>
            <w:gridSpan w:val="2"/>
            <w:tcBorders>
              <w:top w:val="nil"/>
              <w:left w:val="nil"/>
              <w:bottom w:val="nil"/>
              <w:right w:val="nil"/>
            </w:tcBorders>
            <w:shd w:val="clear" w:color="auto" w:fill="auto"/>
            <w:noWrap/>
            <w:hideMark/>
          </w:tcPr>
          <w:p w14:paraId="02F52EDE"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 of Purchasing and Supply Management</w:t>
            </w:r>
          </w:p>
        </w:tc>
        <w:tc>
          <w:tcPr>
            <w:tcW w:w="749" w:type="dxa"/>
            <w:gridSpan w:val="2"/>
            <w:tcBorders>
              <w:top w:val="nil"/>
              <w:left w:val="nil"/>
              <w:bottom w:val="nil"/>
              <w:right w:val="nil"/>
            </w:tcBorders>
            <w:shd w:val="clear" w:color="auto" w:fill="auto"/>
            <w:noWrap/>
            <w:hideMark/>
          </w:tcPr>
          <w:p w14:paraId="1313B95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6</w:t>
            </w:r>
          </w:p>
        </w:tc>
        <w:tc>
          <w:tcPr>
            <w:tcW w:w="1075" w:type="dxa"/>
            <w:tcBorders>
              <w:top w:val="nil"/>
              <w:left w:val="nil"/>
              <w:bottom w:val="nil"/>
              <w:right w:val="nil"/>
            </w:tcBorders>
            <w:shd w:val="clear" w:color="auto" w:fill="auto"/>
            <w:noWrap/>
            <w:hideMark/>
          </w:tcPr>
          <w:p w14:paraId="76BAFFE6"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0BA8E3B8" w14:textId="77777777" w:rsidTr="004628B3">
        <w:trPr>
          <w:trHeight w:val="320"/>
        </w:trPr>
        <w:tc>
          <w:tcPr>
            <w:tcW w:w="567" w:type="dxa"/>
            <w:tcBorders>
              <w:top w:val="nil"/>
              <w:left w:val="nil"/>
              <w:bottom w:val="nil"/>
              <w:right w:val="nil"/>
            </w:tcBorders>
            <w:shd w:val="clear" w:color="auto" w:fill="auto"/>
            <w:noWrap/>
            <w:hideMark/>
          </w:tcPr>
          <w:p w14:paraId="0C221917"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5</w:t>
            </w:r>
          </w:p>
        </w:tc>
        <w:tc>
          <w:tcPr>
            <w:tcW w:w="5909" w:type="dxa"/>
            <w:gridSpan w:val="2"/>
            <w:tcBorders>
              <w:top w:val="nil"/>
              <w:left w:val="nil"/>
              <w:bottom w:val="nil"/>
              <w:right w:val="nil"/>
            </w:tcBorders>
            <w:shd w:val="clear" w:color="auto" w:fill="auto"/>
            <w:noWrap/>
            <w:hideMark/>
          </w:tcPr>
          <w:p w14:paraId="1329446D"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Production Planning &amp; Control</w:t>
            </w:r>
          </w:p>
        </w:tc>
        <w:tc>
          <w:tcPr>
            <w:tcW w:w="749" w:type="dxa"/>
            <w:gridSpan w:val="2"/>
            <w:tcBorders>
              <w:top w:val="nil"/>
              <w:left w:val="nil"/>
              <w:bottom w:val="nil"/>
              <w:right w:val="nil"/>
            </w:tcBorders>
            <w:shd w:val="clear" w:color="auto" w:fill="auto"/>
            <w:noWrap/>
            <w:hideMark/>
          </w:tcPr>
          <w:p w14:paraId="3132BE8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6</w:t>
            </w:r>
          </w:p>
        </w:tc>
        <w:tc>
          <w:tcPr>
            <w:tcW w:w="1075" w:type="dxa"/>
            <w:tcBorders>
              <w:top w:val="nil"/>
              <w:left w:val="nil"/>
              <w:bottom w:val="nil"/>
              <w:right w:val="nil"/>
            </w:tcBorders>
            <w:shd w:val="clear" w:color="auto" w:fill="auto"/>
            <w:noWrap/>
            <w:hideMark/>
          </w:tcPr>
          <w:p w14:paraId="02C2F11F"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2CDC9F05" w14:textId="77777777" w:rsidTr="004628B3">
        <w:trPr>
          <w:trHeight w:val="320"/>
        </w:trPr>
        <w:tc>
          <w:tcPr>
            <w:tcW w:w="567" w:type="dxa"/>
            <w:tcBorders>
              <w:top w:val="nil"/>
              <w:left w:val="nil"/>
              <w:bottom w:val="nil"/>
              <w:right w:val="nil"/>
            </w:tcBorders>
            <w:shd w:val="clear" w:color="auto" w:fill="auto"/>
            <w:noWrap/>
            <w:hideMark/>
          </w:tcPr>
          <w:p w14:paraId="6934B8D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6</w:t>
            </w:r>
          </w:p>
        </w:tc>
        <w:tc>
          <w:tcPr>
            <w:tcW w:w="5909" w:type="dxa"/>
            <w:gridSpan w:val="2"/>
            <w:tcBorders>
              <w:top w:val="nil"/>
              <w:left w:val="nil"/>
              <w:bottom w:val="nil"/>
              <w:right w:val="nil"/>
            </w:tcBorders>
            <w:shd w:val="clear" w:color="auto" w:fill="auto"/>
            <w:noWrap/>
            <w:hideMark/>
          </w:tcPr>
          <w:p w14:paraId="26A36337"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Project Management</w:t>
            </w:r>
          </w:p>
        </w:tc>
        <w:tc>
          <w:tcPr>
            <w:tcW w:w="749" w:type="dxa"/>
            <w:gridSpan w:val="2"/>
            <w:tcBorders>
              <w:top w:val="nil"/>
              <w:left w:val="nil"/>
              <w:bottom w:val="nil"/>
              <w:right w:val="nil"/>
            </w:tcBorders>
            <w:shd w:val="clear" w:color="auto" w:fill="auto"/>
            <w:noWrap/>
            <w:hideMark/>
          </w:tcPr>
          <w:p w14:paraId="6522071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4</w:t>
            </w:r>
          </w:p>
        </w:tc>
        <w:tc>
          <w:tcPr>
            <w:tcW w:w="1075" w:type="dxa"/>
            <w:tcBorders>
              <w:top w:val="nil"/>
              <w:left w:val="nil"/>
              <w:bottom w:val="nil"/>
              <w:right w:val="nil"/>
            </w:tcBorders>
            <w:shd w:val="clear" w:color="auto" w:fill="auto"/>
            <w:noWrap/>
            <w:hideMark/>
          </w:tcPr>
          <w:p w14:paraId="65774D48"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7FFF9F8D" w14:textId="77777777" w:rsidTr="004628B3">
        <w:trPr>
          <w:trHeight w:val="320"/>
        </w:trPr>
        <w:tc>
          <w:tcPr>
            <w:tcW w:w="567" w:type="dxa"/>
            <w:tcBorders>
              <w:top w:val="nil"/>
              <w:left w:val="nil"/>
              <w:bottom w:val="nil"/>
              <w:right w:val="nil"/>
            </w:tcBorders>
            <w:shd w:val="clear" w:color="auto" w:fill="auto"/>
            <w:noWrap/>
            <w:hideMark/>
          </w:tcPr>
          <w:p w14:paraId="26CD50D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7</w:t>
            </w:r>
          </w:p>
        </w:tc>
        <w:tc>
          <w:tcPr>
            <w:tcW w:w="5909" w:type="dxa"/>
            <w:gridSpan w:val="2"/>
            <w:tcBorders>
              <w:top w:val="nil"/>
              <w:left w:val="nil"/>
              <w:bottom w:val="nil"/>
              <w:right w:val="nil"/>
            </w:tcBorders>
            <w:shd w:val="clear" w:color="auto" w:fill="auto"/>
            <w:noWrap/>
            <w:hideMark/>
          </w:tcPr>
          <w:p w14:paraId="2DA23F23"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IEEE Transactions on Engineering Management</w:t>
            </w:r>
          </w:p>
        </w:tc>
        <w:tc>
          <w:tcPr>
            <w:tcW w:w="749" w:type="dxa"/>
            <w:gridSpan w:val="2"/>
            <w:tcBorders>
              <w:top w:val="nil"/>
              <w:left w:val="nil"/>
              <w:bottom w:val="nil"/>
              <w:right w:val="nil"/>
            </w:tcBorders>
            <w:shd w:val="clear" w:color="auto" w:fill="auto"/>
            <w:noWrap/>
            <w:hideMark/>
          </w:tcPr>
          <w:p w14:paraId="445CFA0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4</w:t>
            </w:r>
          </w:p>
        </w:tc>
        <w:tc>
          <w:tcPr>
            <w:tcW w:w="1075" w:type="dxa"/>
            <w:tcBorders>
              <w:top w:val="nil"/>
              <w:left w:val="nil"/>
              <w:bottom w:val="nil"/>
              <w:right w:val="nil"/>
            </w:tcBorders>
            <w:shd w:val="clear" w:color="auto" w:fill="auto"/>
            <w:noWrap/>
            <w:hideMark/>
          </w:tcPr>
          <w:p w14:paraId="3DF1CAD8"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4EF81F97" w14:textId="77777777" w:rsidTr="004628B3">
        <w:trPr>
          <w:trHeight w:val="320"/>
        </w:trPr>
        <w:tc>
          <w:tcPr>
            <w:tcW w:w="567" w:type="dxa"/>
            <w:tcBorders>
              <w:top w:val="nil"/>
              <w:left w:val="nil"/>
              <w:bottom w:val="nil"/>
              <w:right w:val="nil"/>
            </w:tcBorders>
            <w:shd w:val="clear" w:color="auto" w:fill="auto"/>
            <w:noWrap/>
            <w:hideMark/>
          </w:tcPr>
          <w:p w14:paraId="0C98D15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8</w:t>
            </w:r>
          </w:p>
        </w:tc>
        <w:tc>
          <w:tcPr>
            <w:tcW w:w="5909" w:type="dxa"/>
            <w:gridSpan w:val="2"/>
            <w:tcBorders>
              <w:top w:val="nil"/>
              <w:left w:val="nil"/>
              <w:bottom w:val="nil"/>
              <w:right w:val="nil"/>
            </w:tcBorders>
            <w:shd w:val="clear" w:color="auto" w:fill="auto"/>
            <w:noWrap/>
            <w:hideMark/>
          </w:tcPr>
          <w:p w14:paraId="5DA2FC3F"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Lean Six Sigma</w:t>
            </w:r>
          </w:p>
        </w:tc>
        <w:tc>
          <w:tcPr>
            <w:tcW w:w="749" w:type="dxa"/>
            <w:gridSpan w:val="2"/>
            <w:tcBorders>
              <w:top w:val="nil"/>
              <w:left w:val="nil"/>
              <w:bottom w:val="nil"/>
              <w:right w:val="nil"/>
            </w:tcBorders>
            <w:shd w:val="clear" w:color="auto" w:fill="auto"/>
            <w:noWrap/>
            <w:hideMark/>
          </w:tcPr>
          <w:p w14:paraId="50B3E556"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1075" w:type="dxa"/>
            <w:tcBorders>
              <w:top w:val="nil"/>
              <w:left w:val="nil"/>
              <w:bottom w:val="nil"/>
              <w:right w:val="nil"/>
            </w:tcBorders>
            <w:shd w:val="clear" w:color="auto" w:fill="auto"/>
            <w:noWrap/>
            <w:hideMark/>
          </w:tcPr>
          <w:p w14:paraId="2071F607"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4BE4E8AB" w14:textId="77777777" w:rsidTr="004628B3">
        <w:trPr>
          <w:trHeight w:val="320"/>
        </w:trPr>
        <w:tc>
          <w:tcPr>
            <w:tcW w:w="567" w:type="dxa"/>
            <w:tcBorders>
              <w:top w:val="nil"/>
              <w:left w:val="nil"/>
              <w:bottom w:val="nil"/>
              <w:right w:val="nil"/>
            </w:tcBorders>
            <w:shd w:val="clear" w:color="auto" w:fill="auto"/>
            <w:noWrap/>
            <w:hideMark/>
          </w:tcPr>
          <w:p w14:paraId="1FE0D4C6"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9</w:t>
            </w:r>
          </w:p>
        </w:tc>
        <w:tc>
          <w:tcPr>
            <w:tcW w:w="5909" w:type="dxa"/>
            <w:gridSpan w:val="2"/>
            <w:tcBorders>
              <w:top w:val="nil"/>
              <w:left w:val="nil"/>
              <w:bottom w:val="nil"/>
              <w:right w:val="nil"/>
            </w:tcBorders>
            <w:shd w:val="clear" w:color="auto" w:fill="auto"/>
            <w:noWrap/>
            <w:hideMark/>
          </w:tcPr>
          <w:p w14:paraId="0F4F7F82"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 of Public Procurement</w:t>
            </w:r>
          </w:p>
        </w:tc>
        <w:tc>
          <w:tcPr>
            <w:tcW w:w="749" w:type="dxa"/>
            <w:gridSpan w:val="2"/>
            <w:tcBorders>
              <w:top w:val="nil"/>
              <w:left w:val="nil"/>
              <w:bottom w:val="nil"/>
              <w:right w:val="nil"/>
            </w:tcBorders>
            <w:shd w:val="clear" w:color="auto" w:fill="auto"/>
            <w:noWrap/>
            <w:hideMark/>
          </w:tcPr>
          <w:p w14:paraId="77DB4DF4"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1075" w:type="dxa"/>
            <w:tcBorders>
              <w:top w:val="nil"/>
              <w:left w:val="nil"/>
              <w:bottom w:val="nil"/>
              <w:right w:val="nil"/>
            </w:tcBorders>
            <w:shd w:val="clear" w:color="auto" w:fill="auto"/>
            <w:noWrap/>
            <w:hideMark/>
          </w:tcPr>
          <w:p w14:paraId="334A7E88"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6214A717" w14:textId="77777777" w:rsidTr="004628B3">
        <w:trPr>
          <w:trHeight w:val="320"/>
        </w:trPr>
        <w:tc>
          <w:tcPr>
            <w:tcW w:w="567" w:type="dxa"/>
            <w:tcBorders>
              <w:top w:val="nil"/>
              <w:left w:val="nil"/>
              <w:bottom w:val="nil"/>
              <w:right w:val="nil"/>
            </w:tcBorders>
            <w:shd w:val="clear" w:color="auto" w:fill="auto"/>
            <w:noWrap/>
            <w:hideMark/>
          </w:tcPr>
          <w:p w14:paraId="27BEC9F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10</w:t>
            </w:r>
          </w:p>
        </w:tc>
        <w:tc>
          <w:tcPr>
            <w:tcW w:w="5909" w:type="dxa"/>
            <w:gridSpan w:val="2"/>
            <w:tcBorders>
              <w:top w:val="nil"/>
              <w:left w:val="nil"/>
              <w:bottom w:val="nil"/>
              <w:right w:val="nil"/>
            </w:tcBorders>
            <w:shd w:val="clear" w:color="auto" w:fill="auto"/>
            <w:noWrap/>
            <w:hideMark/>
          </w:tcPr>
          <w:p w14:paraId="5D575E33"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 of Manufacturing Technology Management</w:t>
            </w:r>
          </w:p>
        </w:tc>
        <w:tc>
          <w:tcPr>
            <w:tcW w:w="749" w:type="dxa"/>
            <w:gridSpan w:val="2"/>
            <w:tcBorders>
              <w:top w:val="nil"/>
              <w:left w:val="nil"/>
              <w:bottom w:val="nil"/>
              <w:right w:val="nil"/>
            </w:tcBorders>
            <w:shd w:val="clear" w:color="auto" w:fill="auto"/>
            <w:noWrap/>
            <w:hideMark/>
          </w:tcPr>
          <w:p w14:paraId="7BC5B75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1075" w:type="dxa"/>
            <w:tcBorders>
              <w:top w:val="nil"/>
              <w:left w:val="nil"/>
              <w:bottom w:val="nil"/>
              <w:right w:val="nil"/>
            </w:tcBorders>
            <w:shd w:val="clear" w:color="auto" w:fill="auto"/>
            <w:noWrap/>
            <w:hideMark/>
          </w:tcPr>
          <w:p w14:paraId="6B16BB19"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3964AAF0" w14:textId="77777777" w:rsidTr="004628B3">
        <w:trPr>
          <w:trHeight w:val="320"/>
        </w:trPr>
        <w:tc>
          <w:tcPr>
            <w:tcW w:w="567" w:type="dxa"/>
            <w:tcBorders>
              <w:top w:val="nil"/>
              <w:left w:val="nil"/>
              <w:bottom w:val="nil"/>
              <w:right w:val="nil"/>
            </w:tcBorders>
            <w:shd w:val="clear" w:color="auto" w:fill="auto"/>
            <w:noWrap/>
            <w:hideMark/>
          </w:tcPr>
          <w:p w14:paraId="4D5B04A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11</w:t>
            </w:r>
          </w:p>
        </w:tc>
        <w:tc>
          <w:tcPr>
            <w:tcW w:w="5909" w:type="dxa"/>
            <w:gridSpan w:val="2"/>
            <w:tcBorders>
              <w:top w:val="nil"/>
              <w:left w:val="nil"/>
              <w:bottom w:val="nil"/>
              <w:right w:val="nil"/>
            </w:tcBorders>
            <w:shd w:val="clear" w:color="auto" w:fill="auto"/>
            <w:noWrap/>
            <w:hideMark/>
          </w:tcPr>
          <w:p w14:paraId="37CF738F"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Business Process Management Journal</w:t>
            </w:r>
          </w:p>
        </w:tc>
        <w:tc>
          <w:tcPr>
            <w:tcW w:w="749" w:type="dxa"/>
            <w:gridSpan w:val="2"/>
            <w:tcBorders>
              <w:top w:val="nil"/>
              <w:left w:val="nil"/>
              <w:bottom w:val="nil"/>
              <w:right w:val="nil"/>
            </w:tcBorders>
            <w:shd w:val="clear" w:color="auto" w:fill="auto"/>
            <w:noWrap/>
            <w:hideMark/>
          </w:tcPr>
          <w:p w14:paraId="2C910174"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1075" w:type="dxa"/>
            <w:tcBorders>
              <w:top w:val="nil"/>
              <w:left w:val="nil"/>
              <w:bottom w:val="nil"/>
              <w:right w:val="nil"/>
            </w:tcBorders>
            <w:shd w:val="clear" w:color="auto" w:fill="auto"/>
            <w:noWrap/>
            <w:hideMark/>
          </w:tcPr>
          <w:p w14:paraId="51F1841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53807DAA" w14:textId="77777777" w:rsidTr="004628B3">
        <w:trPr>
          <w:trHeight w:val="320"/>
        </w:trPr>
        <w:tc>
          <w:tcPr>
            <w:tcW w:w="567" w:type="dxa"/>
            <w:tcBorders>
              <w:top w:val="nil"/>
              <w:left w:val="nil"/>
              <w:bottom w:val="nil"/>
              <w:right w:val="nil"/>
            </w:tcBorders>
            <w:shd w:val="clear" w:color="auto" w:fill="auto"/>
            <w:noWrap/>
            <w:hideMark/>
          </w:tcPr>
          <w:p w14:paraId="65FE917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12</w:t>
            </w:r>
          </w:p>
        </w:tc>
        <w:tc>
          <w:tcPr>
            <w:tcW w:w="5909" w:type="dxa"/>
            <w:gridSpan w:val="2"/>
            <w:tcBorders>
              <w:top w:val="nil"/>
              <w:left w:val="nil"/>
              <w:bottom w:val="nil"/>
              <w:right w:val="nil"/>
            </w:tcBorders>
            <w:shd w:val="clear" w:color="auto" w:fill="auto"/>
            <w:noWrap/>
            <w:hideMark/>
          </w:tcPr>
          <w:p w14:paraId="721EE7EE"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Productivity and Performance Management</w:t>
            </w:r>
          </w:p>
        </w:tc>
        <w:tc>
          <w:tcPr>
            <w:tcW w:w="749" w:type="dxa"/>
            <w:gridSpan w:val="2"/>
            <w:tcBorders>
              <w:top w:val="nil"/>
              <w:left w:val="nil"/>
              <w:bottom w:val="nil"/>
              <w:right w:val="nil"/>
            </w:tcBorders>
            <w:shd w:val="clear" w:color="auto" w:fill="auto"/>
            <w:noWrap/>
            <w:hideMark/>
          </w:tcPr>
          <w:p w14:paraId="26B478A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c>
          <w:tcPr>
            <w:tcW w:w="1075" w:type="dxa"/>
            <w:tcBorders>
              <w:top w:val="nil"/>
              <w:left w:val="nil"/>
              <w:bottom w:val="nil"/>
              <w:right w:val="nil"/>
            </w:tcBorders>
            <w:shd w:val="clear" w:color="auto" w:fill="auto"/>
            <w:noWrap/>
            <w:hideMark/>
          </w:tcPr>
          <w:p w14:paraId="7485FE7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647F2FD9" w14:textId="77777777" w:rsidTr="004628B3">
        <w:trPr>
          <w:trHeight w:val="320"/>
        </w:trPr>
        <w:tc>
          <w:tcPr>
            <w:tcW w:w="567" w:type="dxa"/>
            <w:tcBorders>
              <w:top w:val="nil"/>
              <w:left w:val="nil"/>
              <w:bottom w:val="nil"/>
              <w:right w:val="nil"/>
            </w:tcBorders>
            <w:shd w:val="clear" w:color="auto" w:fill="auto"/>
            <w:noWrap/>
            <w:hideMark/>
          </w:tcPr>
          <w:p w14:paraId="0361B99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13</w:t>
            </w:r>
          </w:p>
        </w:tc>
        <w:tc>
          <w:tcPr>
            <w:tcW w:w="5909" w:type="dxa"/>
            <w:gridSpan w:val="2"/>
            <w:tcBorders>
              <w:top w:val="nil"/>
              <w:left w:val="nil"/>
              <w:bottom w:val="nil"/>
              <w:right w:val="nil"/>
            </w:tcBorders>
            <w:shd w:val="clear" w:color="auto" w:fill="auto"/>
            <w:noWrap/>
            <w:hideMark/>
          </w:tcPr>
          <w:p w14:paraId="571A106D"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Manufacturing &amp; Service Operations Management</w:t>
            </w:r>
          </w:p>
        </w:tc>
        <w:tc>
          <w:tcPr>
            <w:tcW w:w="749" w:type="dxa"/>
            <w:gridSpan w:val="2"/>
            <w:tcBorders>
              <w:top w:val="nil"/>
              <w:left w:val="nil"/>
              <w:bottom w:val="nil"/>
              <w:right w:val="nil"/>
            </w:tcBorders>
            <w:shd w:val="clear" w:color="auto" w:fill="auto"/>
            <w:noWrap/>
            <w:hideMark/>
          </w:tcPr>
          <w:p w14:paraId="1DF50A61"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5C9BEA7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39CDF489" w14:textId="77777777" w:rsidTr="004628B3">
        <w:trPr>
          <w:trHeight w:val="320"/>
        </w:trPr>
        <w:tc>
          <w:tcPr>
            <w:tcW w:w="567" w:type="dxa"/>
            <w:tcBorders>
              <w:top w:val="nil"/>
              <w:left w:val="nil"/>
              <w:bottom w:val="nil"/>
              <w:right w:val="nil"/>
            </w:tcBorders>
            <w:shd w:val="clear" w:color="auto" w:fill="auto"/>
            <w:noWrap/>
            <w:hideMark/>
          </w:tcPr>
          <w:p w14:paraId="42DD488C" w14:textId="7FCBC8E8"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r w:rsidR="00D42FF8" w:rsidRPr="007F23AD">
              <w:rPr>
                <w:rFonts w:ascii="Calibri" w:eastAsia="Times New Roman" w:hAnsi="Calibri" w:cs="Calibri"/>
                <w:color w:val="000000" w:themeColor="text1"/>
                <w:sz w:val="18"/>
                <w:szCs w:val="18"/>
                <w:lang w:val="en-GB"/>
              </w:rPr>
              <w:t>4</w:t>
            </w:r>
          </w:p>
        </w:tc>
        <w:tc>
          <w:tcPr>
            <w:tcW w:w="5909" w:type="dxa"/>
            <w:gridSpan w:val="2"/>
            <w:tcBorders>
              <w:top w:val="nil"/>
              <w:left w:val="nil"/>
              <w:bottom w:val="nil"/>
              <w:right w:val="nil"/>
            </w:tcBorders>
            <w:shd w:val="clear" w:color="auto" w:fill="auto"/>
            <w:noWrap/>
            <w:hideMark/>
          </w:tcPr>
          <w:p w14:paraId="3E35032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Benchmarking</w:t>
            </w:r>
          </w:p>
        </w:tc>
        <w:tc>
          <w:tcPr>
            <w:tcW w:w="749" w:type="dxa"/>
            <w:gridSpan w:val="2"/>
            <w:tcBorders>
              <w:top w:val="nil"/>
              <w:left w:val="nil"/>
              <w:bottom w:val="nil"/>
              <w:right w:val="nil"/>
            </w:tcBorders>
            <w:shd w:val="clear" w:color="auto" w:fill="auto"/>
            <w:noWrap/>
            <w:hideMark/>
          </w:tcPr>
          <w:p w14:paraId="12C66595"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6033AF0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7904EB9C" w14:textId="77777777" w:rsidTr="004628B3">
        <w:trPr>
          <w:trHeight w:val="320"/>
        </w:trPr>
        <w:tc>
          <w:tcPr>
            <w:tcW w:w="567" w:type="dxa"/>
            <w:tcBorders>
              <w:top w:val="nil"/>
              <w:left w:val="nil"/>
              <w:bottom w:val="nil"/>
              <w:right w:val="nil"/>
            </w:tcBorders>
            <w:shd w:val="clear" w:color="auto" w:fill="auto"/>
            <w:noWrap/>
            <w:hideMark/>
          </w:tcPr>
          <w:p w14:paraId="2D2AFB92" w14:textId="13B568BF"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r w:rsidR="00D42FF8" w:rsidRPr="007F23AD">
              <w:rPr>
                <w:rFonts w:ascii="Calibri" w:eastAsia="Times New Roman" w:hAnsi="Calibri" w:cs="Calibri"/>
                <w:color w:val="000000" w:themeColor="text1"/>
                <w:sz w:val="18"/>
                <w:szCs w:val="18"/>
                <w:lang w:val="en-GB"/>
              </w:rPr>
              <w:t>5</w:t>
            </w:r>
          </w:p>
        </w:tc>
        <w:tc>
          <w:tcPr>
            <w:tcW w:w="5909" w:type="dxa"/>
            <w:gridSpan w:val="2"/>
            <w:tcBorders>
              <w:top w:val="nil"/>
              <w:left w:val="nil"/>
              <w:bottom w:val="nil"/>
              <w:right w:val="nil"/>
            </w:tcBorders>
            <w:shd w:val="clear" w:color="auto" w:fill="auto"/>
            <w:noWrap/>
            <w:hideMark/>
          </w:tcPr>
          <w:p w14:paraId="6501D4AC"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Engineering Business Management</w:t>
            </w:r>
          </w:p>
        </w:tc>
        <w:tc>
          <w:tcPr>
            <w:tcW w:w="749" w:type="dxa"/>
            <w:gridSpan w:val="2"/>
            <w:tcBorders>
              <w:top w:val="nil"/>
              <w:left w:val="nil"/>
              <w:bottom w:val="nil"/>
              <w:right w:val="nil"/>
            </w:tcBorders>
            <w:shd w:val="clear" w:color="auto" w:fill="auto"/>
            <w:noWrap/>
            <w:hideMark/>
          </w:tcPr>
          <w:p w14:paraId="1248B30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0A083C7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311BAA25" w14:textId="77777777" w:rsidTr="004628B3">
        <w:trPr>
          <w:trHeight w:val="320"/>
        </w:trPr>
        <w:tc>
          <w:tcPr>
            <w:tcW w:w="567" w:type="dxa"/>
            <w:tcBorders>
              <w:top w:val="nil"/>
              <w:left w:val="nil"/>
              <w:bottom w:val="nil"/>
              <w:right w:val="nil"/>
            </w:tcBorders>
            <w:shd w:val="clear" w:color="auto" w:fill="auto"/>
            <w:noWrap/>
            <w:hideMark/>
          </w:tcPr>
          <w:p w14:paraId="4CCFB0F7" w14:textId="1B373A9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r w:rsidR="00D42FF8" w:rsidRPr="007F23AD">
              <w:rPr>
                <w:rFonts w:ascii="Calibri" w:eastAsia="Times New Roman" w:hAnsi="Calibri" w:cs="Calibri"/>
                <w:color w:val="000000" w:themeColor="text1"/>
                <w:sz w:val="18"/>
                <w:szCs w:val="18"/>
                <w:lang w:val="en-GB"/>
              </w:rPr>
              <w:t>6</w:t>
            </w:r>
          </w:p>
        </w:tc>
        <w:tc>
          <w:tcPr>
            <w:tcW w:w="5909" w:type="dxa"/>
            <w:gridSpan w:val="2"/>
            <w:tcBorders>
              <w:top w:val="nil"/>
              <w:left w:val="nil"/>
              <w:bottom w:val="nil"/>
              <w:right w:val="nil"/>
            </w:tcBorders>
            <w:shd w:val="clear" w:color="auto" w:fill="auto"/>
            <w:noWrap/>
            <w:hideMark/>
          </w:tcPr>
          <w:p w14:paraId="56C4BFC8"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Physical Distribution &amp; Logistics Management</w:t>
            </w:r>
          </w:p>
        </w:tc>
        <w:tc>
          <w:tcPr>
            <w:tcW w:w="749" w:type="dxa"/>
            <w:gridSpan w:val="2"/>
            <w:tcBorders>
              <w:top w:val="nil"/>
              <w:left w:val="nil"/>
              <w:bottom w:val="nil"/>
              <w:right w:val="nil"/>
            </w:tcBorders>
            <w:shd w:val="clear" w:color="auto" w:fill="auto"/>
            <w:noWrap/>
            <w:hideMark/>
          </w:tcPr>
          <w:p w14:paraId="54FE438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3970A2A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3042F251" w14:textId="77777777" w:rsidTr="004628B3">
        <w:trPr>
          <w:trHeight w:val="320"/>
        </w:trPr>
        <w:tc>
          <w:tcPr>
            <w:tcW w:w="567" w:type="dxa"/>
            <w:tcBorders>
              <w:top w:val="nil"/>
              <w:left w:val="nil"/>
              <w:bottom w:val="nil"/>
              <w:right w:val="nil"/>
            </w:tcBorders>
            <w:shd w:val="clear" w:color="auto" w:fill="auto"/>
            <w:noWrap/>
            <w:hideMark/>
          </w:tcPr>
          <w:p w14:paraId="0D5B1500" w14:textId="1ECF457A"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r w:rsidR="00D42FF8" w:rsidRPr="007F23AD">
              <w:rPr>
                <w:rFonts w:ascii="Calibri" w:eastAsia="Times New Roman" w:hAnsi="Calibri" w:cs="Calibri"/>
                <w:color w:val="000000" w:themeColor="text1"/>
                <w:sz w:val="18"/>
                <w:szCs w:val="18"/>
                <w:lang w:val="en-GB"/>
              </w:rPr>
              <w:t>7</w:t>
            </w:r>
          </w:p>
        </w:tc>
        <w:tc>
          <w:tcPr>
            <w:tcW w:w="5909" w:type="dxa"/>
            <w:gridSpan w:val="2"/>
            <w:tcBorders>
              <w:top w:val="nil"/>
              <w:left w:val="nil"/>
              <w:bottom w:val="nil"/>
              <w:right w:val="nil"/>
            </w:tcBorders>
            <w:shd w:val="clear" w:color="auto" w:fill="auto"/>
            <w:noWrap/>
            <w:hideMark/>
          </w:tcPr>
          <w:p w14:paraId="7A416661"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Proceedings of the Institution of Mechanical Engineers, Part B: Journal of Engineering Manufacture</w:t>
            </w:r>
          </w:p>
        </w:tc>
        <w:tc>
          <w:tcPr>
            <w:tcW w:w="749" w:type="dxa"/>
            <w:gridSpan w:val="2"/>
            <w:tcBorders>
              <w:top w:val="nil"/>
              <w:left w:val="nil"/>
              <w:bottom w:val="nil"/>
              <w:right w:val="nil"/>
            </w:tcBorders>
            <w:shd w:val="clear" w:color="auto" w:fill="auto"/>
            <w:noWrap/>
            <w:hideMark/>
          </w:tcPr>
          <w:p w14:paraId="3A019F15"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6B40CE9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4EA11EFC" w14:textId="77777777" w:rsidTr="004628B3">
        <w:trPr>
          <w:trHeight w:val="320"/>
        </w:trPr>
        <w:tc>
          <w:tcPr>
            <w:tcW w:w="567" w:type="dxa"/>
            <w:tcBorders>
              <w:top w:val="nil"/>
              <w:left w:val="nil"/>
              <w:bottom w:val="nil"/>
              <w:right w:val="nil"/>
            </w:tcBorders>
            <w:shd w:val="clear" w:color="auto" w:fill="auto"/>
            <w:noWrap/>
            <w:hideMark/>
          </w:tcPr>
          <w:p w14:paraId="1356D762" w14:textId="42AA0545"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r w:rsidR="00D42FF8" w:rsidRPr="007F23AD">
              <w:rPr>
                <w:rFonts w:ascii="Calibri" w:eastAsia="Times New Roman" w:hAnsi="Calibri" w:cs="Calibri"/>
                <w:color w:val="000000" w:themeColor="text1"/>
                <w:sz w:val="18"/>
                <w:szCs w:val="18"/>
                <w:lang w:val="en-GB"/>
              </w:rPr>
              <w:t>8</w:t>
            </w:r>
          </w:p>
        </w:tc>
        <w:tc>
          <w:tcPr>
            <w:tcW w:w="5909" w:type="dxa"/>
            <w:gridSpan w:val="2"/>
            <w:tcBorders>
              <w:top w:val="nil"/>
              <w:left w:val="nil"/>
              <w:bottom w:val="nil"/>
              <w:right w:val="nil"/>
            </w:tcBorders>
            <w:shd w:val="clear" w:color="auto" w:fill="auto"/>
            <w:noWrap/>
            <w:hideMark/>
          </w:tcPr>
          <w:p w14:paraId="059188CC"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Computers &amp; Industrial Engineering</w:t>
            </w:r>
          </w:p>
        </w:tc>
        <w:tc>
          <w:tcPr>
            <w:tcW w:w="749" w:type="dxa"/>
            <w:gridSpan w:val="2"/>
            <w:tcBorders>
              <w:top w:val="nil"/>
              <w:left w:val="nil"/>
              <w:bottom w:val="nil"/>
              <w:right w:val="nil"/>
            </w:tcBorders>
            <w:shd w:val="clear" w:color="auto" w:fill="auto"/>
            <w:noWrap/>
            <w:hideMark/>
          </w:tcPr>
          <w:p w14:paraId="3B39A47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2D6674F1"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0DC44C18" w14:textId="77777777" w:rsidTr="004628B3">
        <w:trPr>
          <w:trHeight w:val="320"/>
        </w:trPr>
        <w:tc>
          <w:tcPr>
            <w:tcW w:w="567" w:type="dxa"/>
            <w:tcBorders>
              <w:top w:val="nil"/>
              <w:left w:val="nil"/>
              <w:bottom w:val="nil"/>
              <w:right w:val="nil"/>
            </w:tcBorders>
            <w:shd w:val="clear" w:color="auto" w:fill="auto"/>
            <w:noWrap/>
            <w:hideMark/>
          </w:tcPr>
          <w:p w14:paraId="162E96CC" w14:textId="67CE31AF" w:rsidR="00BC6613" w:rsidRPr="007F23AD" w:rsidRDefault="00D42FF8"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19</w:t>
            </w:r>
          </w:p>
        </w:tc>
        <w:tc>
          <w:tcPr>
            <w:tcW w:w="5909" w:type="dxa"/>
            <w:gridSpan w:val="2"/>
            <w:tcBorders>
              <w:top w:val="nil"/>
              <w:left w:val="nil"/>
              <w:bottom w:val="nil"/>
              <w:right w:val="nil"/>
            </w:tcBorders>
            <w:shd w:val="clear" w:color="auto" w:fill="auto"/>
            <w:noWrap/>
            <w:hideMark/>
          </w:tcPr>
          <w:p w14:paraId="145BBD2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Computers in Industry</w:t>
            </w:r>
          </w:p>
        </w:tc>
        <w:tc>
          <w:tcPr>
            <w:tcW w:w="749" w:type="dxa"/>
            <w:gridSpan w:val="2"/>
            <w:tcBorders>
              <w:top w:val="nil"/>
              <w:left w:val="nil"/>
              <w:bottom w:val="nil"/>
              <w:right w:val="nil"/>
            </w:tcBorders>
            <w:shd w:val="clear" w:color="auto" w:fill="auto"/>
            <w:noWrap/>
            <w:hideMark/>
          </w:tcPr>
          <w:p w14:paraId="1E73EE4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6089490C"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22B82326" w14:textId="77777777" w:rsidTr="004628B3">
        <w:trPr>
          <w:trHeight w:val="320"/>
        </w:trPr>
        <w:tc>
          <w:tcPr>
            <w:tcW w:w="567" w:type="dxa"/>
            <w:tcBorders>
              <w:top w:val="nil"/>
              <w:left w:val="nil"/>
              <w:bottom w:val="nil"/>
              <w:right w:val="nil"/>
            </w:tcBorders>
            <w:shd w:val="clear" w:color="auto" w:fill="auto"/>
            <w:noWrap/>
            <w:hideMark/>
          </w:tcPr>
          <w:p w14:paraId="3EA7FC6D" w14:textId="104EA761"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0</w:t>
            </w:r>
          </w:p>
        </w:tc>
        <w:tc>
          <w:tcPr>
            <w:tcW w:w="5909" w:type="dxa"/>
            <w:gridSpan w:val="2"/>
            <w:tcBorders>
              <w:top w:val="nil"/>
              <w:left w:val="nil"/>
              <w:bottom w:val="nil"/>
              <w:right w:val="nil"/>
            </w:tcBorders>
            <w:shd w:val="clear" w:color="auto" w:fill="auto"/>
            <w:noWrap/>
            <w:hideMark/>
          </w:tcPr>
          <w:p w14:paraId="4D8BB4EB"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Productivity and Quality Management</w:t>
            </w:r>
          </w:p>
        </w:tc>
        <w:tc>
          <w:tcPr>
            <w:tcW w:w="749" w:type="dxa"/>
            <w:gridSpan w:val="2"/>
            <w:tcBorders>
              <w:top w:val="nil"/>
              <w:left w:val="nil"/>
              <w:bottom w:val="nil"/>
              <w:right w:val="nil"/>
            </w:tcBorders>
            <w:shd w:val="clear" w:color="auto" w:fill="auto"/>
            <w:noWrap/>
            <w:hideMark/>
          </w:tcPr>
          <w:p w14:paraId="03A8749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708E6B52"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1210F052" w14:textId="77777777" w:rsidTr="004628B3">
        <w:trPr>
          <w:trHeight w:val="320"/>
        </w:trPr>
        <w:tc>
          <w:tcPr>
            <w:tcW w:w="567" w:type="dxa"/>
            <w:tcBorders>
              <w:top w:val="nil"/>
              <w:left w:val="nil"/>
              <w:bottom w:val="nil"/>
              <w:right w:val="nil"/>
            </w:tcBorders>
            <w:shd w:val="clear" w:color="auto" w:fill="auto"/>
            <w:noWrap/>
            <w:hideMark/>
          </w:tcPr>
          <w:p w14:paraId="0D29341C" w14:textId="790C519D"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1</w:t>
            </w:r>
          </w:p>
        </w:tc>
        <w:tc>
          <w:tcPr>
            <w:tcW w:w="5909" w:type="dxa"/>
            <w:gridSpan w:val="2"/>
            <w:tcBorders>
              <w:top w:val="nil"/>
              <w:left w:val="nil"/>
              <w:bottom w:val="nil"/>
              <w:right w:val="nil"/>
            </w:tcBorders>
            <w:shd w:val="clear" w:color="auto" w:fill="auto"/>
            <w:noWrap/>
            <w:hideMark/>
          </w:tcPr>
          <w:p w14:paraId="00C0DEB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The TQM Journal</w:t>
            </w:r>
          </w:p>
        </w:tc>
        <w:tc>
          <w:tcPr>
            <w:tcW w:w="749" w:type="dxa"/>
            <w:gridSpan w:val="2"/>
            <w:tcBorders>
              <w:top w:val="nil"/>
              <w:left w:val="nil"/>
              <w:bottom w:val="nil"/>
              <w:right w:val="nil"/>
            </w:tcBorders>
            <w:shd w:val="clear" w:color="auto" w:fill="auto"/>
            <w:noWrap/>
            <w:hideMark/>
          </w:tcPr>
          <w:p w14:paraId="022C72A4"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7E36A97C"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7DDE066C" w14:textId="77777777" w:rsidTr="004628B3">
        <w:trPr>
          <w:trHeight w:val="320"/>
        </w:trPr>
        <w:tc>
          <w:tcPr>
            <w:tcW w:w="567" w:type="dxa"/>
            <w:tcBorders>
              <w:top w:val="nil"/>
              <w:left w:val="nil"/>
              <w:bottom w:val="nil"/>
              <w:right w:val="nil"/>
            </w:tcBorders>
            <w:shd w:val="clear" w:color="auto" w:fill="auto"/>
            <w:noWrap/>
            <w:hideMark/>
          </w:tcPr>
          <w:p w14:paraId="2EE04518" w14:textId="71A1BF26"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2</w:t>
            </w:r>
          </w:p>
        </w:tc>
        <w:tc>
          <w:tcPr>
            <w:tcW w:w="5909" w:type="dxa"/>
            <w:gridSpan w:val="2"/>
            <w:tcBorders>
              <w:top w:val="nil"/>
              <w:left w:val="nil"/>
              <w:bottom w:val="nil"/>
              <w:right w:val="nil"/>
            </w:tcBorders>
            <w:shd w:val="clear" w:color="auto" w:fill="auto"/>
            <w:noWrap/>
            <w:hideMark/>
          </w:tcPr>
          <w:p w14:paraId="6CC7723F"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Quality &amp; Reliability Management</w:t>
            </w:r>
          </w:p>
        </w:tc>
        <w:tc>
          <w:tcPr>
            <w:tcW w:w="749" w:type="dxa"/>
            <w:gridSpan w:val="2"/>
            <w:tcBorders>
              <w:top w:val="nil"/>
              <w:left w:val="nil"/>
              <w:bottom w:val="nil"/>
              <w:right w:val="nil"/>
            </w:tcBorders>
            <w:shd w:val="clear" w:color="auto" w:fill="auto"/>
            <w:noWrap/>
            <w:hideMark/>
          </w:tcPr>
          <w:p w14:paraId="3A76D47F"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7BC2DE7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4C114CE5" w14:textId="77777777" w:rsidTr="004628B3">
        <w:trPr>
          <w:trHeight w:val="320"/>
        </w:trPr>
        <w:tc>
          <w:tcPr>
            <w:tcW w:w="567" w:type="dxa"/>
            <w:tcBorders>
              <w:top w:val="nil"/>
              <w:left w:val="nil"/>
              <w:bottom w:val="nil"/>
              <w:right w:val="nil"/>
            </w:tcBorders>
            <w:shd w:val="clear" w:color="auto" w:fill="auto"/>
            <w:noWrap/>
            <w:hideMark/>
          </w:tcPr>
          <w:p w14:paraId="49A9533F" w14:textId="5AE3D86F"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3</w:t>
            </w:r>
          </w:p>
        </w:tc>
        <w:tc>
          <w:tcPr>
            <w:tcW w:w="5909" w:type="dxa"/>
            <w:gridSpan w:val="2"/>
            <w:tcBorders>
              <w:top w:val="nil"/>
              <w:left w:val="nil"/>
              <w:bottom w:val="nil"/>
              <w:right w:val="nil"/>
            </w:tcBorders>
            <w:shd w:val="clear" w:color="auto" w:fill="auto"/>
            <w:noWrap/>
            <w:hideMark/>
          </w:tcPr>
          <w:p w14:paraId="7FEB750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Supply Chain Management</w:t>
            </w:r>
          </w:p>
        </w:tc>
        <w:tc>
          <w:tcPr>
            <w:tcW w:w="749" w:type="dxa"/>
            <w:gridSpan w:val="2"/>
            <w:tcBorders>
              <w:top w:val="nil"/>
              <w:left w:val="nil"/>
              <w:bottom w:val="nil"/>
              <w:right w:val="nil"/>
            </w:tcBorders>
            <w:shd w:val="clear" w:color="auto" w:fill="auto"/>
            <w:noWrap/>
            <w:hideMark/>
          </w:tcPr>
          <w:p w14:paraId="06F5388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c>
          <w:tcPr>
            <w:tcW w:w="1075" w:type="dxa"/>
            <w:tcBorders>
              <w:top w:val="nil"/>
              <w:left w:val="nil"/>
              <w:bottom w:val="nil"/>
              <w:right w:val="nil"/>
            </w:tcBorders>
            <w:shd w:val="clear" w:color="auto" w:fill="auto"/>
            <w:noWrap/>
            <w:hideMark/>
          </w:tcPr>
          <w:p w14:paraId="08875D41"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3EDD39F7" w14:textId="77777777" w:rsidTr="004628B3">
        <w:trPr>
          <w:trHeight w:val="320"/>
        </w:trPr>
        <w:tc>
          <w:tcPr>
            <w:tcW w:w="567" w:type="dxa"/>
            <w:tcBorders>
              <w:top w:val="nil"/>
              <w:left w:val="nil"/>
              <w:bottom w:val="nil"/>
              <w:right w:val="nil"/>
            </w:tcBorders>
            <w:shd w:val="clear" w:color="auto" w:fill="auto"/>
            <w:noWrap/>
            <w:hideMark/>
          </w:tcPr>
          <w:p w14:paraId="4EBFD591" w14:textId="131A4393"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4</w:t>
            </w:r>
          </w:p>
        </w:tc>
        <w:tc>
          <w:tcPr>
            <w:tcW w:w="5909" w:type="dxa"/>
            <w:gridSpan w:val="2"/>
            <w:tcBorders>
              <w:top w:val="nil"/>
              <w:left w:val="nil"/>
              <w:bottom w:val="nil"/>
              <w:right w:val="nil"/>
            </w:tcBorders>
            <w:shd w:val="clear" w:color="auto" w:fill="auto"/>
            <w:noWrap/>
            <w:hideMark/>
          </w:tcPr>
          <w:p w14:paraId="3070F67D"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Knowledge and Process Management</w:t>
            </w:r>
          </w:p>
        </w:tc>
        <w:tc>
          <w:tcPr>
            <w:tcW w:w="749" w:type="dxa"/>
            <w:gridSpan w:val="2"/>
            <w:tcBorders>
              <w:top w:val="nil"/>
              <w:left w:val="nil"/>
              <w:bottom w:val="nil"/>
              <w:right w:val="nil"/>
            </w:tcBorders>
            <w:shd w:val="clear" w:color="auto" w:fill="auto"/>
            <w:noWrap/>
            <w:hideMark/>
          </w:tcPr>
          <w:p w14:paraId="78ACF8F1"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1ED72618"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58A4BDA0" w14:textId="77777777" w:rsidTr="004628B3">
        <w:trPr>
          <w:trHeight w:val="320"/>
        </w:trPr>
        <w:tc>
          <w:tcPr>
            <w:tcW w:w="567" w:type="dxa"/>
            <w:tcBorders>
              <w:top w:val="nil"/>
              <w:left w:val="nil"/>
              <w:bottom w:val="nil"/>
              <w:right w:val="nil"/>
            </w:tcBorders>
            <w:shd w:val="clear" w:color="auto" w:fill="auto"/>
            <w:noWrap/>
            <w:hideMark/>
          </w:tcPr>
          <w:p w14:paraId="48058B00" w14:textId="01F8CE53"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5</w:t>
            </w:r>
          </w:p>
        </w:tc>
        <w:tc>
          <w:tcPr>
            <w:tcW w:w="5909" w:type="dxa"/>
            <w:gridSpan w:val="2"/>
            <w:tcBorders>
              <w:top w:val="nil"/>
              <w:left w:val="nil"/>
              <w:bottom w:val="nil"/>
              <w:right w:val="nil"/>
            </w:tcBorders>
            <w:shd w:val="clear" w:color="auto" w:fill="auto"/>
            <w:noWrap/>
            <w:hideMark/>
          </w:tcPr>
          <w:p w14:paraId="17B269C7"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Flexible Services and Manufacturing Journal</w:t>
            </w:r>
          </w:p>
        </w:tc>
        <w:tc>
          <w:tcPr>
            <w:tcW w:w="749" w:type="dxa"/>
            <w:gridSpan w:val="2"/>
            <w:tcBorders>
              <w:top w:val="nil"/>
              <w:left w:val="nil"/>
              <w:bottom w:val="nil"/>
              <w:right w:val="nil"/>
            </w:tcBorders>
            <w:shd w:val="clear" w:color="auto" w:fill="auto"/>
            <w:noWrap/>
            <w:hideMark/>
          </w:tcPr>
          <w:p w14:paraId="3290A48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720583F8"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4B2D98B0" w14:textId="77777777" w:rsidTr="004628B3">
        <w:trPr>
          <w:trHeight w:val="320"/>
        </w:trPr>
        <w:tc>
          <w:tcPr>
            <w:tcW w:w="567" w:type="dxa"/>
            <w:tcBorders>
              <w:top w:val="nil"/>
              <w:left w:val="nil"/>
              <w:bottom w:val="nil"/>
              <w:right w:val="nil"/>
            </w:tcBorders>
            <w:shd w:val="clear" w:color="auto" w:fill="auto"/>
            <w:noWrap/>
            <w:hideMark/>
          </w:tcPr>
          <w:p w14:paraId="430B78C5" w14:textId="1B1C7BDB"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6</w:t>
            </w:r>
          </w:p>
        </w:tc>
        <w:tc>
          <w:tcPr>
            <w:tcW w:w="5909" w:type="dxa"/>
            <w:gridSpan w:val="2"/>
            <w:tcBorders>
              <w:top w:val="nil"/>
              <w:left w:val="nil"/>
              <w:bottom w:val="nil"/>
              <w:right w:val="nil"/>
            </w:tcBorders>
            <w:shd w:val="clear" w:color="auto" w:fill="auto"/>
            <w:noWrap/>
            <w:hideMark/>
          </w:tcPr>
          <w:p w14:paraId="2A24E8A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Logistics-Research and Applications</w:t>
            </w:r>
          </w:p>
        </w:tc>
        <w:tc>
          <w:tcPr>
            <w:tcW w:w="749" w:type="dxa"/>
            <w:gridSpan w:val="2"/>
            <w:tcBorders>
              <w:top w:val="nil"/>
              <w:left w:val="nil"/>
              <w:bottom w:val="nil"/>
              <w:right w:val="nil"/>
            </w:tcBorders>
            <w:shd w:val="clear" w:color="auto" w:fill="auto"/>
            <w:noWrap/>
            <w:hideMark/>
          </w:tcPr>
          <w:p w14:paraId="64FDDBE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79EB1911"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02561E08" w14:textId="77777777" w:rsidTr="004628B3">
        <w:trPr>
          <w:trHeight w:val="320"/>
        </w:trPr>
        <w:tc>
          <w:tcPr>
            <w:tcW w:w="567" w:type="dxa"/>
            <w:tcBorders>
              <w:top w:val="nil"/>
              <w:left w:val="nil"/>
              <w:bottom w:val="nil"/>
              <w:right w:val="nil"/>
            </w:tcBorders>
            <w:shd w:val="clear" w:color="auto" w:fill="auto"/>
            <w:noWrap/>
            <w:hideMark/>
          </w:tcPr>
          <w:p w14:paraId="2F4766FD" w14:textId="55F63B99"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7</w:t>
            </w:r>
          </w:p>
        </w:tc>
        <w:tc>
          <w:tcPr>
            <w:tcW w:w="5909" w:type="dxa"/>
            <w:gridSpan w:val="2"/>
            <w:tcBorders>
              <w:top w:val="nil"/>
              <w:left w:val="nil"/>
              <w:bottom w:val="nil"/>
              <w:right w:val="nil"/>
            </w:tcBorders>
            <w:shd w:val="clear" w:color="auto" w:fill="auto"/>
            <w:noWrap/>
            <w:hideMark/>
          </w:tcPr>
          <w:p w14:paraId="6146C396"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Production Research</w:t>
            </w:r>
          </w:p>
        </w:tc>
        <w:tc>
          <w:tcPr>
            <w:tcW w:w="749" w:type="dxa"/>
            <w:gridSpan w:val="2"/>
            <w:tcBorders>
              <w:top w:val="nil"/>
              <w:left w:val="nil"/>
              <w:bottom w:val="nil"/>
              <w:right w:val="nil"/>
            </w:tcBorders>
            <w:shd w:val="clear" w:color="auto" w:fill="auto"/>
            <w:noWrap/>
            <w:hideMark/>
          </w:tcPr>
          <w:p w14:paraId="72CA3CD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538DCF4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r w:rsidR="007F23AD" w:rsidRPr="007F23AD" w14:paraId="4A2A02D1" w14:textId="77777777" w:rsidTr="004628B3">
        <w:trPr>
          <w:trHeight w:val="320"/>
        </w:trPr>
        <w:tc>
          <w:tcPr>
            <w:tcW w:w="567" w:type="dxa"/>
            <w:tcBorders>
              <w:top w:val="nil"/>
              <w:left w:val="nil"/>
              <w:bottom w:val="nil"/>
              <w:right w:val="nil"/>
            </w:tcBorders>
            <w:shd w:val="clear" w:color="auto" w:fill="auto"/>
            <w:noWrap/>
            <w:hideMark/>
          </w:tcPr>
          <w:p w14:paraId="3CCACBB5" w14:textId="1580A84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r w:rsidR="00D42FF8" w:rsidRPr="007F23AD">
              <w:rPr>
                <w:rFonts w:ascii="Calibri" w:eastAsia="Times New Roman" w:hAnsi="Calibri" w:cs="Calibri"/>
                <w:color w:val="000000" w:themeColor="text1"/>
                <w:sz w:val="18"/>
                <w:szCs w:val="18"/>
                <w:lang w:val="en-GB"/>
              </w:rPr>
              <w:t>8</w:t>
            </w:r>
          </w:p>
        </w:tc>
        <w:tc>
          <w:tcPr>
            <w:tcW w:w="5909" w:type="dxa"/>
            <w:gridSpan w:val="2"/>
            <w:tcBorders>
              <w:top w:val="nil"/>
              <w:left w:val="nil"/>
              <w:bottom w:val="nil"/>
              <w:right w:val="nil"/>
            </w:tcBorders>
            <w:shd w:val="clear" w:color="auto" w:fill="auto"/>
            <w:noWrap/>
            <w:hideMark/>
          </w:tcPr>
          <w:p w14:paraId="4AF5BE70"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Industrial Engineering and Management</w:t>
            </w:r>
          </w:p>
        </w:tc>
        <w:tc>
          <w:tcPr>
            <w:tcW w:w="749" w:type="dxa"/>
            <w:gridSpan w:val="2"/>
            <w:tcBorders>
              <w:top w:val="nil"/>
              <w:left w:val="nil"/>
              <w:bottom w:val="nil"/>
              <w:right w:val="nil"/>
            </w:tcBorders>
            <w:shd w:val="clear" w:color="auto" w:fill="auto"/>
            <w:noWrap/>
            <w:hideMark/>
          </w:tcPr>
          <w:p w14:paraId="5097BDC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68596FFC"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6B467FB7" w14:textId="77777777" w:rsidTr="004628B3">
        <w:trPr>
          <w:trHeight w:val="320"/>
        </w:trPr>
        <w:tc>
          <w:tcPr>
            <w:tcW w:w="567" w:type="dxa"/>
            <w:tcBorders>
              <w:top w:val="nil"/>
              <w:left w:val="nil"/>
              <w:bottom w:val="nil"/>
              <w:right w:val="nil"/>
            </w:tcBorders>
            <w:shd w:val="clear" w:color="auto" w:fill="auto"/>
            <w:noWrap/>
            <w:hideMark/>
          </w:tcPr>
          <w:p w14:paraId="48BAF7D3" w14:textId="553A639D" w:rsidR="00BC6613" w:rsidRPr="007F23AD" w:rsidRDefault="00D42FF8"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29</w:t>
            </w:r>
          </w:p>
        </w:tc>
        <w:tc>
          <w:tcPr>
            <w:tcW w:w="5909" w:type="dxa"/>
            <w:gridSpan w:val="2"/>
            <w:tcBorders>
              <w:top w:val="nil"/>
              <w:left w:val="nil"/>
              <w:bottom w:val="nil"/>
              <w:right w:val="nil"/>
            </w:tcBorders>
            <w:shd w:val="clear" w:color="auto" w:fill="auto"/>
            <w:noWrap/>
            <w:hideMark/>
          </w:tcPr>
          <w:p w14:paraId="47C222B5"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Services and Operations Management</w:t>
            </w:r>
          </w:p>
        </w:tc>
        <w:tc>
          <w:tcPr>
            <w:tcW w:w="749" w:type="dxa"/>
            <w:gridSpan w:val="2"/>
            <w:tcBorders>
              <w:top w:val="nil"/>
              <w:left w:val="nil"/>
              <w:bottom w:val="nil"/>
              <w:right w:val="nil"/>
            </w:tcBorders>
            <w:shd w:val="clear" w:color="auto" w:fill="auto"/>
            <w:noWrap/>
            <w:hideMark/>
          </w:tcPr>
          <w:p w14:paraId="7DBA5769"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70B8594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1477CE6F" w14:textId="77777777" w:rsidTr="004628B3">
        <w:trPr>
          <w:trHeight w:val="320"/>
        </w:trPr>
        <w:tc>
          <w:tcPr>
            <w:tcW w:w="567" w:type="dxa"/>
            <w:tcBorders>
              <w:top w:val="nil"/>
              <w:left w:val="nil"/>
              <w:bottom w:val="nil"/>
              <w:right w:val="nil"/>
            </w:tcBorders>
            <w:shd w:val="clear" w:color="auto" w:fill="auto"/>
            <w:noWrap/>
            <w:hideMark/>
          </w:tcPr>
          <w:p w14:paraId="0A9E77DC" w14:textId="44C70DAE"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0</w:t>
            </w:r>
          </w:p>
        </w:tc>
        <w:tc>
          <w:tcPr>
            <w:tcW w:w="5909" w:type="dxa"/>
            <w:gridSpan w:val="2"/>
            <w:tcBorders>
              <w:top w:val="nil"/>
              <w:left w:val="nil"/>
              <w:bottom w:val="nil"/>
              <w:right w:val="nil"/>
            </w:tcBorders>
            <w:shd w:val="clear" w:color="auto" w:fill="auto"/>
            <w:noWrap/>
            <w:hideMark/>
          </w:tcPr>
          <w:p w14:paraId="7C68E771"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Logistics Management</w:t>
            </w:r>
          </w:p>
        </w:tc>
        <w:tc>
          <w:tcPr>
            <w:tcW w:w="749" w:type="dxa"/>
            <w:gridSpan w:val="2"/>
            <w:tcBorders>
              <w:top w:val="nil"/>
              <w:left w:val="nil"/>
              <w:bottom w:val="nil"/>
              <w:right w:val="nil"/>
            </w:tcBorders>
            <w:shd w:val="clear" w:color="auto" w:fill="auto"/>
            <w:noWrap/>
            <w:hideMark/>
          </w:tcPr>
          <w:p w14:paraId="5F83E6E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623E8B6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76F44BBD" w14:textId="77777777" w:rsidTr="004628B3">
        <w:trPr>
          <w:trHeight w:val="320"/>
        </w:trPr>
        <w:tc>
          <w:tcPr>
            <w:tcW w:w="567" w:type="dxa"/>
            <w:tcBorders>
              <w:top w:val="nil"/>
              <w:left w:val="nil"/>
              <w:bottom w:val="nil"/>
              <w:right w:val="nil"/>
            </w:tcBorders>
            <w:shd w:val="clear" w:color="auto" w:fill="auto"/>
            <w:noWrap/>
            <w:hideMark/>
          </w:tcPr>
          <w:p w14:paraId="53373923" w14:textId="662F1ECF"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1</w:t>
            </w:r>
          </w:p>
        </w:tc>
        <w:tc>
          <w:tcPr>
            <w:tcW w:w="5909" w:type="dxa"/>
            <w:gridSpan w:val="2"/>
            <w:tcBorders>
              <w:top w:val="nil"/>
              <w:left w:val="nil"/>
              <w:bottom w:val="nil"/>
              <w:right w:val="nil"/>
            </w:tcBorders>
            <w:shd w:val="clear" w:color="auto" w:fill="auto"/>
            <w:noWrap/>
            <w:hideMark/>
          </w:tcPr>
          <w:p w14:paraId="0897D221"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Supply Chain Forum</w:t>
            </w:r>
          </w:p>
        </w:tc>
        <w:tc>
          <w:tcPr>
            <w:tcW w:w="749" w:type="dxa"/>
            <w:gridSpan w:val="2"/>
            <w:tcBorders>
              <w:top w:val="nil"/>
              <w:left w:val="nil"/>
              <w:bottom w:val="nil"/>
              <w:right w:val="nil"/>
            </w:tcBorders>
            <w:shd w:val="clear" w:color="auto" w:fill="auto"/>
            <w:noWrap/>
            <w:hideMark/>
          </w:tcPr>
          <w:p w14:paraId="4364EA5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118002B3"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61739C65" w14:textId="77777777" w:rsidTr="004628B3">
        <w:trPr>
          <w:trHeight w:val="320"/>
        </w:trPr>
        <w:tc>
          <w:tcPr>
            <w:tcW w:w="567" w:type="dxa"/>
            <w:tcBorders>
              <w:top w:val="nil"/>
              <w:left w:val="nil"/>
              <w:bottom w:val="nil"/>
              <w:right w:val="nil"/>
            </w:tcBorders>
            <w:shd w:val="clear" w:color="auto" w:fill="auto"/>
            <w:noWrap/>
            <w:hideMark/>
          </w:tcPr>
          <w:p w14:paraId="150A9324" w14:textId="64F78E63"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2</w:t>
            </w:r>
          </w:p>
        </w:tc>
        <w:tc>
          <w:tcPr>
            <w:tcW w:w="5909" w:type="dxa"/>
            <w:gridSpan w:val="2"/>
            <w:tcBorders>
              <w:top w:val="nil"/>
              <w:left w:val="nil"/>
              <w:bottom w:val="nil"/>
              <w:right w:val="nil"/>
            </w:tcBorders>
            <w:shd w:val="clear" w:color="auto" w:fill="auto"/>
            <w:noWrap/>
            <w:hideMark/>
          </w:tcPr>
          <w:p w14:paraId="51BB7AC2"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Journal of Manufacturing Systems</w:t>
            </w:r>
          </w:p>
        </w:tc>
        <w:tc>
          <w:tcPr>
            <w:tcW w:w="749" w:type="dxa"/>
            <w:gridSpan w:val="2"/>
            <w:tcBorders>
              <w:top w:val="nil"/>
              <w:left w:val="nil"/>
              <w:bottom w:val="nil"/>
              <w:right w:val="nil"/>
            </w:tcBorders>
            <w:shd w:val="clear" w:color="auto" w:fill="auto"/>
            <w:noWrap/>
            <w:hideMark/>
          </w:tcPr>
          <w:p w14:paraId="20614489"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4E8F105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7BBA59AA" w14:textId="77777777" w:rsidTr="004628B3">
        <w:trPr>
          <w:trHeight w:val="320"/>
        </w:trPr>
        <w:tc>
          <w:tcPr>
            <w:tcW w:w="567" w:type="dxa"/>
            <w:tcBorders>
              <w:top w:val="nil"/>
              <w:left w:val="nil"/>
              <w:bottom w:val="nil"/>
              <w:right w:val="nil"/>
            </w:tcBorders>
            <w:shd w:val="clear" w:color="auto" w:fill="auto"/>
            <w:noWrap/>
            <w:hideMark/>
          </w:tcPr>
          <w:p w14:paraId="2B43BC03" w14:textId="0EF82406"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3</w:t>
            </w:r>
          </w:p>
        </w:tc>
        <w:tc>
          <w:tcPr>
            <w:tcW w:w="5909" w:type="dxa"/>
            <w:gridSpan w:val="2"/>
            <w:tcBorders>
              <w:top w:val="nil"/>
              <w:left w:val="nil"/>
              <w:bottom w:val="nil"/>
              <w:right w:val="nil"/>
            </w:tcBorders>
            <w:shd w:val="clear" w:color="auto" w:fill="auto"/>
            <w:noWrap/>
            <w:hideMark/>
          </w:tcPr>
          <w:p w14:paraId="60909974"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Total Quality Management &amp; Business Excellence</w:t>
            </w:r>
          </w:p>
        </w:tc>
        <w:tc>
          <w:tcPr>
            <w:tcW w:w="749" w:type="dxa"/>
            <w:gridSpan w:val="2"/>
            <w:tcBorders>
              <w:top w:val="nil"/>
              <w:left w:val="nil"/>
              <w:bottom w:val="nil"/>
              <w:right w:val="nil"/>
            </w:tcBorders>
            <w:shd w:val="clear" w:color="auto" w:fill="auto"/>
            <w:noWrap/>
            <w:hideMark/>
          </w:tcPr>
          <w:p w14:paraId="265BD33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2BC33AF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2</w:t>
            </w:r>
          </w:p>
        </w:tc>
      </w:tr>
      <w:tr w:rsidR="007F23AD" w:rsidRPr="007F23AD" w14:paraId="57E4AB18" w14:textId="77777777" w:rsidTr="004628B3">
        <w:trPr>
          <w:trHeight w:val="320"/>
        </w:trPr>
        <w:tc>
          <w:tcPr>
            <w:tcW w:w="567" w:type="dxa"/>
            <w:tcBorders>
              <w:top w:val="nil"/>
              <w:left w:val="nil"/>
              <w:bottom w:val="nil"/>
              <w:right w:val="nil"/>
            </w:tcBorders>
            <w:shd w:val="clear" w:color="auto" w:fill="auto"/>
            <w:noWrap/>
            <w:hideMark/>
          </w:tcPr>
          <w:p w14:paraId="370ECE96" w14:textId="460EF6DB"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4</w:t>
            </w:r>
          </w:p>
        </w:tc>
        <w:tc>
          <w:tcPr>
            <w:tcW w:w="5909" w:type="dxa"/>
            <w:gridSpan w:val="2"/>
            <w:tcBorders>
              <w:top w:val="nil"/>
              <w:left w:val="nil"/>
              <w:bottom w:val="nil"/>
              <w:right w:val="nil"/>
            </w:tcBorders>
            <w:shd w:val="clear" w:color="auto" w:fill="auto"/>
            <w:noWrap/>
            <w:hideMark/>
          </w:tcPr>
          <w:p w14:paraId="4E1825D6"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Business Performance and Supply Chain Modelling</w:t>
            </w:r>
          </w:p>
        </w:tc>
        <w:tc>
          <w:tcPr>
            <w:tcW w:w="749" w:type="dxa"/>
            <w:gridSpan w:val="2"/>
            <w:tcBorders>
              <w:top w:val="nil"/>
              <w:left w:val="nil"/>
              <w:bottom w:val="nil"/>
              <w:right w:val="nil"/>
            </w:tcBorders>
            <w:shd w:val="clear" w:color="auto" w:fill="auto"/>
            <w:noWrap/>
            <w:hideMark/>
          </w:tcPr>
          <w:p w14:paraId="0F70585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63F8B92C"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184913CC" w14:textId="77777777" w:rsidTr="004628B3">
        <w:trPr>
          <w:trHeight w:val="320"/>
        </w:trPr>
        <w:tc>
          <w:tcPr>
            <w:tcW w:w="567" w:type="dxa"/>
            <w:tcBorders>
              <w:top w:val="nil"/>
              <w:left w:val="nil"/>
              <w:bottom w:val="nil"/>
              <w:right w:val="nil"/>
            </w:tcBorders>
            <w:shd w:val="clear" w:color="auto" w:fill="auto"/>
            <w:noWrap/>
            <w:hideMark/>
          </w:tcPr>
          <w:p w14:paraId="7A8496F3" w14:textId="57BD7362"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5</w:t>
            </w:r>
          </w:p>
        </w:tc>
        <w:tc>
          <w:tcPr>
            <w:tcW w:w="5909" w:type="dxa"/>
            <w:gridSpan w:val="2"/>
            <w:tcBorders>
              <w:top w:val="nil"/>
              <w:left w:val="nil"/>
              <w:bottom w:val="nil"/>
              <w:right w:val="nil"/>
            </w:tcBorders>
            <w:shd w:val="clear" w:color="auto" w:fill="auto"/>
            <w:noWrap/>
            <w:hideMark/>
          </w:tcPr>
          <w:p w14:paraId="4B9FE34F"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Foundations and Trends in Technology, Information and Operations Management</w:t>
            </w:r>
          </w:p>
        </w:tc>
        <w:tc>
          <w:tcPr>
            <w:tcW w:w="749" w:type="dxa"/>
            <w:gridSpan w:val="2"/>
            <w:tcBorders>
              <w:top w:val="nil"/>
              <w:left w:val="nil"/>
              <w:bottom w:val="nil"/>
              <w:right w:val="nil"/>
            </w:tcBorders>
            <w:shd w:val="clear" w:color="auto" w:fill="auto"/>
            <w:noWrap/>
            <w:hideMark/>
          </w:tcPr>
          <w:p w14:paraId="4FE0316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66D519BB"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269C2B94" w14:textId="77777777" w:rsidTr="004628B3">
        <w:trPr>
          <w:trHeight w:val="320"/>
        </w:trPr>
        <w:tc>
          <w:tcPr>
            <w:tcW w:w="567" w:type="dxa"/>
            <w:tcBorders>
              <w:top w:val="nil"/>
              <w:left w:val="nil"/>
              <w:bottom w:val="nil"/>
              <w:right w:val="nil"/>
            </w:tcBorders>
            <w:shd w:val="clear" w:color="auto" w:fill="auto"/>
            <w:noWrap/>
            <w:hideMark/>
          </w:tcPr>
          <w:p w14:paraId="46892C0F" w14:textId="1AEC7BC6"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6</w:t>
            </w:r>
          </w:p>
        </w:tc>
        <w:tc>
          <w:tcPr>
            <w:tcW w:w="5909" w:type="dxa"/>
            <w:gridSpan w:val="2"/>
            <w:tcBorders>
              <w:top w:val="nil"/>
              <w:left w:val="nil"/>
              <w:bottom w:val="nil"/>
              <w:right w:val="nil"/>
            </w:tcBorders>
            <w:shd w:val="clear" w:color="auto" w:fill="auto"/>
            <w:noWrap/>
            <w:hideMark/>
          </w:tcPr>
          <w:p w14:paraId="176C2912"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Agile Systems and Management</w:t>
            </w:r>
          </w:p>
        </w:tc>
        <w:tc>
          <w:tcPr>
            <w:tcW w:w="749" w:type="dxa"/>
            <w:gridSpan w:val="2"/>
            <w:tcBorders>
              <w:top w:val="nil"/>
              <w:left w:val="nil"/>
              <w:bottom w:val="nil"/>
              <w:right w:val="nil"/>
            </w:tcBorders>
            <w:shd w:val="clear" w:color="auto" w:fill="auto"/>
            <w:noWrap/>
            <w:hideMark/>
          </w:tcPr>
          <w:p w14:paraId="2B70676A"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123C191D"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7F23AD" w:rsidRPr="007F23AD" w14:paraId="57819297" w14:textId="77777777" w:rsidTr="004628B3">
        <w:trPr>
          <w:trHeight w:val="320"/>
        </w:trPr>
        <w:tc>
          <w:tcPr>
            <w:tcW w:w="567" w:type="dxa"/>
            <w:tcBorders>
              <w:top w:val="nil"/>
              <w:left w:val="nil"/>
              <w:bottom w:val="nil"/>
              <w:right w:val="nil"/>
            </w:tcBorders>
            <w:shd w:val="clear" w:color="auto" w:fill="auto"/>
            <w:noWrap/>
            <w:hideMark/>
          </w:tcPr>
          <w:p w14:paraId="50408F87" w14:textId="4674D6A8"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7</w:t>
            </w:r>
          </w:p>
        </w:tc>
        <w:tc>
          <w:tcPr>
            <w:tcW w:w="5909" w:type="dxa"/>
            <w:gridSpan w:val="2"/>
            <w:tcBorders>
              <w:top w:val="nil"/>
              <w:left w:val="nil"/>
              <w:bottom w:val="nil"/>
              <w:right w:val="nil"/>
            </w:tcBorders>
            <w:shd w:val="clear" w:color="auto" w:fill="auto"/>
            <w:noWrap/>
            <w:hideMark/>
          </w:tcPr>
          <w:p w14:paraId="57CF01D0"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International Journal of Value Chain Management</w:t>
            </w:r>
          </w:p>
        </w:tc>
        <w:tc>
          <w:tcPr>
            <w:tcW w:w="749" w:type="dxa"/>
            <w:gridSpan w:val="2"/>
            <w:tcBorders>
              <w:top w:val="nil"/>
              <w:left w:val="nil"/>
              <w:bottom w:val="nil"/>
              <w:right w:val="nil"/>
            </w:tcBorders>
            <w:shd w:val="clear" w:color="auto" w:fill="auto"/>
            <w:noWrap/>
            <w:hideMark/>
          </w:tcPr>
          <w:p w14:paraId="3B856540"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078A162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r>
      <w:tr w:rsidR="00BC6613" w:rsidRPr="007F23AD" w14:paraId="3C12B3EF" w14:textId="77777777" w:rsidTr="004628B3">
        <w:trPr>
          <w:trHeight w:val="320"/>
        </w:trPr>
        <w:tc>
          <w:tcPr>
            <w:tcW w:w="567" w:type="dxa"/>
            <w:tcBorders>
              <w:top w:val="nil"/>
              <w:left w:val="nil"/>
              <w:bottom w:val="nil"/>
              <w:right w:val="nil"/>
            </w:tcBorders>
            <w:shd w:val="clear" w:color="auto" w:fill="auto"/>
            <w:noWrap/>
            <w:hideMark/>
          </w:tcPr>
          <w:p w14:paraId="20E18752" w14:textId="59438034"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r w:rsidR="00D42FF8" w:rsidRPr="007F23AD">
              <w:rPr>
                <w:rFonts w:ascii="Calibri" w:eastAsia="Times New Roman" w:hAnsi="Calibri" w:cs="Calibri"/>
                <w:color w:val="000000" w:themeColor="text1"/>
                <w:sz w:val="18"/>
                <w:szCs w:val="18"/>
                <w:lang w:val="en-GB"/>
              </w:rPr>
              <w:t>8</w:t>
            </w:r>
          </w:p>
        </w:tc>
        <w:tc>
          <w:tcPr>
            <w:tcW w:w="5909" w:type="dxa"/>
            <w:gridSpan w:val="2"/>
            <w:tcBorders>
              <w:top w:val="nil"/>
              <w:left w:val="nil"/>
              <w:bottom w:val="nil"/>
              <w:right w:val="nil"/>
            </w:tcBorders>
            <w:shd w:val="clear" w:color="auto" w:fill="auto"/>
            <w:noWrap/>
            <w:hideMark/>
          </w:tcPr>
          <w:p w14:paraId="07110DD0" w14:textId="77777777" w:rsidR="00BC6613" w:rsidRPr="007F23AD" w:rsidRDefault="00BC6613" w:rsidP="004628B3">
            <w:pPr>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IEEE Transactions on Engineering Management</w:t>
            </w:r>
          </w:p>
        </w:tc>
        <w:tc>
          <w:tcPr>
            <w:tcW w:w="749" w:type="dxa"/>
            <w:gridSpan w:val="2"/>
            <w:tcBorders>
              <w:top w:val="nil"/>
              <w:left w:val="nil"/>
              <w:bottom w:val="nil"/>
              <w:right w:val="nil"/>
            </w:tcBorders>
            <w:shd w:val="clear" w:color="auto" w:fill="auto"/>
            <w:noWrap/>
            <w:hideMark/>
          </w:tcPr>
          <w:p w14:paraId="344BA0CE"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1</w:t>
            </w:r>
          </w:p>
        </w:tc>
        <w:tc>
          <w:tcPr>
            <w:tcW w:w="1075" w:type="dxa"/>
            <w:tcBorders>
              <w:top w:val="nil"/>
              <w:left w:val="nil"/>
              <w:bottom w:val="nil"/>
              <w:right w:val="nil"/>
            </w:tcBorders>
            <w:shd w:val="clear" w:color="auto" w:fill="auto"/>
            <w:noWrap/>
            <w:hideMark/>
          </w:tcPr>
          <w:p w14:paraId="5464DA2C" w14:textId="77777777" w:rsidR="00BC6613" w:rsidRPr="007F23AD" w:rsidRDefault="00BC6613" w:rsidP="004628B3">
            <w:pPr>
              <w:jc w:val="right"/>
              <w:rPr>
                <w:rFonts w:ascii="Calibri" w:eastAsia="Times New Roman" w:hAnsi="Calibri" w:cs="Calibri"/>
                <w:color w:val="000000" w:themeColor="text1"/>
                <w:sz w:val="18"/>
                <w:szCs w:val="18"/>
                <w:lang w:val="en-GB"/>
              </w:rPr>
            </w:pPr>
            <w:r w:rsidRPr="007F23AD">
              <w:rPr>
                <w:rFonts w:ascii="Calibri" w:eastAsia="Times New Roman" w:hAnsi="Calibri" w:cs="Calibri"/>
                <w:color w:val="000000" w:themeColor="text1"/>
                <w:sz w:val="18"/>
                <w:szCs w:val="18"/>
                <w:lang w:val="en-GB"/>
              </w:rPr>
              <w:t>3</w:t>
            </w:r>
          </w:p>
        </w:tc>
      </w:tr>
    </w:tbl>
    <w:p w14:paraId="0E59BE08" w14:textId="77777777" w:rsidR="00D42FF8" w:rsidRPr="007F23AD" w:rsidRDefault="00D42FF8" w:rsidP="00C3226C">
      <w:pPr>
        <w:spacing w:line="480" w:lineRule="auto"/>
        <w:jc w:val="both"/>
        <w:rPr>
          <w:rFonts w:ascii="Calibri" w:hAnsi="Calibri" w:cs="Calibri"/>
          <w:b/>
          <w:bCs/>
          <w:color w:val="000000" w:themeColor="text1"/>
          <w:sz w:val="22"/>
          <w:szCs w:val="22"/>
          <w:lang w:val="en-GB"/>
        </w:rPr>
      </w:pPr>
    </w:p>
    <w:p w14:paraId="3D49536D" w14:textId="22115795" w:rsidR="007A6BD4" w:rsidRPr="007F23AD" w:rsidRDefault="007A6BD4" w:rsidP="00C3226C">
      <w:pPr>
        <w:spacing w:line="480" w:lineRule="auto"/>
        <w:jc w:val="both"/>
        <w:rPr>
          <w:rFonts w:ascii="Calibri" w:hAnsi="Calibri" w:cs="Calibri"/>
          <w:b/>
          <w:bCs/>
          <w:color w:val="000000" w:themeColor="text1"/>
          <w:sz w:val="22"/>
          <w:szCs w:val="22"/>
          <w:lang w:val="en-GB"/>
        </w:rPr>
      </w:pPr>
      <w:r w:rsidRPr="007F23AD">
        <w:rPr>
          <w:rFonts w:ascii="Calibri" w:hAnsi="Calibri" w:cs="Calibri"/>
          <w:b/>
          <w:bCs/>
          <w:color w:val="000000" w:themeColor="text1"/>
          <w:sz w:val="22"/>
          <w:szCs w:val="22"/>
          <w:lang w:val="en-GB"/>
        </w:rPr>
        <w:lastRenderedPageBreak/>
        <w:t>References</w:t>
      </w:r>
    </w:p>
    <w:p w14:paraId="6ECBDDD4" w14:textId="77777777" w:rsidR="00FC69FC" w:rsidRPr="007F23AD" w:rsidRDefault="007A6BD4" w:rsidP="00FC69FC">
      <w:pPr>
        <w:pStyle w:val="EndNoteBibliography"/>
        <w:rPr>
          <w:noProof/>
          <w:color w:val="000000" w:themeColor="text1"/>
        </w:rPr>
      </w:pPr>
      <w:r w:rsidRPr="007F23AD">
        <w:rPr>
          <w:b/>
          <w:color w:val="000000" w:themeColor="text1"/>
          <w:szCs w:val="22"/>
          <w:lang w:val="en-GB"/>
        </w:rPr>
        <w:fldChar w:fldCharType="begin"/>
      </w:r>
      <w:r w:rsidRPr="007F23AD">
        <w:rPr>
          <w:color w:val="000000" w:themeColor="text1"/>
          <w:szCs w:val="22"/>
          <w:lang w:val="en-GB"/>
        </w:rPr>
        <w:instrText xml:space="preserve"> ADDIN EN.REFLIST </w:instrText>
      </w:r>
      <w:r w:rsidRPr="007F23AD">
        <w:rPr>
          <w:b/>
          <w:color w:val="000000" w:themeColor="text1"/>
          <w:szCs w:val="22"/>
          <w:lang w:val="en-GB"/>
        </w:rPr>
        <w:fldChar w:fldCharType="separate"/>
      </w:r>
      <w:r w:rsidR="00FC69FC" w:rsidRPr="007F23AD">
        <w:rPr>
          <w:noProof/>
          <w:color w:val="000000" w:themeColor="text1"/>
        </w:rPr>
        <w:t xml:space="preserve">Abas, M., Khattak, S. B., Habib, T. and Nadir, U. 2020. Assessment of critical risk and success factors in construction supply chain: a case of Pakistan. </w:t>
      </w:r>
      <w:r w:rsidR="00FC69FC" w:rsidRPr="007F23AD">
        <w:rPr>
          <w:i/>
          <w:noProof/>
          <w:color w:val="000000" w:themeColor="text1"/>
        </w:rPr>
        <w:t>International Journal of Construction Management</w:t>
      </w:r>
      <w:r w:rsidR="00FC69FC" w:rsidRPr="007F23AD">
        <w:rPr>
          <w:noProof/>
          <w:color w:val="000000" w:themeColor="text1"/>
        </w:rPr>
        <w:t>, pp. 1-9. doi: 10.1080/15623599.2020.1783597</w:t>
      </w:r>
    </w:p>
    <w:p w14:paraId="7E2A41A1" w14:textId="77777777" w:rsidR="00FC69FC" w:rsidRPr="007F23AD" w:rsidRDefault="00FC69FC" w:rsidP="00FC69FC">
      <w:pPr>
        <w:pStyle w:val="EndNoteBibliography"/>
        <w:rPr>
          <w:noProof/>
          <w:color w:val="000000" w:themeColor="text1"/>
        </w:rPr>
      </w:pPr>
    </w:p>
    <w:p w14:paraId="207277DB" w14:textId="5E523A0E" w:rsidR="00FC69FC" w:rsidRPr="007F23AD" w:rsidRDefault="00FC69FC" w:rsidP="00FC69FC">
      <w:pPr>
        <w:pStyle w:val="EndNoteBibliography"/>
        <w:rPr>
          <w:noProof/>
          <w:color w:val="000000" w:themeColor="text1"/>
        </w:rPr>
      </w:pPr>
      <w:r w:rsidRPr="007F23AD">
        <w:rPr>
          <w:noProof/>
          <w:color w:val="000000" w:themeColor="text1"/>
        </w:rPr>
        <w:t xml:space="preserve">ABS. 2021. </w:t>
      </w:r>
      <w:r w:rsidRPr="007F23AD">
        <w:rPr>
          <w:i/>
          <w:noProof/>
          <w:color w:val="000000" w:themeColor="text1"/>
        </w:rPr>
        <w:t>Academic Journal Guide</w:t>
      </w:r>
      <w:r w:rsidRPr="007F23AD">
        <w:rPr>
          <w:noProof/>
          <w:color w:val="000000" w:themeColor="text1"/>
        </w:rPr>
        <w:t xml:space="preserve">. Available at: </w:t>
      </w:r>
      <w:hyperlink r:id="rId21" w:history="1">
        <w:r w:rsidRPr="007F23AD">
          <w:rPr>
            <w:rStyle w:val="a4"/>
            <w:noProof/>
            <w:color w:val="000000" w:themeColor="text1"/>
          </w:rPr>
          <w:t>https://charteredabs.org/academic-journal-guide-2021/</w:t>
        </w:r>
      </w:hyperlink>
      <w:r w:rsidRPr="007F23AD">
        <w:rPr>
          <w:noProof/>
          <w:color w:val="000000" w:themeColor="text1"/>
        </w:rPr>
        <w:t xml:space="preserve"> [Accessed: 16/07/2022].</w:t>
      </w:r>
    </w:p>
    <w:p w14:paraId="064B6EAE" w14:textId="77777777" w:rsidR="00FC69FC" w:rsidRPr="007F23AD" w:rsidRDefault="00FC69FC" w:rsidP="00FC69FC">
      <w:pPr>
        <w:pStyle w:val="EndNoteBibliography"/>
        <w:rPr>
          <w:noProof/>
          <w:color w:val="000000" w:themeColor="text1"/>
        </w:rPr>
      </w:pPr>
    </w:p>
    <w:p w14:paraId="2AC8BF00" w14:textId="77777777" w:rsidR="00FC69FC" w:rsidRPr="007F23AD" w:rsidRDefault="00FC69FC" w:rsidP="00FC69FC">
      <w:pPr>
        <w:pStyle w:val="EndNoteBibliography"/>
        <w:rPr>
          <w:noProof/>
          <w:color w:val="000000" w:themeColor="text1"/>
        </w:rPr>
      </w:pPr>
      <w:r w:rsidRPr="007F23AD">
        <w:rPr>
          <w:noProof/>
          <w:color w:val="000000" w:themeColor="text1"/>
        </w:rPr>
        <w:t>Acosta Bogran, P. and Džaja, D. 2015. How do SMEs engage in Green Public Procurement?: An exploratory study of SMEs' barriers and enablers for Green Public Procurement in Scotland.</w:t>
      </w:r>
    </w:p>
    <w:p w14:paraId="20EEC0F9" w14:textId="77777777" w:rsidR="00FC69FC" w:rsidRPr="007F23AD" w:rsidRDefault="00FC69FC" w:rsidP="00FC69FC">
      <w:pPr>
        <w:pStyle w:val="EndNoteBibliography"/>
        <w:rPr>
          <w:noProof/>
          <w:color w:val="000000" w:themeColor="text1"/>
        </w:rPr>
      </w:pPr>
    </w:p>
    <w:p w14:paraId="641B7DFB" w14:textId="77777777" w:rsidR="00FC69FC" w:rsidRPr="007F23AD" w:rsidRDefault="00FC69FC" w:rsidP="00FC69FC">
      <w:pPr>
        <w:pStyle w:val="EndNoteBibliography"/>
        <w:rPr>
          <w:noProof/>
          <w:color w:val="000000" w:themeColor="text1"/>
        </w:rPr>
      </w:pPr>
      <w:r w:rsidRPr="007F23AD">
        <w:rPr>
          <w:noProof/>
          <w:color w:val="000000" w:themeColor="text1"/>
        </w:rPr>
        <w:t xml:space="preserve">Al-Mhdawi, M. K. S., Brito, M., Onggo, B. S., Qazi, A., O'Connor, A. and Namian, M. 2023. Construction Risk Management in Iraq during the COVID-19 Pandemic: Challenges to Implementation and Efficacy of Practices. </w:t>
      </w:r>
      <w:r w:rsidRPr="007F23AD">
        <w:rPr>
          <w:i/>
          <w:noProof/>
          <w:color w:val="000000" w:themeColor="text1"/>
        </w:rPr>
        <w:t>Journal of Construction Engineering and Management</w:t>
      </w:r>
      <w:r w:rsidRPr="007F23AD">
        <w:rPr>
          <w:noProof/>
          <w:color w:val="000000" w:themeColor="text1"/>
        </w:rPr>
        <w:t xml:space="preserve"> 149(9),  doi: 10.1061/JCEMD4.COENG-13099</w:t>
      </w:r>
    </w:p>
    <w:p w14:paraId="258E6DF4" w14:textId="77777777" w:rsidR="00FC69FC" w:rsidRPr="007F23AD" w:rsidRDefault="00FC69FC" w:rsidP="00FC69FC">
      <w:pPr>
        <w:pStyle w:val="EndNoteBibliography"/>
        <w:rPr>
          <w:noProof/>
          <w:color w:val="000000" w:themeColor="text1"/>
        </w:rPr>
      </w:pPr>
    </w:p>
    <w:p w14:paraId="4CFA3126" w14:textId="77777777" w:rsidR="00FC69FC" w:rsidRPr="007F23AD" w:rsidRDefault="00FC69FC" w:rsidP="00FC69FC">
      <w:pPr>
        <w:pStyle w:val="EndNoteBibliography"/>
        <w:rPr>
          <w:noProof/>
          <w:color w:val="000000" w:themeColor="text1"/>
        </w:rPr>
      </w:pPr>
      <w:r w:rsidRPr="007F23AD">
        <w:rPr>
          <w:noProof/>
          <w:color w:val="000000" w:themeColor="text1"/>
        </w:rPr>
        <w:t xml:space="preserve">Aladag, H. and Isik, Z. 2020. The Effect of Stakeholder-Associated Risks in Mega-Engineering Projects: A Case Study of a PPP Airport Project. </w:t>
      </w:r>
      <w:r w:rsidRPr="007F23AD">
        <w:rPr>
          <w:i/>
          <w:noProof/>
          <w:color w:val="000000" w:themeColor="text1"/>
        </w:rPr>
        <w:t>IEEE Transactions on Engineering Management</w:t>
      </w:r>
      <w:r w:rsidRPr="007F23AD">
        <w:rPr>
          <w:noProof/>
          <w:color w:val="000000" w:themeColor="text1"/>
        </w:rPr>
        <w:t xml:space="preserve"> 67(1), pp. 174-186. doi: 10.1109/tem.2018.2866269</w:t>
      </w:r>
    </w:p>
    <w:p w14:paraId="6AAAFAE0" w14:textId="77777777" w:rsidR="00FC69FC" w:rsidRPr="007F23AD" w:rsidRDefault="00FC69FC" w:rsidP="00FC69FC">
      <w:pPr>
        <w:pStyle w:val="EndNoteBibliography"/>
        <w:rPr>
          <w:noProof/>
          <w:color w:val="000000" w:themeColor="text1"/>
        </w:rPr>
      </w:pPr>
    </w:p>
    <w:p w14:paraId="654C11A3" w14:textId="77777777" w:rsidR="00FC69FC" w:rsidRPr="007F23AD" w:rsidRDefault="00FC69FC" w:rsidP="00FC69FC">
      <w:pPr>
        <w:pStyle w:val="EndNoteBibliography"/>
        <w:rPr>
          <w:noProof/>
          <w:color w:val="000000" w:themeColor="text1"/>
        </w:rPr>
      </w:pPr>
      <w:r w:rsidRPr="007F23AD">
        <w:rPr>
          <w:noProof/>
          <w:color w:val="000000" w:themeColor="text1"/>
        </w:rPr>
        <w:t xml:space="preserve">Aloini, D., Dulmin, R., Mininno, V. and Ponticelli, S. 2012. Supply chain management: a review of implementation risks in the construction industry. </w:t>
      </w:r>
      <w:r w:rsidRPr="007F23AD">
        <w:rPr>
          <w:i/>
          <w:noProof/>
          <w:color w:val="000000" w:themeColor="text1"/>
        </w:rPr>
        <w:t>Business Process Management Journal</w:t>
      </w:r>
      <w:r w:rsidRPr="007F23AD">
        <w:rPr>
          <w:noProof/>
          <w:color w:val="000000" w:themeColor="text1"/>
        </w:rPr>
        <w:t xml:space="preserve"> 18(5), pp. 735-761. doi: 10.1108/14637151211270135</w:t>
      </w:r>
    </w:p>
    <w:p w14:paraId="62FF3103" w14:textId="77777777" w:rsidR="00FC69FC" w:rsidRPr="007F23AD" w:rsidRDefault="00FC69FC" w:rsidP="00FC69FC">
      <w:pPr>
        <w:pStyle w:val="EndNoteBibliography"/>
        <w:rPr>
          <w:noProof/>
          <w:color w:val="000000" w:themeColor="text1"/>
        </w:rPr>
      </w:pPr>
    </w:p>
    <w:p w14:paraId="28832F26" w14:textId="46C8F6DA" w:rsidR="00FC69FC" w:rsidRPr="007F23AD" w:rsidRDefault="00FC69FC" w:rsidP="00FC69FC">
      <w:pPr>
        <w:pStyle w:val="EndNoteBibliography"/>
        <w:rPr>
          <w:noProof/>
          <w:color w:val="000000" w:themeColor="text1"/>
        </w:rPr>
      </w:pPr>
      <w:r w:rsidRPr="007F23AD">
        <w:rPr>
          <w:noProof/>
          <w:color w:val="000000" w:themeColor="text1"/>
        </w:rPr>
        <w:t xml:space="preserve">Ansari, Z. N. and Kant, R. 2017. A state-of-art literature review reflecting 15 years of focus on sustainable supply chain management. </w:t>
      </w:r>
      <w:r w:rsidRPr="007F23AD">
        <w:rPr>
          <w:i/>
          <w:noProof/>
          <w:color w:val="000000" w:themeColor="text1"/>
        </w:rPr>
        <w:t>Journal of Cleaner Production</w:t>
      </w:r>
      <w:r w:rsidRPr="007F23AD">
        <w:rPr>
          <w:noProof/>
          <w:color w:val="000000" w:themeColor="text1"/>
        </w:rPr>
        <w:t xml:space="preserve"> 142, pp. 2524-2543. doi: </w:t>
      </w:r>
      <w:hyperlink r:id="rId22" w:history="1">
        <w:r w:rsidRPr="007F23AD">
          <w:rPr>
            <w:rStyle w:val="a4"/>
            <w:noProof/>
            <w:color w:val="000000" w:themeColor="text1"/>
          </w:rPr>
          <w:t>https://doi.org/10.1016/j.jclepro.2016.11.023</w:t>
        </w:r>
      </w:hyperlink>
    </w:p>
    <w:p w14:paraId="682634EB" w14:textId="77777777" w:rsidR="00FC69FC" w:rsidRPr="007F23AD" w:rsidRDefault="00FC69FC" w:rsidP="00FC69FC">
      <w:pPr>
        <w:pStyle w:val="EndNoteBibliography"/>
        <w:rPr>
          <w:noProof/>
          <w:color w:val="000000" w:themeColor="text1"/>
        </w:rPr>
      </w:pPr>
    </w:p>
    <w:p w14:paraId="28388AAC" w14:textId="77777777" w:rsidR="00FC69FC" w:rsidRPr="007F23AD" w:rsidRDefault="00FC69FC" w:rsidP="00FC69FC">
      <w:pPr>
        <w:pStyle w:val="EndNoteBibliography"/>
        <w:rPr>
          <w:noProof/>
          <w:color w:val="000000" w:themeColor="text1"/>
        </w:rPr>
      </w:pPr>
      <w:r w:rsidRPr="007F23AD">
        <w:rPr>
          <w:noProof/>
          <w:color w:val="000000" w:themeColor="text1"/>
        </w:rPr>
        <w:t xml:space="preserve">Arsawan, I. W. E., Koval, V., Suhartanto, D., Hariyanti, N. K. D., Polishchuk, N. and Bondar, V. 2023. Circular economy practices in SMEs: aligning model of green economic incentives and environmental commitment. </w:t>
      </w:r>
      <w:r w:rsidRPr="007F23AD">
        <w:rPr>
          <w:i/>
          <w:noProof/>
          <w:color w:val="000000" w:themeColor="text1"/>
        </w:rPr>
        <w:t>International Journal of Productivity and Performance Management</w:t>
      </w:r>
      <w:r w:rsidRPr="007F23AD">
        <w:rPr>
          <w:noProof/>
          <w:color w:val="000000" w:themeColor="text1"/>
        </w:rPr>
        <w:t>,  doi: 10.1108/Ijppm-03-2022-0144</w:t>
      </w:r>
    </w:p>
    <w:p w14:paraId="77F4AC30" w14:textId="77777777" w:rsidR="00FC69FC" w:rsidRPr="007F23AD" w:rsidRDefault="00FC69FC" w:rsidP="00FC69FC">
      <w:pPr>
        <w:pStyle w:val="EndNoteBibliography"/>
        <w:rPr>
          <w:noProof/>
          <w:color w:val="000000" w:themeColor="text1"/>
        </w:rPr>
      </w:pPr>
    </w:p>
    <w:p w14:paraId="17C9B377" w14:textId="77777777" w:rsidR="00FC69FC" w:rsidRPr="007F23AD" w:rsidRDefault="00FC69FC" w:rsidP="00FC69FC">
      <w:pPr>
        <w:pStyle w:val="EndNoteBibliography"/>
        <w:rPr>
          <w:noProof/>
          <w:color w:val="000000" w:themeColor="text1"/>
        </w:rPr>
      </w:pPr>
      <w:r w:rsidRPr="007F23AD">
        <w:rPr>
          <w:noProof/>
          <w:color w:val="000000" w:themeColor="text1"/>
        </w:rPr>
        <w:t xml:space="preserve">Assembly, L. 2019. Derailed: Getting crossrail back on track. </w:t>
      </w:r>
      <w:r w:rsidRPr="007F23AD">
        <w:rPr>
          <w:i/>
          <w:noProof/>
          <w:color w:val="000000" w:themeColor="text1"/>
        </w:rPr>
        <w:t>London: London Assembly Transport Committee</w:t>
      </w:r>
      <w:r w:rsidRPr="007F23AD">
        <w:rPr>
          <w:noProof/>
          <w:color w:val="000000" w:themeColor="text1"/>
        </w:rPr>
        <w:t xml:space="preserve">,  </w:t>
      </w:r>
    </w:p>
    <w:p w14:paraId="21CB863B" w14:textId="77777777" w:rsidR="00FC69FC" w:rsidRPr="007F23AD" w:rsidRDefault="00FC69FC" w:rsidP="00FC69FC">
      <w:pPr>
        <w:pStyle w:val="EndNoteBibliography"/>
        <w:rPr>
          <w:noProof/>
          <w:color w:val="000000" w:themeColor="text1"/>
        </w:rPr>
      </w:pPr>
    </w:p>
    <w:p w14:paraId="70F2A444" w14:textId="23F3C4BC" w:rsidR="00FC69FC" w:rsidRPr="007F23AD" w:rsidRDefault="00FC69FC" w:rsidP="00FC69FC">
      <w:pPr>
        <w:pStyle w:val="EndNoteBibliography"/>
        <w:rPr>
          <w:noProof/>
          <w:color w:val="000000" w:themeColor="text1"/>
        </w:rPr>
      </w:pPr>
      <w:r w:rsidRPr="007F23AD">
        <w:rPr>
          <w:noProof/>
          <w:color w:val="000000" w:themeColor="text1"/>
        </w:rPr>
        <w:t xml:space="preserve">Austin, K., Mason, C. and Whannel, K. 2023. HS2 West Midlands-Manchester line to be scrapped. </w:t>
      </w:r>
      <w:r w:rsidRPr="007F23AD">
        <w:rPr>
          <w:i/>
          <w:noProof/>
          <w:color w:val="000000" w:themeColor="text1"/>
        </w:rPr>
        <w:t>BBC</w:t>
      </w:r>
      <w:r w:rsidRPr="007F23AD">
        <w:rPr>
          <w:noProof/>
          <w:color w:val="000000" w:themeColor="text1"/>
        </w:rPr>
        <w:t xml:space="preserve">.  Available at: </w:t>
      </w:r>
      <w:hyperlink r:id="rId23" w:history="1">
        <w:r w:rsidRPr="007F23AD">
          <w:rPr>
            <w:rStyle w:val="a4"/>
            <w:noProof/>
            <w:color w:val="000000" w:themeColor="text1"/>
          </w:rPr>
          <w:t>https://www.bbc.co.uk/news/uk-politics-66998692</w:t>
        </w:r>
      </w:hyperlink>
      <w:r w:rsidRPr="007F23AD">
        <w:rPr>
          <w:noProof/>
          <w:color w:val="000000" w:themeColor="text1"/>
        </w:rPr>
        <w:t xml:space="preserve"> [Accessed: 27-06-2024].</w:t>
      </w:r>
    </w:p>
    <w:p w14:paraId="0D19FAA8" w14:textId="77777777" w:rsidR="00FC69FC" w:rsidRPr="007F23AD" w:rsidRDefault="00FC69FC" w:rsidP="00FC69FC">
      <w:pPr>
        <w:pStyle w:val="EndNoteBibliography"/>
        <w:rPr>
          <w:noProof/>
          <w:color w:val="000000" w:themeColor="text1"/>
        </w:rPr>
      </w:pPr>
    </w:p>
    <w:p w14:paraId="64126590" w14:textId="77777777" w:rsidR="00FC69FC" w:rsidRPr="007F23AD" w:rsidRDefault="00FC69FC" w:rsidP="00FC69FC">
      <w:pPr>
        <w:pStyle w:val="EndNoteBibliography"/>
        <w:rPr>
          <w:noProof/>
          <w:color w:val="000000" w:themeColor="text1"/>
        </w:rPr>
      </w:pPr>
      <w:r w:rsidRPr="007F23AD">
        <w:rPr>
          <w:noProof/>
          <w:color w:val="000000" w:themeColor="text1"/>
        </w:rPr>
        <w:t xml:space="preserve">Bak, O., Shaw, S., Colicchia, C. and Kumar, V. 2023. A Systematic Literature Review of Supply Chain Resilience in Small-Medium Enterprises (SMEs): A Call for Further Research. </w:t>
      </w:r>
      <w:r w:rsidRPr="007F23AD">
        <w:rPr>
          <w:i/>
          <w:noProof/>
          <w:color w:val="000000" w:themeColor="text1"/>
        </w:rPr>
        <w:t>IEEE Transactions on Engineering Management</w:t>
      </w:r>
      <w:r w:rsidRPr="007F23AD">
        <w:rPr>
          <w:noProof/>
          <w:color w:val="000000" w:themeColor="text1"/>
        </w:rPr>
        <w:t xml:space="preserve"> 70(1), pp. 328-341. doi: 10.1109/TEM.2020.3016988</w:t>
      </w:r>
    </w:p>
    <w:p w14:paraId="17CACBBC" w14:textId="77777777" w:rsidR="00FC69FC" w:rsidRPr="007F23AD" w:rsidRDefault="00FC69FC" w:rsidP="00FC69FC">
      <w:pPr>
        <w:pStyle w:val="EndNoteBibliography"/>
        <w:rPr>
          <w:noProof/>
          <w:color w:val="000000" w:themeColor="text1"/>
        </w:rPr>
      </w:pPr>
    </w:p>
    <w:p w14:paraId="102CCD01" w14:textId="77777777" w:rsidR="00FC69FC" w:rsidRPr="007F23AD" w:rsidRDefault="00FC69FC" w:rsidP="00FC69FC">
      <w:pPr>
        <w:pStyle w:val="EndNoteBibliography"/>
        <w:rPr>
          <w:noProof/>
          <w:color w:val="000000" w:themeColor="text1"/>
        </w:rPr>
      </w:pPr>
      <w:r w:rsidRPr="007F23AD">
        <w:rPr>
          <w:noProof/>
          <w:color w:val="000000" w:themeColor="text1"/>
        </w:rPr>
        <w:t xml:space="preserve">Barreto, M. d. F. e. O. and Pires, K. R. 2015. Occupational risk management in construction supply chain. </w:t>
      </w:r>
      <w:r w:rsidRPr="007F23AD">
        <w:rPr>
          <w:i/>
          <w:noProof/>
          <w:color w:val="000000" w:themeColor="text1"/>
        </w:rPr>
        <w:t>International Journal of Business Performance and Supply Chain Modelling</w:t>
      </w:r>
      <w:r w:rsidRPr="007F23AD">
        <w:rPr>
          <w:noProof/>
          <w:color w:val="000000" w:themeColor="text1"/>
        </w:rPr>
        <w:t xml:space="preserve"> 7(1), pp. 1-11. doi: 10.1504/ijbpscm.2015.068125</w:t>
      </w:r>
    </w:p>
    <w:p w14:paraId="115FEA99" w14:textId="77777777" w:rsidR="00FC69FC" w:rsidRPr="007F23AD" w:rsidRDefault="00FC69FC" w:rsidP="00FC69FC">
      <w:pPr>
        <w:pStyle w:val="EndNoteBibliography"/>
        <w:rPr>
          <w:noProof/>
          <w:color w:val="000000" w:themeColor="text1"/>
        </w:rPr>
      </w:pPr>
    </w:p>
    <w:p w14:paraId="3C792C6D" w14:textId="77777777" w:rsidR="00FC69FC" w:rsidRPr="007F23AD" w:rsidRDefault="00FC69FC" w:rsidP="00FC69FC">
      <w:pPr>
        <w:pStyle w:val="EndNoteBibliography"/>
        <w:rPr>
          <w:noProof/>
          <w:color w:val="000000" w:themeColor="text1"/>
        </w:rPr>
      </w:pPr>
      <w:r w:rsidRPr="007F23AD">
        <w:rPr>
          <w:noProof/>
          <w:color w:val="000000" w:themeColor="text1"/>
        </w:rPr>
        <w:lastRenderedPageBreak/>
        <w:t xml:space="preserve">Björnfot, A. and Torjussen, L. 2012. Extent and effect of horizontal supply chain collaboration among construction SME. </w:t>
      </w:r>
      <w:r w:rsidRPr="007F23AD">
        <w:rPr>
          <w:i/>
          <w:noProof/>
          <w:color w:val="000000" w:themeColor="text1"/>
        </w:rPr>
        <w:t>Journal of Engineering, Project, and Production Management</w:t>
      </w:r>
      <w:r w:rsidRPr="007F23AD">
        <w:rPr>
          <w:noProof/>
          <w:color w:val="000000" w:themeColor="text1"/>
        </w:rPr>
        <w:t xml:space="preserve"> 2(1), pp. 47-55. </w:t>
      </w:r>
    </w:p>
    <w:p w14:paraId="0B771A36" w14:textId="77777777" w:rsidR="00FC69FC" w:rsidRPr="007F23AD" w:rsidRDefault="00FC69FC" w:rsidP="00FC69FC">
      <w:pPr>
        <w:pStyle w:val="EndNoteBibliography"/>
        <w:rPr>
          <w:noProof/>
          <w:color w:val="000000" w:themeColor="text1"/>
        </w:rPr>
      </w:pPr>
    </w:p>
    <w:p w14:paraId="7426258F" w14:textId="77777777" w:rsidR="00FC69FC" w:rsidRPr="007F23AD" w:rsidRDefault="00FC69FC" w:rsidP="00FC69FC">
      <w:pPr>
        <w:pStyle w:val="EndNoteBibliography"/>
        <w:rPr>
          <w:noProof/>
          <w:color w:val="000000" w:themeColor="text1"/>
        </w:rPr>
      </w:pPr>
      <w:r w:rsidRPr="007F23AD">
        <w:rPr>
          <w:noProof/>
          <w:color w:val="000000" w:themeColor="text1"/>
        </w:rPr>
        <w:t xml:space="preserve">Booltink, L. W. and Saka-Helmhout, A. 2018. The effects of R&amp;D intensity and internationalization on the performance of non-high-tech SMEs. </w:t>
      </w:r>
      <w:r w:rsidRPr="007F23AD">
        <w:rPr>
          <w:i/>
          <w:noProof/>
          <w:color w:val="000000" w:themeColor="text1"/>
        </w:rPr>
        <w:t>International Small Business Journal</w:t>
      </w:r>
      <w:r w:rsidRPr="007F23AD">
        <w:rPr>
          <w:noProof/>
          <w:color w:val="000000" w:themeColor="text1"/>
        </w:rPr>
        <w:t xml:space="preserve"> 36(1), pp. 81-103. doi: 10.1177/0266242617707566</w:t>
      </w:r>
    </w:p>
    <w:p w14:paraId="05E272E3" w14:textId="77777777" w:rsidR="00FC69FC" w:rsidRPr="007F23AD" w:rsidRDefault="00FC69FC" w:rsidP="00FC69FC">
      <w:pPr>
        <w:pStyle w:val="EndNoteBibliography"/>
        <w:rPr>
          <w:noProof/>
          <w:color w:val="000000" w:themeColor="text1"/>
        </w:rPr>
      </w:pPr>
    </w:p>
    <w:p w14:paraId="444BF79A" w14:textId="77777777" w:rsidR="00FC69FC" w:rsidRPr="007F23AD" w:rsidRDefault="00FC69FC" w:rsidP="00FC69FC">
      <w:pPr>
        <w:pStyle w:val="EndNoteBibliography"/>
        <w:rPr>
          <w:noProof/>
          <w:color w:val="000000" w:themeColor="text1"/>
        </w:rPr>
      </w:pPr>
      <w:r w:rsidRPr="007F23AD">
        <w:rPr>
          <w:noProof/>
          <w:color w:val="000000" w:themeColor="text1"/>
        </w:rPr>
        <w:t xml:space="preserve">Briscoe, G. and Dainty, A. 2005. Construction supply chain integration: an elusive goal? </w:t>
      </w:r>
      <w:r w:rsidRPr="007F23AD">
        <w:rPr>
          <w:i/>
          <w:noProof/>
          <w:color w:val="000000" w:themeColor="text1"/>
        </w:rPr>
        <w:t>Supply Chain Management: An International Journal</w:t>
      </w:r>
      <w:r w:rsidRPr="007F23AD">
        <w:rPr>
          <w:noProof/>
          <w:color w:val="000000" w:themeColor="text1"/>
        </w:rPr>
        <w:t xml:space="preserve"> 10(4), pp. 319-326. </w:t>
      </w:r>
    </w:p>
    <w:p w14:paraId="4CEF9B77" w14:textId="77777777" w:rsidR="00FC69FC" w:rsidRPr="007F23AD" w:rsidRDefault="00FC69FC" w:rsidP="00FC69FC">
      <w:pPr>
        <w:pStyle w:val="EndNoteBibliography"/>
        <w:rPr>
          <w:noProof/>
          <w:color w:val="000000" w:themeColor="text1"/>
        </w:rPr>
      </w:pPr>
    </w:p>
    <w:p w14:paraId="72AB1B30" w14:textId="77777777" w:rsidR="00FC69FC" w:rsidRPr="007F23AD" w:rsidRDefault="00FC69FC" w:rsidP="00FC69FC">
      <w:pPr>
        <w:pStyle w:val="EndNoteBibliography"/>
        <w:rPr>
          <w:noProof/>
          <w:color w:val="000000" w:themeColor="text1"/>
        </w:rPr>
      </w:pPr>
      <w:r w:rsidRPr="007F23AD">
        <w:rPr>
          <w:noProof/>
          <w:color w:val="000000" w:themeColor="text1"/>
        </w:rPr>
        <w:t xml:space="preserve">Britzelmaier, B., Ha€berle, M. and &amp; Landwehr, M. 2015. Risk management in German small and medium–sized enterprises. </w:t>
      </w:r>
      <w:r w:rsidRPr="007F23AD">
        <w:rPr>
          <w:i/>
          <w:noProof/>
          <w:color w:val="000000" w:themeColor="text1"/>
        </w:rPr>
        <w:t>International Journal of Entrepreneurship and Small Business</w:t>
      </w:r>
      <w:r w:rsidRPr="007F23AD">
        <w:rPr>
          <w:noProof/>
          <w:color w:val="000000" w:themeColor="text1"/>
        </w:rPr>
        <w:t xml:space="preserve"> 24(4), pp. 548-571. doi: 10.1504/ijesb.2015.068642</w:t>
      </w:r>
    </w:p>
    <w:p w14:paraId="6CBE56BA" w14:textId="77777777" w:rsidR="00FC69FC" w:rsidRPr="007F23AD" w:rsidRDefault="00FC69FC" w:rsidP="00FC69FC">
      <w:pPr>
        <w:pStyle w:val="EndNoteBibliography"/>
        <w:rPr>
          <w:noProof/>
          <w:color w:val="000000" w:themeColor="text1"/>
        </w:rPr>
      </w:pPr>
    </w:p>
    <w:p w14:paraId="0BD0C1D7" w14:textId="77777777" w:rsidR="00FC69FC" w:rsidRPr="007F23AD" w:rsidRDefault="00FC69FC" w:rsidP="00FC69FC">
      <w:pPr>
        <w:pStyle w:val="EndNoteBibliography"/>
        <w:rPr>
          <w:noProof/>
          <w:color w:val="000000" w:themeColor="text1"/>
        </w:rPr>
      </w:pPr>
      <w:r w:rsidRPr="007F23AD">
        <w:rPr>
          <w:noProof/>
          <w:color w:val="000000" w:themeColor="text1"/>
        </w:rPr>
        <w:t xml:space="preserve">Bureau, U. C. 2022. </w:t>
      </w:r>
      <w:r w:rsidRPr="007F23AD">
        <w:rPr>
          <w:i/>
          <w:noProof/>
          <w:color w:val="000000" w:themeColor="text1"/>
        </w:rPr>
        <w:t>North American industry classification system (NAICS)</w:t>
      </w:r>
      <w:r w:rsidRPr="007F23AD">
        <w:rPr>
          <w:noProof/>
          <w:color w:val="000000" w:themeColor="text1"/>
        </w:rPr>
        <w:t>. Author Washington, DC.</w:t>
      </w:r>
    </w:p>
    <w:p w14:paraId="0822E02B" w14:textId="77777777" w:rsidR="00FC69FC" w:rsidRPr="007F23AD" w:rsidRDefault="00FC69FC" w:rsidP="00FC69FC">
      <w:pPr>
        <w:pStyle w:val="EndNoteBibliography"/>
        <w:rPr>
          <w:noProof/>
          <w:color w:val="000000" w:themeColor="text1"/>
        </w:rPr>
      </w:pPr>
    </w:p>
    <w:p w14:paraId="56B0CCF2" w14:textId="77777777" w:rsidR="00FC69FC" w:rsidRPr="007F23AD" w:rsidRDefault="00FC69FC" w:rsidP="00FC69FC">
      <w:pPr>
        <w:pStyle w:val="EndNoteBibliography"/>
        <w:rPr>
          <w:noProof/>
          <w:color w:val="000000" w:themeColor="text1"/>
        </w:rPr>
      </w:pPr>
      <w:r w:rsidRPr="007F23AD">
        <w:rPr>
          <w:noProof/>
          <w:color w:val="000000" w:themeColor="text1"/>
        </w:rPr>
        <w:t xml:space="preserve">Burgess, K., Singh, P. J. and Koroglu, R. 2006. Supply chain management: a structured literature review and implications for future research. </w:t>
      </w:r>
      <w:r w:rsidRPr="007F23AD">
        <w:rPr>
          <w:i/>
          <w:noProof/>
          <w:color w:val="000000" w:themeColor="text1"/>
        </w:rPr>
        <w:t>International Journal of Operations &amp; Production Management</w:t>
      </w:r>
      <w:r w:rsidRPr="007F23AD">
        <w:rPr>
          <w:noProof/>
          <w:color w:val="000000" w:themeColor="text1"/>
        </w:rPr>
        <w:t xml:space="preserve"> 26(7), pp. 703-729. doi: 10.1108/01443570610672202</w:t>
      </w:r>
    </w:p>
    <w:p w14:paraId="113458DE" w14:textId="77777777" w:rsidR="00FC69FC" w:rsidRPr="007F23AD" w:rsidRDefault="00FC69FC" w:rsidP="00FC69FC">
      <w:pPr>
        <w:pStyle w:val="EndNoteBibliography"/>
        <w:rPr>
          <w:noProof/>
          <w:color w:val="000000" w:themeColor="text1"/>
        </w:rPr>
      </w:pPr>
    </w:p>
    <w:p w14:paraId="1CDC6AD8" w14:textId="77777777" w:rsidR="00FC69FC" w:rsidRPr="007F23AD" w:rsidRDefault="00FC69FC" w:rsidP="00FC69FC">
      <w:pPr>
        <w:pStyle w:val="EndNoteBibliography"/>
        <w:rPr>
          <w:noProof/>
          <w:color w:val="000000" w:themeColor="text1"/>
        </w:rPr>
      </w:pPr>
      <w:r w:rsidRPr="007F23AD">
        <w:rPr>
          <w:noProof/>
          <w:color w:val="000000" w:themeColor="text1"/>
        </w:rPr>
        <w:t xml:space="preserve">Bygballe, L. E., Jahre, M. and Swärd, A. 2010. Partnering relationships in construction: A literature review. </w:t>
      </w:r>
      <w:r w:rsidRPr="007F23AD">
        <w:rPr>
          <w:i/>
          <w:noProof/>
          <w:color w:val="000000" w:themeColor="text1"/>
        </w:rPr>
        <w:t>Journal of Purchasing and Supply Management</w:t>
      </w:r>
      <w:r w:rsidRPr="007F23AD">
        <w:rPr>
          <w:noProof/>
          <w:color w:val="000000" w:themeColor="text1"/>
        </w:rPr>
        <w:t xml:space="preserve"> 16(4), pp. 239-253. doi: 10.1016/j.pursup.2010.08.002</w:t>
      </w:r>
    </w:p>
    <w:p w14:paraId="2419E014" w14:textId="77777777" w:rsidR="00FC69FC" w:rsidRPr="007F23AD" w:rsidRDefault="00FC69FC" w:rsidP="00FC69FC">
      <w:pPr>
        <w:pStyle w:val="EndNoteBibliography"/>
        <w:rPr>
          <w:noProof/>
          <w:color w:val="000000" w:themeColor="text1"/>
        </w:rPr>
      </w:pPr>
    </w:p>
    <w:p w14:paraId="1A9C9593" w14:textId="77777777" w:rsidR="00FC69FC" w:rsidRPr="007F23AD" w:rsidRDefault="00FC69FC" w:rsidP="00FC69FC">
      <w:pPr>
        <w:pStyle w:val="EndNoteBibliography"/>
        <w:rPr>
          <w:noProof/>
          <w:color w:val="000000" w:themeColor="text1"/>
        </w:rPr>
      </w:pPr>
      <w:r w:rsidRPr="007F23AD">
        <w:rPr>
          <w:noProof/>
          <w:color w:val="000000" w:themeColor="text1"/>
        </w:rPr>
        <w:t xml:space="preserve">Cataldo, I., Banaitis, A., Samadhiya, A., Banaitiene, N., Bandrana, A. and Luthra, S. 2022. Sustainable supply chain management in construction: an exploratory review for future research. </w:t>
      </w:r>
      <w:r w:rsidRPr="007F23AD">
        <w:rPr>
          <w:i/>
          <w:noProof/>
          <w:color w:val="000000" w:themeColor="text1"/>
        </w:rPr>
        <w:t>JOURNAL OF CIVIL ENGINEERING AND MANAGEMENT</w:t>
      </w:r>
      <w:r w:rsidRPr="007F23AD">
        <w:rPr>
          <w:noProof/>
          <w:color w:val="000000" w:themeColor="text1"/>
        </w:rPr>
        <w:t xml:space="preserve"> 28, pp. 536-553. doi: 10.3846/jcem.2022.17202</w:t>
      </w:r>
    </w:p>
    <w:p w14:paraId="4793C155" w14:textId="77777777" w:rsidR="00FC69FC" w:rsidRPr="007F23AD" w:rsidRDefault="00FC69FC" w:rsidP="00FC69FC">
      <w:pPr>
        <w:pStyle w:val="EndNoteBibliography"/>
        <w:rPr>
          <w:noProof/>
          <w:color w:val="000000" w:themeColor="text1"/>
        </w:rPr>
      </w:pPr>
    </w:p>
    <w:p w14:paraId="0984B102" w14:textId="77777777" w:rsidR="00FC69FC" w:rsidRPr="007F23AD" w:rsidRDefault="00FC69FC" w:rsidP="00FC69FC">
      <w:pPr>
        <w:pStyle w:val="EndNoteBibliography"/>
        <w:rPr>
          <w:noProof/>
          <w:color w:val="000000" w:themeColor="text1"/>
        </w:rPr>
      </w:pPr>
      <w:r w:rsidRPr="007F23AD">
        <w:rPr>
          <w:noProof/>
          <w:color w:val="000000" w:themeColor="text1"/>
        </w:rPr>
        <w:t xml:space="preserve">Chan, A., Chan, D. D. and Ho, K. 2003. An empirical study of the benefits of construction partnering in Hong Kong. </w:t>
      </w:r>
      <w:r w:rsidRPr="007F23AD">
        <w:rPr>
          <w:i/>
          <w:noProof/>
          <w:color w:val="000000" w:themeColor="text1"/>
        </w:rPr>
        <w:t>Construction Management &amp; Economics</w:t>
      </w:r>
      <w:r w:rsidRPr="007F23AD">
        <w:rPr>
          <w:noProof/>
          <w:color w:val="000000" w:themeColor="text1"/>
        </w:rPr>
        <w:t xml:space="preserve"> 21, pp. 523-533. doi: 10.1080/0144619032000056162</w:t>
      </w:r>
    </w:p>
    <w:p w14:paraId="5B78B7C2" w14:textId="77777777" w:rsidR="00FC69FC" w:rsidRPr="007F23AD" w:rsidRDefault="00FC69FC" w:rsidP="00FC69FC">
      <w:pPr>
        <w:pStyle w:val="EndNoteBibliography"/>
        <w:rPr>
          <w:noProof/>
          <w:color w:val="000000" w:themeColor="text1"/>
        </w:rPr>
      </w:pPr>
    </w:p>
    <w:p w14:paraId="10ABF4E2" w14:textId="77777777" w:rsidR="00FC69FC" w:rsidRPr="007F23AD" w:rsidRDefault="00FC69FC" w:rsidP="00FC69FC">
      <w:pPr>
        <w:pStyle w:val="EndNoteBibliography"/>
        <w:rPr>
          <w:noProof/>
          <w:color w:val="000000" w:themeColor="text1"/>
        </w:rPr>
      </w:pPr>
      <w:r w:rsidRPr="007F23AD">
        <w:rPr>
          <w:noProof/>
          <w:color w:val="000000" w:themeColor="text1"/>
        </w:rPr>
        <w:t xml:space="preserve">Cooke, B. and Williams, P. 2013. </w:t>
      </w:r>
      <w:r w:rsidRPr="007F23AD">
        <w:rPr>
          <w:i/>
          <w:noProof/>
          <w:color w:val="000000" w:themeColor="text1"/>
        </w:rPr>
        <w:t>Construction planning, programming and control</w:t>
      </w:r>
      <w:r w:rsidRPr="007F23AD">
        <w:rPr>
          <w:noProof/>
          <w:color w:val="000000" w:themeColor="text1"/>
        </w:rPr>
        <w:t>. John Wiley &amp; Sons.</w:t>
      </w:r>
    </w:p>
    <w:p w14:paraId="79670FB2" w14:textId="77777777" w:rsidR="00FC69FC" w:rsidRPr="007F23AD" w:rsidRDefault="00FC69FC" w:rsidP="00FC69FC">
      <w:pPr>
        <w:pStyle w:val="EndNoteBibliography"/>
        <w:rPr>
          <w:noProof/>
          <w:color w:val="000000" w:themeColor="text1"/>
        </w:rPr>
      </w:pPr>
    </w:p>
    <w:p w14:paraId="6AAC32DB" w14:textId="77777777" w:rsidR="00FC69FC" w:rsidRPr="007F23AD" w:rsidRDefault="00FC69FC" w:rsidP="00FC69FC">
      <w:pPr>
        <w:pStyle w:val="EndNoteBibliography"/>
        <w:rPr>
          <w:noProof/>
          <w:color w:val="000000" w:themeColor="text1"/>
        </w:rPr>
      </w:pPr>
      <w:r w:rsidRPr="007F23AD">
        <w:rPr>
          <w:noProof/>
          <w:color w:val="000000" w:themeColor="text1"/>
        </w:rPr>
        <w:t xml:space="preserve">Crespin-Mazet, F. and Portier, P. 2010. The reluctance of construction purchasers towards project partnering. </w:t>
      </w:r>
      <w:r w:rsidRPr="007F23AD">
        <w:rPr>
          <w:i/>
          <w:noProof/>
          <w:color w:val="000000" w:themeColor="text1"/>
        </w:rPr>
        <w:t>Journal of Purchasing and Supply Management</w:t>
      </w:r>
      <w:r w:rsidRPr="007F23AD">
        <w:rPr>
          <w:noProof/>
          <w:color w:val="000000" w:themeColor="text1"/>
        </w:rPr>
        <w:t xml:space="preserve"> 16(4), pp. 230-238. doi: 10.1016/j.pursup.2010.06.001</w:t>
      </w:r>
    </w:p>
    <w:p w14:paraId="752399D7" w14:textId="77777777" w:rsidR="00FC69FC" w:rsidRPr="007F23AD" w:rsidRDefault="00FC69FC" w:rsidP="00FC69FC">
      <w:pPr>
        <w:pStyle w:val="EndNoteBibliography"/>
        <w:rPr>
          <w:noProof/>
          <w:color w:val="000000" w:themeColor="text1"/>
        </w:rPr>
      </w:pPr>
    </w:p>
    <w:p w14:paraId="17D82BCB" w14:textId="5FA8F997" w:rsidR="00FC69FC" w:rsidRPr="007F23AD" w:rsidRDefault="00FC69FC" w:rsidP="00FC69FC">
      <w:pPr>
        <w:pStyle w:val="EndNoteBibliography"/>
        <w:rPr>
          <w:noProof/>
          <w:color w:val="000000" w:themeColor="text1"/>
        </w:rPr>
      </w:pPr>
      <w:r w:rsidRPr="007F23AD">
        <w:rPr>
          <w:noProof/>
          <w:color w:val="000000" w:themeColor="text1"/>
        </w:rPr>
        <w:t xml:space="preserve">Crovini, C., Ossola, G. and Britzelmaier, B. 2021. How to reconsider risk management in SMEs? An Advanced, Reasoned and Organised Literature Review. </w:t>
      </w:r>
      <w:r w:rsidRPr="007F23AD">
        <w:rPr>
          <w:i/>
          <w:noProof/>
          <w:color w:val="000000" w:themeColor="text1"/>
        </w:rPr>
        <w:t>European Management Journal</w:t>
      </w:r>
      <w:r w:rsidRPr="007F23AD">
        <w:rPr>
          <w:noProof/>
          <w:color w:val="000000" w:themeColor="text1"/>
        </w:rPr>
        <w:t xml:space="preserve"> 39(1), pp. 118-134. doi: </w:t>
      </w:r>
      <w:hyperlink r:id="rId24" w:history="1">
        <w:r w:rsidRPr="007F23AD">
          <w:rPr>
            <w:rStyle w:val="a4"/>
            <w:noProof/>
            <w:color w:val="000000" w:themeColor="text1"/>
          </w:rPr>
          <w:t>https://doi.org/10.1016/j.emj.2020.11.002</w:t>
        </w:r>
      </w:hyperlink>
    </w:p>
    <w:p w14:paraId="4A392FAF" w14:textId="77777777" w:rsidR="00FC69FC" w:rsidRPr="007F23AD" w:rsidRDefault="00FC69FC" w:rsidP="00FC69FC">
      <w:pPr>
        <w:pStyle w:val="EndNoteBibliography"/>
        <w:rPr>
          <w:noProof/>
          <w:color w:val="000000" w:themeColor="text1"/>
        </w:rPr>
      </w:pPr>
    </w:p>
    <w:p w14:paraId="54074A32" w14:textId="77777777" w:rsidR="00FC69FC" w:rsidRPr="007F23AD" w:rsidRDefault="00FC69FC" w:rsidP="00FC69FC">
      <w:pPr>
        <w:pStyle w:val="EndNoteBibliography"/>
        <w:rPr>
          <w:noProof/>
          <w:color w:val="000000" w:themeColor="text1"/>
        </w:rPr>
      </w:pPr>
      <w:r w:rsidRPr="007F23AD">
        <w:rPr>
          <w:noProof/>
          <w:color w:val="000000" w:themeColor="text1"/>
        </w:rPr>
        <w:t xml:space="preserve">Deshmukh, S. V. and Chavan, A. 2012. Six Sigma and SMEs: a critical review of literature. </w:t>
      </w:r>
      <w:r w:rsidRPr="007F23AD">
        <w:rPr>
          <w:i/>
          <w:noProof/>
          <w:color w:val="000000" w:themeColor="text1"/>
        </w:rPr>
        <w:t>International Journal of Lean Six Sigma</w:t>
      </w:r>
      <w:r w:rsidRPr="007F23AD">
        <w:rPr>
          <w:noProof/>
          <w:color w:val="000000" w:themeColor="text1"/>
        </w:rPr>
        <w:t xml:space="preserve"> 3(2), pp. 157-167. doi: 10.1108/20401461211243720</w:t>
      </w:r>
    </w:p>
    <w:p w14:paraId="0B965F1A" w14:textId="77777777" w:rsidR="00FC69FC" w:rsidRPr="007F23AD" w:rsidRDefault="00FC69FC" w:rsidP="00FC69FC">
      <w:pPr>
        <w:pStyle w:val="EndNoteBibliography"/>
        <w:rPr>
          <w:noProof/>
          <w:color w:val="000000" w:themeColor="text1"/>
        </w:rPr>
      </w:pPr>
    </w:p>
    <w:p w14:paraId="0DA75F06" w14:textId="77777777" w:rsidR="00FC69FC" w:rsidRPr="007F23AD" w:rsidRDefault="00FC69FC" w:rsidP="00FC69FC">
      <w:pPr>
        <w:pStyle w:val="EndNoteBibliography"/>
        <w:rPr>
          <w:noProof/>
          <w:color w:val="000000" w:themeColor="text1"/>
        </w:rPr>
      </w:pPr>
      <w:r w:rsidRPr="007F23AD">
        <w:rPr>
          <w:noProof/>
          <w:color w:val="000000" w:themeColor="text1"/>
        </w:rPr>
        <w:t xml:space="preserve">Donato, M., Ahsan, K. and Shee, H. 2015. Resource dependency and collaboration in construction supply chain: literature review and development of a conceptual framework. </w:t>
      </w:r>
      <w:r w:rsidRPr="007F23AD">
        <w:rPr>
          <w:i/>
          <w:noProof/>
          <w:color w:val="000000" w:themeColor="text1"/>
        </w:rPr>
        <w:lastRenderedPageBreak/>
        <w:t>International Journal of Procurement Management</w:t>
      </w:r>
      <w:r w:rsidRPr="007F23AD">
        <w:rPr>
          <w:noProof/>
          <w:color w:val="000000" w:themeColor="text1"/>
        </w:rPr>
        <w:t xml:space="preserve"> 8(3), pp. 344-364. doi: 10.1504/ijpm.2015.069157</w:t>
      </w:r>
    </w:p>
    <w:p w14:paraId="202DB5A0" w14:textId="77777777" w:rsidR="00FC69FC" w:rsidRPr="007F23AD" w:rsidRDefault="00FC69FC" w:rsidP="00FC69FC">
      <w:pPr>
        <w:pStyle w:val="EndNoteBibliography"/>
        <w:rPr>
          <w:noProof/>
          <w:color w:val="000000" w:themeColor="text1"/>
        </w:rPr>
      </w:pPr>
    </w:p>
    <w:p w14:paraId="50616D00" w14:textId="77777777" w:rsidR="00FC69FC" w:rsidRPr="007F23AD" w:rsidRDefault="00FC69FC" w:rsidP="00FC69FC">
      <w:pPr>
        <w:pStyle w:val="EndNoteBibliography"/>
        <w:rPr>
          <w:noProof/>
          <w:color w:val="000000" w:themeColor="text1"/>
        </w:rPr>
      </w:pPr>
      <w:r w:rsidRPr="007F23AD">
        <w:rPr>
          <w:noProof/>
          <w:color w:val="000000" w:themeColor="text1"/>
        </w:rPr>
        <w:t xml:space="preserve">Dubois, A., Hulthén, K. and Sundquist, V. 2019. Organising logistics and transport activities in construction. </w:t>
      </w:r>
      <w:r w:rsidRPr="007F23AD">
        <w:rPr>
          <w:i/>
          <w:noProof/>
          <w:color w:val="000000" w:themeColor="text1"/>
        </w:rPr>
        <w:t>International Journal of Logistics Management</w:t>
      </w:r>
      <w:r w:rsidRPr="007F23AD">
        <w:rPr>
          <w:noProof/>
          <w:color w:val="000000" w:themeColor="text1"/>
        </w:rPr>
        <w:t xml:space="preserve"> 30(2), pp. 620-640. doi: 10.1108/Ijlm-12-2017-0325</w:t>
      </w:r>
    </w:p>
    <w:p w14:paraId="348F6D92" w14:textId="77777777" w:rsidR="00FC69FC" w:rsidRPr="007F23AD" w:rsidRDefault="00FC69FC" w:rsidP="00FC69FC">
      <w:pPr>
        <w:pStyle w:val="EndNoteBibliography"/>
        <w:rPr>
          <w:noProof/>
          <w:color w:val="000000" w:themeColor="text1"/>
        </w:rPr>
      </w:pPr>
    </w:p>
    <w:p w14:paraId="7A3DF2EF" w14:textId="77777777" w:rsidR="00FC69FC" w:rsidRPr="007F23AD" w:rsidRDefault="00FC69FC" w:rsidP="00FC69FC">
      <w:pPr>
        <w:pStyle w:val="EndNoteBibliography"/>
        <w:rPr>
          <w:noProof/>
          <w:color w:val="000000" w:themeColor="text1"/>
        </w:rPr>
      </w:pPr>
      <w:r w:rsidRPr="007F23AD">
        <w:rPr>
          <w:noProof/>
          <w:color w:val="000000" w:themeColor="text1"/>
        </w:rPr>
        <w:t xml:space="preserve">Elsayegh, A. and El-adaway, I. H. 2021. Holistic Study and Analysis of Factors Affecting Collaborative Planning in Construction. </w:t>
      </w:r>
      <w:r w:rsidRPr="007F23AD">
        <w:rPr>
          <w:i/>
          <w:noProof/>
          <w:color w:val="000000" w:themeColor="text1"/>
        </w:rPr>
        <w:t>Journal of Construction Engineering and Management</w:t>
      </w:r>
      <w:r w:rsidRPr="007F23AD">
        <w:rPr>
          <w:noProof/>
          <w:color w:val="000000" w:themeColor="text1"/>
        </w:rPr>
        <w:t xml:space="preserve"> 147(4),  doi: 10.1061/(asce)co.1943-7862.0002031</w:t>
      </w:r>
    </w:p>
    <w:p w14:paraId="7E4AF6CD" w14:textId="77777777" w:rsidR="00FC69FC" w:rsidRPr="007F23AD" w:rsidRDefault="00FC69FC" w:rsidP="00FC69FC">
      <w:pPr>
        <w:pStyle w:val="EndNoteBibliography"/>
        <w:rPr>
          <w:noProof/>
          <w:color w:val="000000" w:themeColor="text1"/>
        </w:rPr>
      </w:pPr>
    </w:p>
    <w:p w14:paraId="0B7AC6A0" w14:textId="77777777" w:rsidR="00FC69FC" w:rsidRPr="007F23AD" w:rsidRDefault="00FC69FC" w:rsidP="00FC69FC">
      <w:pPr>
        <w:pStyle w:val="EndNoteBibliography"/>
        <w:rPr>
          <w:noProof/>
          <w:color w:val="000000" w:themeColor="text1"/>
        </w:rPr>
      </w:pPr>
      <w:r w:rsidRPr="007F23AD">
        <w:rPr>
          <w:noProof/>
          <w:color w:val="000000" w:themeColor="text1"/>
        </w:rPr>
        <w:t xml:space="preserve">Eriksson, P. E., Dickinson, M. and Khalfan, M. 2007. The influence of partnering and procurement on subcontractor involvement and innovation. </w:t>
      </w:r>
      <w:r w:rsidRPr="007F23AD">
        <w:rPr>
          <w:i/>
          <w:noProof/>
          <w:color w:val="000000" w:themeColor="text1"/>
        </w:rPr>
        <w:t>Facilities</w:t>
      </w:r>
      <w:r w:rsidRPr="007F23AD">
        <w:rPr>
          <w:noProof/>
          <w:color w:val="000000" w:themeColor="text1"/>
        </w:rPr>
        <w:t xml:space="preserve"> 25, pp. 203-214. doi: 10.1108/02632770710742174</w:t>
      </w:r>
    </w:p>
    <w:p w14:paraId="4D4D6DDE" w14:textId="77777777" w:rsidR="00FC69FC" w:rsidRPr="007F23AD" w:rsidRDefault="00FC69FC" w:rsidP="00FC69FC">
      <w:pPr>
        <w:pStyle w:val="EndNoteBibliography"/>
        <w:rPr>
          <w:noProof/>
          <w:color w:val="000000" w:themeColor="text1"/>
        </w:rPr>
      </w:pPr>
    </w:p>
    <w:p w14:paraId="7434B3AB" w14:textId="77777777" w:rsidR="00FC69FC" w:rsidRPr="007F23AD" w:rsidRDefault="00FC69FC" w:rsidP="00FC69FC">
      <w:pPr>
        <w:pStyle w:val="EndNoteBibliography"/>
        <w:rPr>
          <w:noProof/>
          <w:color w:val="000000" w:themeColor="text1"/>
        </w:rPr>
      </w:pPr>
      <w:r w:rsidRPr="007F23AD">
        <w:rPr>
          <w:noProof/>
          <w:color w:val="000000" w:themeColor="text1"/>
        </w:rPr>
        <w:t xml:space="preserve">Eze, C. E., Awodele, I. A., Adegboyega, A. A., Onyeagam, O. P. and Guto, J. A. 2020. Assessment of the triggers of inefficient materials management practices by construction SMEs in Nigeria. </w:t>
      </w:r>
      <w:r w:rsidRPr="007F23AD">
        <w:rPr>
          <w:i/>
          <w:noProof/>
          <w:color w:val="000000" w:themeColor="text1"/>
        </w:rPr>
        <w:t>International Journal of Real Estate Studies</w:t>
      </w:r>
      <w:r w:rsidRPr="007F23AD">
        <w:rPr>
          <w:noProof/>
          <w:color w:val="000000" w:themeColor="text1"/>
        </w:rPr>
        <w:t xml:space="preserve"> 14(1), pp. 38-56. </w:t>
      </w:r>
    </w:p>
    <w:p w14:paraId="648602A0" w14:textId="77777777" w:rsidR="00FC69FC" w:rsidRPr="007F23AD" w:rsidRDefault="00FC69FC" w:rsidP="00FC69FC">
      <w:pPr>
        <w:pStyle w:val="EndNoteBibliography"/>
        <w:rPr>
          <w:noProof/>
          <w:color w:val="000000" w:themeColor="text1"/>
        </w:rPr>
      </w:pPr>
    </w:p>
    <w:p w14:paraId="6D3B48AB" w14:textId="77777777" w:rsidR="00FC69FC" w:rsidRPr="007F23AD" w:rsidRDefault="00FC69FC" w:rsidP="00FC69FC">
      <w:pPr>
        <w:pStyle w:val="EndNoteBibliography"/>
        <w:rPr>
          <w:noProof/>
          <w:color w:val="000000" w:themeColor="text1"/>
        </w:rPr>
      </w:pPr>
      <w:r w:rsidRPr="007F23AD">
        <w:rPr>
          <w:noProof/>
          <w:color w:val="000000" w:themeColor="text1"/>
        </w:rPr>
        <w:t xml:space="preserve">Fan, Y. Y. and Stevenson, M. 2018. A review of supply chain risk management: definition, theory, and research agenda. </w:t>
      </w:r>
      <w:r w:rsidRPr="007F23AD">
        <w:rPr>
          <w:i/>
          <w:noProof/>
          <w:color w:val="000000" w:themeColor="text1"/>
        </w:rPr>
        <w:t>International Journal of Physical Distribution &amp; Logistics Management</w:t>
      </w:r>
      <w:r w:rsidRPr="007F23AD">
        <w:rPr>
          <w:noProof/>
          <w:color w:val="000000" w:themeColor="text1"/>
        </w:rPr>
        <w:t xml:space="preserve"> 48(3), pp. 205-230. doi: 10.1108/Ijpdlm-01-2017-0043</w:t>
      </w:r>
    </w:p>
    <w:p w14:paraId="7252F862" w14:textId="77777777" w:rsidR="00FC69FC" w:rsidRPr="007F23AD" w:rsidRDefault="00FC69FC" w:rsidP="00FC69FC">
      <w:pPr>
        <w:pStyle w:val="EndNoteBibliography"/>
        <w:rPr>
          <w:noProof/>
          <w:color w:val="000000" w:themeColor="text1"/>
        </w:rPr>
      </w:pPr>
    </w:p>
    <w:p w14:paraId="06F41628" w14:textId="77777777" w:rsidR="00FC69FC" w:rsidRPr="007F23AD" w:rsidRDefault="00FC69FC" w:rsidP="00FC69FC">
      <w:pPr>
        <w:pStyle w:val="EndNoteBibliography"/>
        <w:rPr>
          <w:noProof/>
          <w:color w:val="000000" w:themeColor="text1"/>
        </w:rPr>
      </w:pPr>
      <w:r w:rsidRPr="007F23AD">
        <w:rPr>
          <w:noProof/>
          <w:color w:val="000000" w:themeColor="text1"/>
        </w:rPr>
        <w:t xml:space="preserve">Farahani, M. H., Dawande, M., Gurnani, H. and Janakiraman, G. 2021. Better to Bend than to Break: Sharing Supply Risk Using the Supply-Flexibility Contract. </w:t>
      </w:r>
      <w:r w:rsidRPr="007F23AD">
        <w:rPr>
          <w:i/>
          <w:noProof/>
          <w:color w:val="000000" w:themeColor="text1"/>
        </w:rPr>
        <w:t>Manufacturing &amp; Service Operations Management</w:t>
      </w:r>
      <w:r w:rsidRPr="007F23AD">
        <w:rPr>
          <w:noProof/>
          <w:color w:val="000000" w:themeColor="text1"/>
        </w:rPr>
        <w:t xml:space="preserve"> 23(5), pp. 1257-1274. doi: 10.1287/msom.2020.0886</w:t>
      </w:r>
    </w:p>
    <w:p w14:paraId="49414441" w14:textId="77777777" w:rsidR="00FC69FC" w:rsidRPr="007F23AD" w:rsidRDefault="00FC69FC" w:rsidP="00FC69FC">
      <w:pPr>
        <w:pStyle w:val="EndNoteBibliography"/>
        <w:rPr>
          <w:noProof/>
          <w:color w:val="000000" w:themeColor="text1"/>
        </w:rPr>
      </w:pPr>
    </w:p>
    <w:p w14:paraId="7568A0F8" w14:textId="24CC29A2" w:rsidR="00FC69FC" w:rsidRPr="007F23AD" w:rsidRDefault="00FC69FC" w:rsidP="00FC69FC">
      <w:pPr>
        <w:pStyle w:val="EndNoteBibliography"/>
        <w:rPr>
          <w:noProof/>
          <w:color w:val="000000" w:themeColor="text1"/>
        </w:rPr>
      </w:pPr>
      <w:r w:rsidRPr="007F23AD">
        <w:rPr>
          <w:noProof/>
          <w:color w:val="000000" w:themeColor="text1"/>
        </w:rPr>
        <w:t xml:space="preserve">Farooque, M., Zhang, A., Thürer, M., Qu, T. and Huisingh, D. 2019. Circular supply chain management: A definition and structured literature review. </w:t>
      </w:r>
      <w:r w:rsidRPr="007F23AD">
        <w:rPr>
          <w:i/>
          <w:noProof/>
          <w:color w:val="000000" w:themeColor="text1"/>
        </w:rPr>
        <w:t>Journal of Cleaner Production</w:t>
      </w:r>
      <w:r w:rsidRPr="007F23AD">
        <w:rPr>
          <w:noProof/>
          <w:color w:val="000000" w:themeColor="text1"/>
        </w:rPr>
        <w:t xml:space="preserve"> 228, pp. 882-900. doi: </w:t>
      </w:r>
      <w:hyperlink r:id="rId25" w:history="1">
        <w:r w:rsidRPr="007F23AD">
          <w:rPr>
            <w:rStyle w:val="a4"/>
            <w:noProof/>
            <w:color w:val="000000" w:themeColor="text1"/>
          </w:rPr>
          <w:t>https://doi.org/10.1016/j.jclepro.2019.04.303</w:t>
        </w:r>
      </w:hyperlink>
    </w:p>
    <w:p w14:paraId="386EFE6A" w14:textId="77777777" w:rsidR="00FC69FC" w:rsidRPr="007F23AD" w:rsidRDefault="00FC69FC" w:rsidP="00FC69FC">
      <w:pPr>
        <w:pStyle w:val="EndNoteBibliography"/>
        <w:rPr>
          <w:noProof/>
          <w:color w:val="000000" w:themeColor="text1"/>
        </w:rPr>
      </w:pPr>
    </w:p>
    <w:p w14:paraId="0BB7C984" w14:textId="77777777" w:rsidR="00FC69FC" w:rsidRPr="007F23AD" w:rsidRDefault="00FC69FC" w:rsidP="00FC69FC">
      <w:pPr>
        <w:pStyle w:val="EndNoteBibliography"/>
        <w:rPr>
          <w:noProof/>
          <w:color w:val="000000" w:themeColor="text1"/>
        </w:rPr>
      </w:pPr>
      <w:r w:rsidRPr="007F23AD">
        <w:rPr>
          <w:noProof/>
          <w:color w:val="000000" w:themeColor="text1"/>
        </w:rPr>
        <w:t xml:space="preserve">Ferreira de Araújo Lima, P., Crema, M. and Verbano, C. 2020. Risk management in SMEs: A systematic literature review and future directions. </w:t>
      </w:r>
      <w:r w:rsidRPr="007F23AD">
        <w:rPr>
          <w:i/>
          <w:noProof/>
          <w:color w:val="000000" w:themeColor="text1"/>
        </w:rPr>
        <w:t>European Management Journal</w:t>
      </w:r>
      <w:r w:rsidRPr="007F23AD">
        <w:rPr>
          <w:noProof/>
          <w:color w:val="000000" w:themeColor="text1"/>
        </w:rPr>
        <w:t xml:space="preserve"> 38(1), pp. 78-94. doi: 10.1016/j.emj.2019.06.005</w:t>
      </w:r>
    </w:p>
    <w:p w14:paraId="20795DAC" w14:textId="77777777" w:rsidR="00FC69FC" w:rsidRPr="007F23AD" w:rsidRDefault="00FC69FC" w:rsidP="00FC69FC">
      <w:pPr>
        <w:pStyle w:val="EndNoteBibliography"/>
        <w:rPr>
          <w:noProof/>
          <w:color w:val="000000" w:themeColor="text1"/>
        </w:rPr>
      </w:pPr>
    </w:p>
    <w:p w14:paraId="051B18C0" w14:textId="77777777" w:rsidR="00FC69FC" w:rsidRPr="007F23AD" w:rsidRDefault="00FC69FC" w:rsidP="00FC69FC">
      <w:pPr>
        <w:pStyle w:val="EndNoteBibliography"/>
        <w:rPr>
          <w:noProof/>
          <w:color w:val="000000" w:themeColor="text1"/>
        </w:rPr>
      </w:pPr>
      <w:r w:rsidRPr="007F23AD">
        <w:rPr>
          <w:noProof/>
          <w:color w:val="000000" w:themeColor="text1"/>
        </w:rPr>
        <w:t xml:space="preserve">Fraser, P., Farrukh, C. and Gregory, M. 2005. Managing product development collaborations—a process maturity approach. </w:t>
      </w:r>
      <w:r w:rsidRPr="007F23AD">
        <w:rPr>
          <w:i/>
          <w:noProof/>
          <w:color w:val="000000" w:themeColor="text1"/>
        </w:rPr>
        <w:t>Proceedings of the Institution of Mechanical Engineers, Part B: Journal of Engineering Manufacture</w:t>
      </w:r>
      <w:r w:rsidRPr="007F23AD">
        <w:rPr>
          <w:noProof/>
          <w:color w:val="000000" w:themeColor="text1"/>
        </w:rPr>
        <w:t xml:space="preserve"> 217(11), pp. 1499-1519. doi: 10.1243/095440503771909890</w:t>
      </w:r>
    </w:p>
    <w:p w14:paraId="0D7BDFD7" w14:textId="77777777" w:rsidR="00FC69FC" w:rsidRPr="007F23AD" w:rsidRDefault="00FC69FC" w:rsidP="00FC69FC">
      <w:pPr>
        <w:pStyle w:val="EndNoteBibliography"/>
        <w:rPr>
          <w:noProof/>
          <w:color w:val="000000" w:themeColor="text1"/>
        </w:rPr>
      </w:pPr>
    </w:p>
    <w:p w14:paraId="3E79B954" w14:textId="77777777" w:rsidR="00FC69FC" w:rsidRPr="007F23AD" w:rsidRDefault="00FC69FC" w:rsidP="00FC69FC">
      <w:pPr>
        <w:pStyle w:val="EndNoteBibliography"/>
        <w:rPr>
          <w:noProof/>
          <w:color w:val="000000" w:themeColor="text1"/>
        </w:rPr>
      </w:pPr>
      <w:r w:rsidRPr="007F23AD">
        <w:rPr>
          <w:noProof/>
          <w:color w:val="000000" w:themeColor="text1"/>
        </w:rPr>
        <w:t xml:space="preserve">Friday, D., Ryan, S., Sridharan, R. and Collins, D. 2018. Collaborative risk management: a systematic literature review. </w:t>
      </w:r>
      <w:r w:rsidRPr="007F23AD">
        <w:rPr>
          <w:i/>
          <w:noProof/>
          <w:color w:val="000000" w:themeColor="text1"/>
        </w:rPr>
        <w:t>International Journal of Physical Distribution &amp; Logistics Management</w:t>
      </w:r>
      <w:r w:rsidRPr="007F23AD">
        <w:rPr>
          <w:noProof/>
          <w:color w:val="000000" w:themeColor="text1"/>
        </w:rPr>
        <w:t xml:space="preserve"> 48(3), pp. 231-253. doi: 10.1108/ijpdlm-01-2017-0035</w:t>
      </w:r>
    </w:p>
    <w:p w14:paraId="29BB2147" w14:textId="77777777" w:rsidR="00FC69FC" w:rsidRPr="007F23AD" w:rsidRDefault="00FC69FC" w:rsidP="00FC69FC">
      <w:pPr>
        <w:pStyle w:val="EndNoteBibliography"/>
        <w:rPr>
          <w:noProof/>
          <w:color w:val="000000" w:themeColor="text1"/>
        </w:rPr>
      </w:pPr>
    </w:p>
    <w:p w14:paraId="78C4D32F" w14:textId="77777777" w:rsidR="00FC69FC" w:rsidRPr="007F23AD" w:rsidRDefault="00FC69FC" w:rsidP="00FC69FC">
      <w:pPr>
        <w:pStyle w:val="EndNoteBibliography"/>
        <w:rPr>
          <w:noProof/>
          <w:color w:val="000000" w:themeColor="text1"/>
        </w:rPr>
      </w:pPr>
      <w:r w:rsidRPr="007F23AD">
        <w:rPr>
          <w:noProof/>
          <w:color w:val="000000" w:themeColor="text1"/>
        </w:rPr>
        <w:t xml:space="preserve">Gadde, L.-E. and Dubois, A. 2010. Partnering in the construction industry—Problems and opportunities. </w:t>
      </w:r>
      <w:r w:rsidRPr="007F23AD">
        <w:rPr>
          <w:i/>
          <w:noProof/>
          <w:color w:val="000000" w:themeColor="text1"/>
        </w:rPr>
        <w:t>Journal of Purchasing and Supply Management</w:t>
      </w:r>
      <w:r w:rsidRPr="007F23AD">
        <w:rPr>
          <w:noProof/>
          <w:color w:val="000000" w:themeColor="text1"/>
        </w:rPr>
        <w:t xml:space="preserve"> 16(4), pp. 254-263. doi: 10.1016/j.pursup.2010.09.002</w:t>
      </w:r>
    </w:p>
    <w:p w14:paraId="7B633353" w14:textId="77777777" w:rsidR="00FC69FC" w:rsidRPr="007F23AD" w:rsidRDefault="00FC69FC" w:rsidP="00FC69FC">
      <w:pPr>
        <w:pStyle w:val="EndNoteBibliography"/>
        <w:rPr>
          <w:noProof/>
          <w:color w:val="000000" w:themeColor="text1"/>
        </w:rPr>
      </w:pPr>
    </w:p>
    <w:p w14:paraId="4014B7DD" w14:textId="5EEE035D" w:rsidR="00FC69FC" w:rsidRPr="007F23AD" w:rsidRDefault="00FC69FC" w:rsidP="00FC69FC">
      <w:pPr>
        <w:pStyle w:val="EndNoteBibliography"/>
        <w:rPr>
          <w:noProof/>
          <w:color w:val="000000" w:themeColor="text1"/>
        </w:rPr>
      </w:pPr>
      <w:r w:rsidRPr="007F23AD">
        <w:rPr>
          <w:noProof/>
          <w:color w:val="000000" w:themeColor="text1"/>
        </w:rPr>
        <w:t xml:space="preserve">Garengo, P., Biazzo, S. and Bititci, U. S. 2005. Performance measurement systems in SMEs: A review for a research agenda. </w:t>
      </w:r>
      <w:r w:rsidRPr="007F23AD">
        <w:rPr>
          <w:i/>
          <w:noProof/>
          <w:color w:val="000000" w:themeColor="text1"/>
        </w:rPr>
        <w:t>International Journal of Management Reviews</w:t>
      </w:r>
      <w:r w:rsidRPr="007F23AD">
        <w:rPr>
          <w:noProof/>
          <w:color w:val="000000" w:themeColor="text1"/>
        </w:rPr>
        <w:t xml:space="preserve"> 7(1), pp. 25-47. doi: </w:t>
      </w:r>
      <w:hyperlink r:id="rId26" w:history="1">
        <w:r w:rsidRPr="007F23AD">
          <w:rPr>
            <w:rStyle w:val="a4"/>
            <w:noProof/>
            <w:color w:val="000000" w:themeColor="text1"/>
          </w:rPr>
          <w:t>https://doi.org/10.1111/j.1468-2370.2005.00105.x</w:t>
        </w:r>
      </w:hyperlink>
    </w:p>
    <w:p w14:paraId="732F9611" w14:textId="77777777" w:rsidR="00FC69FC" w:rsidRPr="007F23AD" w:rsidRDefault="00FC69FC" w:rsidP="00FC69FC">
      <w:pPr>
        <w:pStyle w:val="EndNoteBibliography"/>
        <w:rPr>
          <w:noProof/>
          <w:color w:val="000000" w:themeColor="text1"/>
        </w:rPr>
      </w:pPr>
    </w:p>
    <w:p w14:paraId="28619649" w14:textId="77777777" w:rsidR="00FC69FC" w:rsidRPr="007F23AD" w:rsidRDefault="00FC69FC" w:rsidP="00FC69FC">
      <w:pPr>
        <w:pStyle w:val="EndNoteBibliography"/>
        <w:rPr>
          <w:noProof/>
          <w:color w:val="000000" w:themeColor="text1"/>
        </w:rPr>
      </w:pPr>
      <w:r w:rsidRPr="007F23AD">
        <w:rPr>
          <w:noProof/>
          <w:color w:val="000000" w:themeColor="text1"/>
        </w:rPr>
        <w:t xml:space="preserve">Ghadge, A., Er, M., Ivanov, D. and Chaudhuri, A. 2022. Visualisation of ripple effect in supply chains under long-term, simultaneous disruptions: a system dynamics approach. </w:t>
      </w:r>
      <w:r w:rsidRPr="007F23AD">
        <w:rPr>
          <w:i/>
          <w:noProof/>
          <w:color w:val="000000" w:themeColor="text1"/>
        </w:rPr>
        <w:t>International Journal of Production Research</w:t>
      </w:r>
      <w:r w:rsidRPr="007F23AD">
        <w:rPr>
          <w:noProof/>
          <w:color w:val="000000" w:themeColor="text1"/>
        </w:rPr>
        <w:t xml:space="preserve"> 60(20), pp. 6173-6186. </w:t>
      </w:r>
    </w:p>
    <w:p w14:paraId="21ED2791" w14:textId="77777777" w:rsidR="00FC69FC" w:rsidRPr="007F23AD" w:rsidRDefault="00FC69FC" w:rsidP="00FC69FC">
      <w:pPr>
        <w:pStyle w:val="EndNoteBibliography"/>
        <w:rPr>
          <w:noProof/>
          <w:color w:val="000000" w:themeColor="text1"/>
        </w:rPr>
      </w:pPr>
    </w:p>
    <w:p w14:paraId="1DFE27C1" w14:textId="27ED29AE" w:rsidR="00FC69FC" w:rsidRPr="007F23AD" w:rsidRDefault="00FC69FC" w:rsidP="00FC69FC">
      <w:pPr>
        <w:pStyle w:val="EndNoteBibliography"/>
        <w:rPr>
          <w:noProof/>
          <w:color w:val="000000" w:themeColor="text1"/>
        </w:rPr>
      </w:pPr>
      <w:r w:rsidRPr="007F23AD">
        <w:rPr>
          <w:noProof/>
          <w:color w:val="000000" w:themeColor="text1"/>
        </w:rPr>
        <w:t xml:space="preserve">Giannakis, M. and Papadopoulos, T. 2016. Supply chain sustainability: A risk management approach. </w:t>
      </w:r>
      <w:r w:rsidRPr="007F23AD">
        <w:rPr>
          <w:i/>
          <w:noProof/>
          <w:color w:val="000000" w:themeColor="text1"/>
        </w:rPr>
        <w:t>International Journal of Production Economics</w:t>
      </w:r>
      <w:r w:rsidRPr="007F23AD">
        <w:rPr>
          <w:noProof/>
          <w:color w:val="000000" w:themeColor="text1"/>
        </w:rPr>
        <w:t xml:space="preserve"> 171, pp. 455-470. doi: </w:t>
      </w:r>
      <w:hyperlink r:id="rId27" w:history="1">
        <w:r w:rsidRPr="007F23AD">
          <w:rPr>
            <w:rStyle w:val="a4"/>
            <w:noProof/>
            <w:color w:val="000000" w:themeColor="text1"/>
          </w:rPr>
          <w:t>https://doi.org/10.1016/j.ijpe.2015.06.032</w:t>
        </w:r>
      </w:hyperlink>
    </w:p>
    <w:p w14:paraId="6FCC2DAC" w14:textId="77777777" w:rsidR="00FC69FC" w:rsidRPr="007F23AD" w:rsidRDefault="00FC69FC" w:rsidP="00FC69FC">
      <w:pPr>
        <w:pStyle w:val="EndNoteBibliography"/>
        <w:rPr>
          <w:noProof/>
          <w:color w:val="000000" w:themeColor="text1"/>
        </w:rPr>
      </w:pPr>
    </w:p>
    <w:p w14:paraId="3D25CB46" w14:textId="2CDD710A" w:rsidR="00FC69FC" w:rsidRPr="007F23AD" w:rsidRDefault="00FC69FC" w:rsidP="00FC69FC">
      <w:pPr>
        <w:pStyle w:val="EndNoteBibliography"/>
        <w:rPr>
          <w:noProof/>
          <w:color w:val="000000" w:themeColor="text1"/>
        </w:rPr>
      </w:pPr>
      <w:r w:rsidRPr="007F23AD">
        <w:rPr>
          <w:noProof/>
          <w:color w:val="000000" w:themeColor="text1"/>
        </w:rPr>
        <w:t xml:space="preserve">Gosling, J. and Naim, M. M. 2009. Engineer-to-order supply chain management: A literature review and research agenda. </w:t>
      </w:r>
      <w:r w:rsidRPr="007F23AD">
        <w:rPr>
          <w:i/>
          <w:noProof/>
          <w:color w:val="000000" w:themeColor="text1"/>
        </w:rPr>
        <w:t>International Journal of Production Economics</w:t>
      </w:r>
      <w:r w:rsidRPr="007F23AD">
        <w:rPr>
          <w:noProof/>
          <w:color w:val="000000" w:themeColor="text1"/>
        </w:rPr>
        <w:t xml:space="preserve"> 122(2), pp. 741-754. doi: </w:t>
      </w:r>
      <w:hyperlink r:id="rId28" w:history="1">
        <w:r w:rsidRPr="007F23AD">
          <w:rPr>
            <w:rStyle w:val="a4"/>
            <w:noProof/>
            <w:color w:val="000000" w:themeColor="text1"/>
          </w:rPr>
          <w:t>https://doi.org/10.1016/j.ijpe.2009.07.002</w:t>
        </w:r>
      </w:hyperlink>
    </w:p>
    <w:p w14:paraId="47C7E995" w14:textId="77777777" w:rsidR="00FC69FC" w:rsidRPr="007F23AD" w:rsidRDefault="00FC69FC" w:rsidP="00FC69FC">
      <w:pPr>
        <w:pStyle w:val="EndNoteBibliography"/>
        <w:rPr>
          <w:noProof/>
          <w:color w:val="000000" w:themeColor="text1"/>
        </w:rPr>
      </w:pPr>
    </w:p>
    <w:p w14:paraId="7BA7AE7C" w14:textId="77777777" w:rsidR="00FC69FC" w:rsidRPr="007F23AD" w:rsidRDefault="00FC69FC" w:rsidP="00FC69FC">
      <w:pPr>
        <w:pStyle w:val="EndNoteBibliography"/>
        <w:rPr>
          <w:noProof/>
          <w:color w:val="000000" w:themeColor="text1"/>
        </w:rPr>
      </w:pPr>
      <w:r w:rsidRPr="007F23AD">
        <w:rPr>
          <w:noProof/>
          <w:color w:val="000000" w:themeColor="text1"/>
        </w:rPr>
        <w:t xml:space="preserve">Greiman, V. A. 2013. </w:t>
      </w:r>
      <w:r w:rsidRPr="007F23AD">
        <w:rPr>
          <w:i/>
          <w:noProof/>
          <w:color w:val="000000" w:themeColor="text1"/>
        </w:rPr>
        <w:t>Megaproject management: Lessons on risk and project management from the Big Dig</w:t>
      </w:r>
      <w:r w:rsidRPr="007F23AD">
        <w:rPr>
          <w:noProof/>
          <w:color w:val="000000" w:themeColor="text1"/>
        </w:rPr>
        <w:t>. John Wiley &amp; Sons.</w:t>
      </w:r>
    </w:p>
    <w:p w14:paraId="57CB7F04" w14:textId="77777777" w:rsidR="00FC69FC" w:rsidRPr="007F23AD" w:rsidRDefault="00FC69FC" w:rsidP="00FC69FC">
      <w:pPr>
        <w:pStyle w:val="EndNoteBibliography"/>
        <w:rPr>
          <w:noProof/>
          <w:color w:val="000000" w:themeColor="text1"/>
        </w:rPr>
      </w:pPr>
    </w:p>
    <w:p w14:paraId="79EAF85B" w14:textId="77777777" w:rsidR="00FC69FC" w:rsidRPr="007F23AD" w:rsidRDefault="00FC69FC" w:rsidP="00FC69FC">
      <w:pPr>
        <w:pStyle w:val="EndNoteBibliography"/>
        <w:rPr>
          <w:noProof/>
          <w:color w:val="000000" w:themeColor="text1"/>
        </w:rPr>
      </w:pPr>
      <w:r w:rsidRPr="007F23AD">
        <w:rPr>
          <w:noProof/>
          <w:color w:val="000000" w:themeColor="text1"/>
        </w:rPr>
        <w:t xml:space="preserve">Gurtu, A. and Johny, J. 2021. Supply Chain Risk Management: Literature Review. </w:t>
      </w:r>
      <w:r w:rsidRPr="007F23AD">
        <w:rPr>
          <w:i/>
          <w:noProof/>
          <w:color w:val="000000" w:themeColor="text1"/>
        </w:rPr>
        <w:t>Risks</w:t>
      </w:r>
      <w:r w:rsidRPr="007F23AD">
        <w:rPr>
          <w:noProof/>
          <w:color w:val="000000" w:themeColor="text1"/>
        </w:rPr>
        <w:t xml:space="preserve"> 9(1), p. 16. </w:t>
      </w:r>
    </w:p>
    <w:p w14:paraId="2379606E" w14:textId="77777777" w:rsidR="00FC69FC" w:rsidRPr="007F23AD" w:rsidRDefault="00FC69FC" w:rsidP="00FC69FC">
      <w:pPr>
        <w:pStyle w:val="EndNoteBibliography"/>
        <w:rPr>
          <w:noProof/>
          <w:color w:val="000000" w:themeColor="text1"/>
        </w:rPr>
      </w:pPr>
    </w:p>
    <w:p w14:paraId="625F1085" w14:textId="77777777" w:rsidR="00FC69FC" w:rsidRPr="007F23AD" w:rsidRDefault="00FC69FC" w:rsidP="00FC69FC">
      <w:pPr>
        <w:pStyle w:val="EndNoteBibliography"/>
        <w:rPr>
          <w:noProof/>
          <w:color w:val="000000" w:themeColor="text1"/>
        </w:rPr>
      </w:pPr>
      <w:r w:rsidRPr="007F23AD">
        <w:rPr>
          <w:noProof/>
          <w:color w:val="000000" w:themeColor="text1"/>
        </w:rPr>
        <w:t xml:space="preserve">Harris, F., McCaffer, R., Baldwin, A. and Edum-Fotwe, F. 2021. </w:t>
      </w:r>
      <w:r w:rsidRPr="007F23AD">
        <w:rPr>
          <w:i/>
          <w:noProof/>
          <w:color w:val="000000" w:themeColor="text1"/>
        </w:rPr>
        <w:t>Modern construction management</w:t>
      </w:r>
      <w:r w:rsidRPr="007F23AD">
        <w:rPr>
          <w:noProof/>
          <w:color w:val="000000" w:themeColor="text1"/>
        </w:rPr>
        <w:t>. John Wiley &amp; Sons.</w:t>
      </w:r>
    </w:p>
    <w:p w14:paraId="2F4FFD02" w14:textId="77777777" w:rsidR="00FC69FC" w:rsidRPr="007F23AD" w:rsidRDefault="00FC69FC" w:rsidP="00FC69FC">
      <w:pPr>
        <w:pStyle w:val="EndNoteBibliography"/>
        <w:rPr>
          <w:noProof/>
          <w:color w:val="000000" w:themeColor="text1"/>
        </w:rPr>
      </w:pPr>
    </w:p>
    <w:p w14:paraId="5320EEA8" w14:textId="77777777" w:rsidR="00FC69FC" w:rsidRPr="007F23AD" w:rsidRDefault="00FC69FC" w:rsidP="00FC69FC">
      <w:pPr>
        <w:pStyle w:val="EndNoteBibliography"/>
        <w:rPr>
          <w:noProof/>
          <w:color w:val="000000" w:themeColor="text1"/>
        </w:rPr>
      </w:pPr>
      <w:r w:rsidRPr="007F23AD">
        <w:rPr>
          <w:noProof/>
          <w:color w:val="000000" w:themeColor="text1"/>
        </w:rPr>
        <w:t xml:space="preserve">Hasan, H., Topimin, S., Ahmad, s. n. b. and Othman, I. 2021. An Assessment of Readiness and Willingness to Adopt Digital Marketing Transformation Among SMEs' Entrepreneurs in Sabah: A Conceptual Model. 6, pp. 101-110. </w:t>
      </w:r>
    </w:p>
    <w:p w14:paraId="457011CB" w14:textId="77777777" w:rsidR="00FC69FC" w:rsidRPr="007F23AD" w:rsidRDefault="00FC69FC" w:rsidP="00FC69FC">
      <w:pPr>
        <w:pStyle w:val="EndNoteBibliography"/>
        <w:rPr>
          <w:noProof/>
          <w:color w:val="000000" w:themeColor="text1"/>
        </w:rPr>
      </w:pPr>
    </w:p>
    <w:p w14:paraId="47FCE225" w14:textId="77777777" w:rsidR="00FC69FC" w:rsidRPr="007F23AD" w:rsidRDefault="00FC69FC" w:rsidP="00FC69FC">
      <w:pPr>
        <w:pStyle w:val="EndNoteBibliography"/>
        <w:rPr>
          <w:noProof/>
          <w:color w:val="000000" w:themeColor="text1"/>
        </w:rPr>
      </w:pPr>
      <w:r w:rsidRPr="007F23AD">
        <w:rPr>
          <w:noProof/>
          <w:color w:val="000000" w:themeColor="text1"/>
        </w:rPr>
        <w:t xml:space="preserve">Hemilä, J. and Vilko, J. 2015. The development of a service supply chain model for a manufacturing SME. </w:t>
      </w:r>
      <w:r w:rsidRPr="007F23AD">
        <w:rPr>
          <w:i/>
          <w:noProof/>
          <w:color w:val="000000" w:themeColor="text1"/>
        </w:rPr>
        <w:t>The International Journal of Logistics Management</w:t>
      </w:r>
      <w:r w:rsidRPr="007F23AD">
        <w:rPr>
          <w:noProof/>
          <w:color w:val="000000" w:themeColor="text1"/>
        </w:rPr>
        <w:t xml:space="preserve"> 26(3), pp. 517-542. doi: 10.1108/ijlm-01-2014-0001</w:t>
      </w:r>
    </w:p>
    <w:p w14:paraId="00BEAF42" w14:textId="77777777" w:rsidR="00FC69FC" w:rsidRPr="007F23AD" w:rsidRDefault="00FC69FC" w:rsidP="00FC69FC">
      <w:pPr>
        <w:pStyle w:val="EndNoteBibliography"/>
        <w:rPr>
          <w:noProof/>
          <w:color w:val="000000" w:themeColor="text1"/>
        </w:rPr>
      </w:pPr>
    </w:p>
    <w:p w14:paraId="5B63641E" w14:textId="77777777" w:rsidR="00FC69FC" w:rsidRPr="007F23AD" w:rsidRDefault="00FC69FC" w:rsidP="00FC69FC">
      <w:pPr>
        <w:pStyle w:val="EndNoteBibliography"/>
        <w:rPr>
          <w:noProof/>
          <w:color w:val="000000" w:themeColor="text1"/>
        </w:rPr>
      </w:pPr>
      <w:r w:rsidRPr="007F23AD">
        <w:rPr>
          <w:noProof/>
          <w:color w:val="000000" w:themeColor="text1"/>
        </w:rPr>
        <w:t xml:space="preserve">Howell, I. and Batcheler, B. 2005. Building information modeling two years later–huge potential, some success and several limitations. </w:t>
      </w:r>
      <w:r w:rsidRPr="007F23AD">
        <w:rPr>
          <w:i/>
          <w:noProof/>
          <w:color w:val="000000" w:themeColor="text1"/>
        </w:rPr>
        <w:t>The Laiserin Letter</w:t>
      </w:r>
      <w:r w:rsidRPr="007F23AD">
        <w:rPr>
          <w:noProof/>
          <w:color w:val="000000" w:themeColor="text1"/>
        </w:rPr>
        <w:t xml:space="preserve"> 22(4), pp. 3521-3528. </w:t>
      </w:r>
    </w:p>
    <w:p w14:paraId="42B9B0F1" w14:textId="77777777" w:rsidR="00FC69FC" w:rsidRPr="007F23AD" w:rsidRDefault="00FC69FC" w:rsidP="00FC69FC">
      <w:pPr>
        <w:pStyle w:val="EndNoteBibliography"/>
        <w:rPr>
          <w:noProof/>
          <w:color w:val="000000" w:themeColor="text1"/>
        </w:rPr>
      </w:pPr>
    </w:p>
    <w:p w14:paraId="0C788B6D" w14:textId="77777777" w:rsidR="00FC69FC" w:rsidRPr="007F23AD" w:rsidRDefault="00FC69FC" w:rsidP="00FC69FC">
      <w:pPr>
        <w:pStyle w:val="EndNoteBibliography"/>
        <w:rPr>
          <w:noProof/>
          <w:color w:val="000000" w:themeColor="text1"/>
        </w:rPr>
      </w:pPr>
      <w:r w:rsidRPr="007F23AD">
        <w:rPr>
          <w:noProof/>
          <w:color w:val="000000" w:themeColor="text1"/>
        </w:rPr>
        <w:t xml:space="preserve">Hsu, P.-Y., Aurisicchio, M. and Angeloudis, P. 2019. Risk-averse supply chain for modular construction projects. </w:t>
      </w:r>
      <w:r w:rsidRPr="007F23AD">
        <w:rPr>
          <w:i/>
          <w:noProof/>
          <w:color w:val="000000" w:themeColor="text1"/>
        </w:rPr>
        <w:t>Automation in Construction</w:t>
      </w:r>
      <w:r w:rsidRPr="007F23AD">
        <w:rPr>
          <w:noProof/>
          <w:color w:val="000000" w:themeColor="text1"/>
        </w:rPr>
        <w:t xml:space="preserve"> 106, p. 102898. doi: 10.1016/j.autcon.2019.102898</w:t>
      </w:r>
    </w:p>
    <w:p w14:paraId="4089C5D8" w14:textId="77777777" w:rsidR="00FC69FC" w:rsidRPr="007F23AD" w:rsidRDefault="00FC69FC" w:rsidP="00FC69FC">
      <w:pPr>
        <w:pStyle w:val="EndNoteBibliography"/>
        <w:rPr>
          <w:noProof/>
          <w:color w:val="000000" w:themeColor="text1"/>
        </w:rPr>
      </w:pPr>
    </w:p>
    <w:p w14:paraId="159EB13C" w14:textId="77777777" w:rsidR="00FC69FC" w:rsidRPr="007F23AD" w:rsidRDefault="00FC69FC" w:rsidP="00FC69FC">
      <w:pPr>
        <w:pStyle w:val="EndNoteBibliography"/>
        <w:rPr>
          <w:noProof/>
          <w:color w:val="000000" w:themeColor="text1"/>
        </w:rPr>
      </w:pPr>
      <w:r w:rsidRPr="007F23AD">
        <w:rPr>
          <w:noProof/>
          <w:color w:val="000000" w:themeColor="text1"/>
        </w:rPr>
        <w:t xml:space="preserve">Humphreys, P. K., Matthews, J. D. and Kumaraswamy, M. M. 2003. Pre‐construction project partnering: from adversarial to collaborative relationships. </w:t>
      </w:r>
      <w:r w:rsidRPr="007F23AD">
        <w:rPr>
          <w:i/>
          <w:noProof/>
          <w:color w:val="000000" w:themeColor="text1"/>
        </w:rPr>
        <w:t>Supply Chain Management</w:t>
      </w:r>
      <w:r w:rsidRPr="007F23AD">
        <w:rPr>
          <w:noProof/>
          <w:color w:val="000000" w:themeColor="text1"/>
        </w:rPr>
        <w:t xml:space="preserve"> 8, pp. 166-178. </w:t>
      </w:r>
    </w:p>
    <w:p w14:paraId="5B55273C" w14:textId="77777777" w:rsidR="00FC69FC" w:rsidRPr="007F23AD" w:rsidRDefault="00FC69FC" w:rsidP="00FC69FC">
      <w:pPr>
        <w:pStyle w:val="EndNoteBibliography"/>
        <w:rPr>
          <w:noProof/>
          <w:color w:val="000000" w:themeColor="text1"/>
        </w:rPr>
      </w:pPr>
    </w:p>
    <w:p w14:paraId="41A69E58" w14:textId="77777777" w:rsidR="00FC69FC" w:rsidRPr="007F23AD" w:rsidRDefault="00FC69FC" w:rsidP="00FC69FC">
      <w:pPr>
        <w:pStyle w:val="EndNoteBibliography"/>
        <w:rPr>
          <w:noProof/>
          <w:color w:val="000000" w:themeColor="text1"/>
        </w:rPr>
      </w:pPr>
      <w:r w:rsidRPr="007F23AD">
        <w:rPr>
          <w:noProof/>
          <w:color w:val="000000" w:themeColor="text1"/>
        </w:rPr>
        <w:t xml:space="preserve">Hussain, C. M., Paulraj, M. S. and Nuzhat, S. 2022. Chapter 5 - Source reduction and waste minimization in construction industry. In: Hussain, C.M., Paulraj, M.S. and Nuzhat, S. eds. </w:t>
      </w:r>
      <w:r w:rsidRPr="007F23AD">
        <w:rPr>
          <w:i/>
          <w:noProof/>
          <w:color w:val="000000" w:themeColor="text1"/>
        </w:rPr>
        <w:t>Source Reduction and Waste Minimization</w:t>
      </w:r>
      <w:r w:rsidRPr="007F23AD">
        <w:rPr>
          <w:noProof/>
          <w:color w:val="000000" w:themeColor="text1"/>
        </w:rPr>
        <w:t>.  Elsevier, pp. 111-126.</w:t>
      </w:r>
    </w:p>
    <w:p w14:paraId="4058566A" w14:textId="77777777" w:rsidR="00FC69FC" w:rsidRPr="007F23AD" w:rsidRDefault="00FC69FC" w:rsidP="00FC69FC">
      <w:pPr>
        <w:pStyle w:val="EndNoteBibliography"/>
        <w:rPr>
          <w:noProof/>
          <w:color w:val="000000" w:themeColor="text1"/>
        </w:rPr>
      </w:pPr>
    </w:p>
    <w:p w14:paraId="483F44E7" w14:textId="77777777" w:rsidR="00FC69FC" w:rsidRPr="007F23AD" w:rsidRDefault="00FC69FC" w:rsidP="00FC69FC">
      <w:pPr>
        <w:pStyle w:val="EndNoteBibliography"/>
        <w:rPr>
          <w:noProof/>
          <w:color w:val="000000" w:themeColor="text1"/>
        </w:rPr>
      </w:pPr>
      <w:r w:rsidRPr="007F23AD">
        <w:rPr>
          <w:noProof/>
          <w:color w:val="000000" w:themeColor="text1"/>
        </w:rPr>
        <w:t>Johns, J., Eyers, D., Lupton, R., Syntetos, A. and Robins, J. 2024. Additive manufacturing and circular economies.</w:t>
      </w:r>
      <w:r w:rsidRPr="007F23AD">
        <w:rPr>
          <w:i/>
          <w:noProof/>
          <w:color w:val="000000" w:themeColor="text1"/>
        </w:rPr>
        <w:t>Circular Economy for the Built Environment</w:t>
      </w:r>
      <w:r w:rsidRPr="007F23AD">
        <w:rPr>
          <w:noProof/>
          <w:color w:val="000000" w:themeColor="text1"/>
        </w:rPr>
        <w:t>.  Routledge, pp. 250-267.</w:t>
      </w:r>
    </w:p>
    <w:p w14:paraId="3071547B" w14:textId="77777777" w:rsidR="00FC69FC" w:rsidRPr="007F23AD" w:rsidRDefault="00FC69FC" w:rsidP="00FC69FC">
      <w:pPr>
        <w:pStyle w:val="EndNoteBibliography"/>
        <w:rPr>
          <w:noProof/>
          <w:color w:val="000000" w:themeColor="text1"/>
        </w:rPr>
      </w:pPr>
    </w:p>
    <w:p w14:paraId="76A0AB37" w14:textId="77777777" w:rsidR="00FC69FC" w:rsidRPr="007F23AD" w:rsidRDefault="00FC69FC" w:rsidP="00FC69FC">
      <w:pPr>
        <w:pStyle w:val="EndNoteBibliography"/>
        <w:rPr>
          <w:noProof/>
          <w:color w:val="000000" w:themeColor="text1"/>
        </w:rPr>
      </w:pPr>
      <w:r w:rsidRPr="007F23AD">
        <w:rPr>
          <w:noProof/>
          <w:color w:val="000000" w:themeColor="text1"/>
        </w:rPr>
        <w:t xml:space="preserve">Kamal, E. M. and Flanagan, R. 2014. Key Characteristics of Rural Construction SMEs. </w:t>
      </w:r>
      <w:r w:rsidRPr="007F23AD">
        <w:rPr>
          <w:i/>
          <w:noProof/>
          <w:color w:val="000000" w:themeColor="text1"/>
        </w:rPr>
        <w:t>Journal of Construction in Developing Countries</w:t>
      </w:r>
      <w:r w:rsidRPr="007F23AD">
        <w:rPr>
          <w:noProof/>
          <w:color w:val="000000" w:themeColor="text1"/>
        </w:rPr>
        <w:t xml:space="preserve"> 19(2),  </w:t>
      </w:r>
    </w:p>
    <w:p w14:paraId="7002EA37" w14:textId="77777777" w:rsidR="00FC69FC" w:rsidRPr="007F23AD" w:rsidRDefault="00FC69FC" w:rsidP="00FC69FC">
      <w:pPr>
        <w:pStyle w:val="EndNoteBibliography"/>
        <w:rPr>
          <w:noProof/>
          <w:color w:val="000000" w:themeColor="text1"/>
        </w:rPr>
      </w:pPr>
    </w:p>
    <w:p w14:paraId="3A5300BA" w14:textId="77777777" w:rsidR="00FC69FC" w:rsidRPr="007F23AD" w:rsidRDefault="00FC69FC" w:rsidP="00FC69FC">
      <w:pPr>
        <w:pStyle w:val="EndNoteBibliography"/>
        <w:rPr>
          <w:noProof/>
          <w:color w:val="000000" w:themeColor="text1"/>
        </w:rPr>
      </w:pPr>
      <w:r w:rsidRPr="007F23AD">
        <w:rPr>
          <w:noProof/>
          <w:color w:val="000000" w:themeColor="text1"/>
        </w:rPr>
        <w:lastRenderedPageBreak/>
        <w:t xml:space="preserve">Kayikci, Y., Durak Usar, D. and Aylak, B. L. 2022. Using blockchain technology to drive operational excellence in perishable food supply chains during outbreaks. </w:t>
      </w:r>
      <w:r w:rsidRPr="007F23AD">
        <w:rPr>
          <w:i/>
          <w:noProof/>
          <w:color w:val="000000" w:themeColor="text1"/>
        </w:rPr>
        <w:t>The International Journal of Logistics Management</w:t>
      </w:r>
      <w:r w:rsidRPr="007F23AD">
        <w:rPr>
          <w:noProof/>
          <w:color w:val="000000" w:themeColor="text1"/>
        </w:rPr>
        <w:t xml:space="preserve"> 33(3), pp. 836-876. doi: 10.1108/IJLM-01-2021-0027</w:t>
      </w:r>
    </w:p>
    <w:p w14:paraId="156F0F7E" w14:textId="77777777" w:rsidR="00FC69FC" w:rsidRPr="007F23AD" w:rsidRDefault="00FC69FC" w:rsidP="00FC69FC">
      <w:pPr>
        <w:pStyle w:val="EndNoteBibliography"/>
        <w:rPr>
          <w:noProof/>
          <w:color w:val="000000" w:themeColor="text1"/>
        </w:rPr>
      </w:pPr>
    </w:p>
    <w:p w14:paraId="52117A42" w14:textId="77777777" w:rsidR="00FC69FC" w:rsidRPr="007F23AD" w:rsidRDefault="00FC69FC" w:rsidP="00FC69FC">
      <w:pPr>
        <w:pStyle w:val="EndNoteBibliography"/>
        <w:rPr>
          <w:noProof/>
          <w:color w:val="000000" w:themeColor="text1"/>
        </w:rPr>
      </w:pPr>
      <w:r w:rsidRPr="007F23AD">
        <w:rPr>
          <w:noProof/>
          <w:color w:val="000000" w:themeColor="text1"/>
        </w:rPr>
        <w:t xml:space="preserve">Khalfan, M. M. A., McDermott, P., Li, X., Arif, M. and Kashyap, M. 2008. The integration of suppliers and manufacturers within construction supply chains through innovative procurement strategies. </w:t>
      </w:r>
      <w:r w:rsidRPr="007F23AD">
        <w:rPr>
          <w:i/>
          <w:noProof/>
          <w:color w:val="000000" w:themeColor="text1"/>
        </w:rPr>
        <w:t>International Journal of Value Chain Management</w:t>
      </w:r>
      <w:r w:rsidRPr="007F23AD">
        <w:rPr>
          <w:noProof/>
          <w:color w:val="000000" w:themeColor="text1"/>
        </w:rPr>
        <w:t xml:space="preserve"> 2(3), pp. 358-370. doi: 10.1504/ijvcm.2008.019518</w:t>
      </w:r>
    </w:p>
    <w:p w14:paraId="30DCE45D" w14:textId="77777777" w:rsidR="00FC69FC" w:rsidRPr="007F23AD" w:rsidRDefault="00FC69FC" w:rsidP="00FC69FC">
      <w:pPr>
        <w:pStyle w:val="EndNoteBibliography"/>
        <w:rPr>
          <w:noProof/>
          <w:color w:val="000000" w:themeColor="text1"/>
        </w:rPr>
      </w:pPr>
    </w:p>
    <w:p w14:paraId="7A8FFF45" w14:textId="77777777" w:rsidR="00FC69FC" w:rsidRPr="007F23AD" w:rsidRDefault="00FC69FC" w:rsidP="00FC69FC">
      <w:pPr>
        <w:pStyle w:val="EndNoteBibliography"/>
        <w:rPr>
          <w:noProof/>
          <w:color w:val="000000" w:themeColor="text1"/>
        </w:rPr>
      </w:pPr>
      <w:r w:rsidRPr="007F23AD">
        <w:rPr>
          <w:noProof/>
          <w:color w:val="000000" w:themeColor="text1"/>
        </w:rPr>
        <w:t xml:space="preserve">Khan, O. and Burnes, B. 2007. Risk and supply chain management: creating a research agenda. </w:t>
      </w:r>
      <w:r w:rsidRPr="007F23AD">
        <w:rPr>
          <w:i/>
          <w:noProof/>
          <w:color w:val="000000" w:themeColor="text1"/>
        </w:rPr>
        <w:t>The International Journal of Logistics Management</w:t>
      </w:r>
      <w:r w:rsidRPr="007F23AD">
        <w:rPr>
          <w:noProof/>
          <w:color w:val="000000" w:themeColor="text1"/>
        </w:rPr>
        <w:t xml:space="preserve"> 18(2), pp. 197-216. doi: 10.1108/09574090710816931</w:t>
      </w:r>
    </w:p>
    <w:p w14:paraId="3304EF4D" w14:textId="77777777" w:rsidR="00FC69FC" w:rsidRPr="007F23AD" w:rsidRDefault="00FC69FC" w:rsidP="00FC69FC">
      <w:pPr>
        <w:pStyle w:val="EndNoteBibliography"/>
        <w:rPr>
          <w:noProof/>
          <w:color w:val="000000" w:themeColor="text1"/>
        </w:rPr>
      </w:pPr>
    </w:p>
    <w:p w14:paraId="1205DC8C" w14:textId="77777777" w:rsidR="00FC69FC" w:rsidRPr="007F23AD" w:rsidRDefault="00FC69FC" w:rsidP="00FC69FC">
      <w:pPr>
        <w:pStyle w:val="EndNoteBibliography"/>
        <w:rPr>
          <w:noProof/>
          <w:color w:val="000000" w:themeColor="text1"/>
        </w:rPr>
      </w:pPr>
      <w:r w:rsidRPr="007F23AD">
        <w:rPr>
          <w:noProof/>
          <w:color w:val="000000" w:themeColor="text1"/>
        </w:rPr>
        <w:t xml:space="preserve">Kheni, N. A., Dainty, A. R. J. and Gibb, A. 2008. Health and safety management in developing countries: a study of construction SMEs in Ghana. </w:t>
      </w:r>
      <w:r w:rsidRPr="007F23AD">
        <w:rPr>
          <w:i/>
          <w:noProof/>
          <w:color w:val="000000" w:themeColor="text1"/>
        </w:rPr>
        <w:t>Construction Management and Economics</w:t>
      </w:r>
      <w:r w:rsidRPr="007F23AD">
        <w:rPr>
          <w:noProof/>
          <w:color w:val="000000" w:themeColor="text1"/>
        </w:rPr>
        <w:t xml:space="preserve"> 26(11), pp. 1159-1169. doi: 10.1080/01446190802459916</w:t>
      </w:r>
    </w:p>
    <w:p w14:paraId="17DE7C7F" w14:textId="77777777" w:rsidR="00FC69FC" w:rsidRPr="007F23AD" w:rsidRDefault="00FC69FC" w:rsidP="00FC69FC">
      <w:pPr>
        <w:pStyle w:val="EndNoteBibliography"/>
        <w:rPr>
          <w:noProof/>
          <w:color w:val="000000" w:themeColor="text1"/>
        </w:rPr>
      </w:pPr>
    </w:p>
    <w:p w14:paraId="5CC8D9F0" w14:textId="77777777" w:rsidR="00FC69FC" w:rsidRPr="007F23AD" w:rsidRDefault="00FC69FC" w:rsidP="00FC69FC">
      <w:pPr>
        <w:pStyle w:val="EndNoteBibliography"/>
        <w:rPr>
          <w:noProof/>
          <w:color w:val="000000" w:themeColor="text1"/>
        </w:rPr>
      </w:pPr>
      <w:r w:rsidRPr="007F23AD">
        <w:rPr>
          <w:noProof/>
          <w:color w:val="000000" w:themeColor="text1"/>
        </w:rPr>
        <w:t xml:space="preserve">Klein, V. B. and Todesco, J. L. 2021. COVID‐19 crisis and SMEs responses: The role of digital transformation. </w:t>
      </w:r>
      <w:r w:rsidRPr="007F23AD">
        <w:rPr>
          <w:i/>
          <w:noProof/>
          <w:color w:val="000000" w:themeColor="text1"/>
        </w:rPr>
        <w:t>Knowledge and Process Management</w:t>
      </w:r>
      <w:r w:rsidRPr="007F23AD">
        <w:rPr>
          <w:noProof/>
          <w:color w:val="000000" w:themeColor="text1"/>
        </w:rPr>
        <w:t xml:space="preserve"> 28(2), pp. 117-133. doi: 10.1002/kpm.1660</w:t>
      </w:r>
    </w:p>
    <w:p w14:paraId="46662D4E" w14:textId="77777777" w:rsidR="00FC69FC" w:rsidRPr="007F23AD" w:rsidRDefault="00FC69FC" w:rsidP="00FC69FC">
      <w:pPr>
        <w:pStyle w:val="EndNoteBibliography"/>
        <w:rPr>
          <w:noProof/>
          <w:color w:val="000000" w:themeColor="text1"/>
        </w:rPr>
      </w:pPr>
    </w:p>
    <w:p w14:paraId="571EBC9A" w14:textId="11387611" w:rsidR="00FC69FC" w:rsidRPr="007F23AD" w:rsidRDefault="00FC69FC" w:rsidP="00FC69FC">
      <w:pPr>
        <w:pStyle w:val="EndNoteBibliography"/>
        <w:rPr>
          <w:noProof/>
          <w:color w:val="000000" w:themeColor="text1"/>
        </w:rPr>
      </w:pPr>
      <w:r w:rsidRPr="007F23AD">
        <w:rPr>
          <w:noProof/>
          <w:color w:val="000000" w:themeColor="text1"/>
        </w:rPr>
        <w:t xml:space="preserve">Klewitz, J. and Hansen, E. G. 2014. Sustainability-oriented innovation of SMEs: a systematic review. </w:t>
      </w:r>
      <w:r w:rsidRPr="007F23AD">
        <w:rPr>
          <w:i/>
          <w:noProof/>
          <w:color w:val="000000" w:themeColor="text1"/>
        </w:rPr>
        <w:t>Journal of Cleaner Production</w:t>
      </w:r>
      <w:r w:rsidRPr="007F23AD">
        <w:rPr>
          <w:noProof/>
          <w:color w:val="000000" w:themeColor="text1"/>
        </w:rPr>
        <w:t xml:space="preserve"> 65, pp. 57-75. doi: </w:t>
      </w:r>
      <w:hyperlink r:id="rId29" w:history="1">
        <w:r w:rsidRPr="007F23AD">
          <w:rPr>
            <w:rStyle w:val="a4"/>
            <w:noProof/>
            <w:color w:val="000000" w:themeColor="text1"/>
          </w:rPr>
          <w:t>https://doi.org/10.1016/j.jclepro.2013.07.017</w:t>
        </w:r>
      </w:hyperlink>
    </w:p>
    <w:p w14:paraId="29E053D9" w14:textId="77777777" w:rsidR="00FC69FC" w:rsidRPr="007F23AD" w:rsidRDefault="00FC69FC" w:rsidP="00FC69FC">
      <w:pPr>
        <w:pStyle w:val="EndNoteBibliography"/>
        <w:rPr>
          <w:noProof/>
          <w:color w:val="000000" w:themeColor="text1"/>
        </w:rPr>
      </w:pPr>
    </w:p>
    <w:p w14:paraId="472D73B7" w14:textId="77777777" w:rsidR="00FC69FC" w:rsidRPr="007F23AD" w:rsidRDefault="00FC69FC" w:rsidP="00FC69FC">
      <w:pPr>
        <w:pStyle w:val="EndNoteBibliography"/>
        <w:rPr>
          <w:noProof/>
          <w:color w:val="000000" w:themeColor="text1"/>
        </w:rPr>
      </w:pPr>
      <w:r w:rsidRPr="007F23AD">
        <w:rPr>
          <w:noProof/>
          <w:color w:val="000000" w:themeColor="text1"/>
        </w:rPr>
        <w:t xml:space="preserve">Kumar, S. and Singh, P. 2023. An Analysis of Government Support Programs for Small Business Development and Growth. </w:t>
      </w:r>
      <w:r w:rsidRPr="007F23AD">
        <w:rPr>
          <w:i/>
          <w:noProof/>
          <w:color w:val="000000" w:themeColor="text1"/>
        </w:rPr>
        <w:t>Scholedge International Journal of Business Policy &amp; Governance</w:t>
      </w:r>
      <w:r w:rsidRPr="007F23AD">
        <w:rPr>
          <w:noProof/>
          <w:color w:val="000000" w:themeColor="text1"/>
        </w:rPr>
        <w:t xml:space="preserve"> 10(2), pp. 8-19. doi: 10.19085/sijbpg100201</w:t>
      </w:r>
    </w:p>
    <w:p w14:paraId="33AE9231" w14:textId="77777777" w:rsidR="00FC69FC" w:rsidRPr="007F23AD" w:rsidRDefault="00FC69FC" w:rsidP="00FC69FC">
      <w:pPr>
        <w:pStyle w:val="EndNoteBibliography"/>
        <w:rPr>
          <w:noProof/>
          <w:color w:val="000000" w:themeColor="text1"/>
        </w:rPr>
      </w:pPr>
    </w:p>
    <w:p w14:paraId="6FC71D6D" w14:textId="77777777" w:rsidR="00FC69FC" w:rsidRPr="007F23AD" w:rsidRDefault="00FC69FC" w:rsidP="00FC69FC">
      <w:pPr>
        <w:pStyle w:val="EndNoteBibliography"/>
        <w:rPr>
          <w:noProof/>
          <w:color w:val="000000" w:themeColor="text1"/>
        </w:rPr>
      </w:pPr>
      <w:r w:rsidRPr="007F23AD">
        <w:rPr>
          <w:noProof/>
          <w:color w:val="000000" w:themeColor="text1"/>
        </w:rPr>
        <w:t xml:space="preserve">Laan, A., Noorderhaven, N., Voordijk, H. and Dewulf, G. 2011. Building trust in construction partnering projects: An exploratory case-study. </w:t>
      </w:r>
      <w:r w:rsidRPr="007F23AD">
        <w:rPr>
          <w:i/>
          <w:noProof/>
          <w:color w:val="000000" w:themeColor="text1"/>
        </w:rPr>
        <w:t>Journal of Purchasing and Supply Management</w:t>
      </w:r>
      <w:r w:rsidRPr="007F23AD">
        <w:rPr>
          <w:noProof/>
          <w:color w:val="000000" w:themeColor="text1"/>
        </w:rPr>
        <w:t xml:space="preserve"> 17(2), pp. 98-108. doi: 10.1016/j.pursup.2010.11.001</w:t>
      </w:r>
    </w:p>
    <w:p w14:paraId="3230DE43" w14:textId="77777777" w:rsidR="00FC69FC" w:rsidRPr="007F23AD" w:rsidRDefault="00FC69FC" w:rsidP="00FC69FC">
      <w:pPr>
        <w:pStyle w:val="EndNoteBibliography"/>
        <w:rPr>
          <w:noProof/>
          <w:color w:val="000000" w:themeColor="text1"/>
        </w:rPr>
      </w:pPr>
    </w:p>
    <w:p w14:paraId="731F9F4F" w14:textId="77777777" w:rsidR="00FC69FC" w:rsidRPr="007F23AD" w:rsidRDefault="00FC69FC" w:rsidP="00FC69FC">
      <w:pPr>
        <w:pStyle w:val="EndNoteBibliography"/>
        <w:rPr>
          <w:noProof/>
          <w:color w:val="000000" w:themeColor="text1"/>
        </w:rPr>
      </w:pPr>
      <w:r w:rsidRPr="007F23AD">
        <w:rPr>
          <w:noProof/>
          <w:color w:val="000000" w:themeColor="text1"/>
        </w:rPr>
        <w:t xml:space="preserve">Laforet, S. 2013. Organizational innovation outcomes in SMEs: Effects of age, size, and sector. </w:t>
      </w:r>
      <w:r w:rsidRPr="007F23AD">
        <w:rPr>
          <w:i/>
          <w:noProof/>
          <w:color w:val="000000" w:themeColor="text1"/>
        </w:rPr>
        <w:t>Journal of World business</w:t>
      </w:r>
      <w:r w:rsidRPr="007F23AD">
        <w:rPr>
          <w:noProof/>
          <w:color w:val="000000" w:themeColor="text1"/>
        </w:rPr>
        <w:t xml:space="preserve"> 48(4), pp. 490-502. </w:t>
      </w:r>
    </w:p>
    <w:p w14:paraId="7C4A9176" w14:textId="77777777" w:rsidR="00FC69FC" w:rsidRPr="007F23AD" w:rsidRDefault="00FC69FC" w:rsidP="00FC69FC">
      <w:pPr>
        <w:pStyle w:val="EndNoteBibliography"/>
        <w:rPr>
          <w:noProof/>
          <w:color w:val="000000" w:themeColor="text1"/>
        </w:rPr>
      </w:pPr>
    </w:p>
    <w:p w14:paraId="197EB7FD" w14:textId="77777777" w:rsidR="00FC69FC" w:rsidRPr="007F23AD" w:rsidRDefault="00FC69FC" w:rsidP="00FC69FC">
      <w:pPr>
        <w:pStyle w:val="EndNoteBibliography"/>
        <w:rPr>
          <w:noProof/>
          <w:color w:val="000000" w:themeColor="text1"/>
        </w:rPr>
      </w:pPr>
      <w:r w:rsidRPr="007F23AD">
        <w:rPr>
          <w:noProof/>
          <w:color w:val="000000" w:themeColor="text1"/>
        </w:rPr>
        <w:t xml:space="preserve">Lenny Koh, S., Demirbag, M., Bayraktar, E., Tatoglu, E. and Zaim, S. 2007. The impact of supply chain management practices on performance of SMEs. </w:t>
      </w:r>
      <w:r w:rsidRPr="007F23AD">
        <w:rPr>
          <w:i/>
          <w:noProof/>
          <w:color w:val="000000" w:themeColor="text1"/>
        </w:rPr>
        <w:t>Industrial Management &amp; Data Systems</w:t>
      </w:r>
      <w:r w:rsidRPr="007F23AD">
        <w:rPr>
          <w:noProof/>
          <w:color w:val="000000" w:themeColor="text1"/>
        </w:rPr>
        <w:t xml:space="preserve"> 107(1), pp. 103-124. </w:t>
      </w:r>
    </w:p>
    <w:p w14:paraId="1EFFEA9E" w14:textId="77777777" w:rsidR="00FC69FC" w:rsidRPr="007F23AD" w:rsidRDefault="00FC69FC" w:rsidP="00FC69FC">
      <w:pPr>
        <w:pStyle w:val="EndNoteBibliography"/>
        <w:rPr>
          <w:noProof/>
          <w:color w:val="000000" w:themeColor="text1"/>
        </w:rPr>
      </w:pPr>
    </w:p>
    <w:p w14:paraId="0025F9D1" w14:textId="3FF4033A" w:rsidR="00FC69FC" w:rsidRPr="007F23AD" w:rsidRDefault="00FC69FC" w:rsidP="00FC69FC">
      <w:pPr>
        <w:pStyle w:val="EndNoteBibliography"/>
        <w:rPr>
          <w:noProof/>
          <w:color w:val="000000" w:themeColor="text1"/>
        </w:rPr>
      </w:pPr>
      <w:r w:rsidRPr="007F23AD">
        <w:rPr>
          <w:noProof/>
          <w:color w:val="000000" w:themeColor="text1"/>
        </w:rPr>
        <w:t xml:space="preserve">Liao, L., Yang, C. and Quan, L. 2023. Construction supply chain management: A systematic literature review and future development. </w:t>
      </w:r>
      <w:r w:rsidRPr="007F23AD">
        <w:rPr>
          <w:i/>
          <w:noProof/>
          <w:color w:val="000000" w:themeColor="text1"/>
        </w:rPr>
        <w:t>Journal of Cleaner Production</w:t>
      </w:r>
      <w:r w:rsidRPr="007F23AD">
        <w:rPr>
          <w:noProof/>
          <w:color w:val="000000" w:themeColor="text1"/>
        </w:rPr>
        <w:t xml:space="preserve"> 382, p. 135230. doi: </w:t>
      </w:r>
      <w:hyperlink r:id="rId30" w:history="1">
        <w:r w:rsidRPr="007F23AD">
          <w:rPr>
            <w:rStyle w:val="a4"/>
            <w:noProof/>
            <w:color w:val="000000" w:themeColor="text1"/>
          </w:rPr>
          <w:t>https://doi.org/10.1016/j.jclepro.2022.135230</w:t>
        </w:r>
      </w:hyperlink>
    </w:p>
    <w:p w14:paraId="6D2D993D" w14:textId="77777777" w:rsidR="00FC69FC" w:rsidRPr="007F23AD" w:rsidRDefault="00FC69FC" w:rsidP="00FC69FC">
      <w:pPr>
        <w:pStyle w:val="EndNoteBibliography"/>
        <w:rPr>
          <w:noProof/>
          <w:color w:val="000000" w:themeColor="text1"/>
        </w:rPr>
      </w:pPr>
    </w:p>
    <w:p w14:paraId="6351AAAE" w14:textId="77777777" w:rsidR="00FC69FC" w:rsidRPr="007F23AD" w:rsidRDefault="00FC69FC" w:rsidP="00FC69FC">
      <w:pPr>
        <w:pStyle w:val="EndNoteBibliography"/>
        <w:rPr>
          <w:noProof/>
          <w:color w:val="000000" w:themeColor="text1"/>
        </w:rPr>
      </w:pPr>
      <w:r w:rsidRPr="007F23AD">
        <w:rPr>
          <w:noProof/>
          <w:color w:val="000000" w:themeColor="text1"/>
        </w:rPr>
        <w:t xml:space="preserve">Ling, F. Y. Y., Ong, S. Y., Ke, Y., Wang, S. and Zou, P. 2014. Drivers and barriers to adopting relational contracting practices in public projects: Comparative study of Beijing and Sydney. </w:t>
      </w:r>
      <w:r w:rsidRPr="007F23AD">
        <w:rPr>
          <w:i/>
          <w:noProof/>
          <w:color w:val="000000" w:themeColor="text1"/>
        </w:rPr>
        <w:t>International Journal of Project Management</w:t>
      </w:r>
      <w:r w:rsidRPr="007F23AD">
        <w:rPr>
          <w:noProof/>
          <w:color w:val="000000" w:themeColor="text1"/>
        </w:rPr>
        <w:t xml:space="preserve"> 32(2), pp. 275-285. doi: 10.1016/j.ijproman.2013.04.008</w:t>
      </w:r>
    </w:p>
    <w:p w14:paraId="5F4B65FE" w14:textId="77777777" w:rsidR="00FC69FC" w:rsidRPr="007F23AD" w:rsidRDefault="00FC69FC" w:rsidP="00FC69FC">
      <w:pPr>
        <w:pStyle w:val="EndNoteBibliography"/>
        <w:rPr>
          <w:noProof/>
          <w:color w:val="000000" w:themeColor="text1"/>
        </w:rPr>
      </w:pPr>
    </w:p>
    <w:p w14:paraId="300FD245" w14:textId="3EF779D7" w:rsidR="00FC69FC" w:rsidRPr="007F23AD" w:rsidRDefault="00FC69FC" w:rsidP="00FC69FC">
      <w:pPr>
        <w:pStyle w:val="EndNoteBibliography"/>
        <w:rPr>
          <w:noProof/>
          <w:color w:val="000000" w:themeColor="text1"/>
        </w:rPr>
      </w:pPr>
      <w:r w:rsidRPr="007F23AD">
        <w:rPr>
          <w:noProof/>
          <w:color w:val="000000" w:themeColor="text1"/>
        </w:rPr>
        <w:t xml:space="preserve">Loader, K. and Norton, S. 2015. SME access to public procurement: An analysis of the experiences of SMEs supplying the publicly funded UK heritage sector. </w:t>
      </w:r>
      <w:r w:rsidRPr="007F23AD">
        <w:rPr>
          <w:i/>
          <w:noProof/>
          <w:color w:val="000000" w:themeColor="text1"/>
        </w:rPr>
        <w:t xml:space="preserve">Journal of Purchasing </w:t>
      </w:r>
      <w:r w:rsidRPr="007F23AD">
        <w:rPr>
          <w:i/>
          <w:noProof/>
          <w:color w:val="000000" w:themeColor="text1"/>
        </w:rPr>
        <w:lastRenderedPageBreak/>
        <w:t>and Supply Management</w:t>
      </w:r>
      <w:r w:rsidRPr="007F23AD">
        <w:rPr>
          <w:noProof/>
          <w:color w:val="000000" w:themeColor="text1"/>
        </w:rPr>
        <w:t xml:space="preserve"> 21(4), pp. 241-250. doi: </w:t>
      </w:r>
      <w:hyperlink r:id="rId31" w:history="1">
        <w:r w:rsidRPr="007F23AD">
          <w:rPr>
            <w:rStyle w:val="a4"/>
            <w:noProof/>
            <w:color w:val="000000" w:themeColor="text1"/>
          </w:rPr>
          <w:t>https://doi.org/10.1016/j.pursup.2015.02.001</w:t>
        </w:r>
      </w:hyperlink>
    </w:p>
    <w:p w14:paraId="791B6B84" w14:textId="77777777" w:rsidR="00FC69FC" w:rsidRPr="007F23AD" w:rsidRDefault="00FC69FC" w:rsidP="00FC69FC">
      <w:pPr>
        <w:pStyle w:val="EndNoteBibliography"/>
        <w:rPr>
          <w:noProof/>
          <w:color w:val="000000" w:themeColor="text1"/>
        </w:rPr>
      </w:pPr>
    </w:p>
    <w:p w14:paraId="1E0C6360" w14:textId="77777777" w:rsidR="00FC69FC" w:rsidRPr="007F23AD" w:rsidRDefault="00FC69FC" w:rsidP="00FC69FC">
      <w:pPr>
        <w:pStyle w:val="EndNoteBibliography"/>
        <w:rPr>
          <w:noProof/>
          <w:color w:val="000000" w:themeColor="text1"/>
        </w:rPr>
      </w:pPr>
      <w:r w:rsidRPr="007F23AD">
        <w:rPr>
          <w:noProof/>
          <w:color w:val="000000" w:themeColor="text1"/>
        </w:rPr>
        <w:t xml:space="preserve">Lu, W., Wu, L. and Zhao, R. 2023. Rebuilding trust in the construction industry: a blockchain-based deployment framework. </w:t>
      </w:r>
      <w:r w:rsidRPr="007F23AD">
        <w:rPr>
          <w:i/>
          <w:noProof/>
          <w:color w:val="000000" w:themeColor="text1"/>
        </w:rPr>
        <w:t>International Journal of Construction Management</w:t>
      </w:r>
      <w:r w:rsidRPr="007F23AD">
        <w:rPr>
          <w:noProof/>
          <w:color w:val="000000" w:themeColor="text1"/>
        </w:rPr>
        <w:t xml:space="preserve"> 23(8), pp. 1405-1416. doi: 10.1080/15623599.2021.1974683</w:t>
      </w:r>
    </w:p>
    <w:p w14:paraId="13C97E93" w14:textId="77777777" w:rsidR="00FC69FC" w:rsidRPr="007F23AD" w:rsidRDefault="00FC69FC" w:rsidP="00FC69FC">
      <w:pPr>
        <w:pStyle w:val="EndNoteBibliography"/>
        <w:rPr>
          <w:noProof/>
          <w:color w:val="000000" w:themeColor="text1"/>
        </w:rPr>
      </w:pPr>
    </w:p>
    <w:p w14:paraId="0694A045" w14:textId="77777777" w:rsidR="00FC69FC" w:rsidRPr="007F23AD" w:rsidRDefault="00FC69FC" w:rsidP="00FC69FC">
      <w:pPr>
        <w:pStyle w:val="EndNoteBibliography"/>
        <w:rPr>
          <w:noProof/>
          <w:color w:val="000000" w:themeColor="text1"/>
        </w:rPr>
      </w:pPr>
      <w:r w:rsidRPr="007F23AD">
        <w:rPr>
          <w:noProof/>
          <w:color w:val="000000" w:themeColor="text1"/>
        </w:rPr>
        <w:t xml:space="preserve">Maemura, Y., Kim, E. and Ozawa, K. 2018. Root causes of recurring contractual conflicts in international construction projects: Five case studies from Vietnam. </w:t>
      </w:r>
      <w:r w:rsidRPr="007F23AD">
        <w:rPr>
          <w:i/>
          <w:noProof/>
          <w:color w:val="000000" w:themeColor="text1"/>
        </w:rPr>
        <w:t>Journal of Construction Engineering and Management</w:t>
      </w:r>
      <w:r w:rsidRPr="007F23AD">
        <w:rPr>
          <w:noProof/>
          <w:color w:val="000000" w:themeColor="text1"/>
        </w:rPr>
        <w:t xml:space="preserve"> 144(8), p. 05018008. </w:t>
      </w:r>
    </w:p>
    <w:p w14:paraId="237A6069" w14:textId="77777777" w:rsidR="00FC69FC" w:rsidRPr="007F23AD" w:rsidRDefault="00FC69FC" w:rsidP="00FC69FC">
      <w:pPr>
        <w:pStyle w:val="EndNoteBibliography"/>
        <w:rPr>
          <w:noProof/>
          <w:color w:val="000000" w:themeColor="text1"/>
        </w:rPr>
      </w:pPr>
    </w:p>
    <w:p w14:paraId="2D0C7152" w14:textId="77777777" w:rsidR="00FC69FC" w:rsidRPr="007F23AD" w:rsidRDefault="00FC69FC" w:rsidP="00FC69FC">
      <w:pPr>
        <w:pStyle w:val="EndNoteBibliography"/>
        <w:rPr>
          <w:noProof/>
          <w:color w:val="000000" w:themeColor="text1"/>
        </w:rPr>
      </w:pPr>
      <w:r w:rsidRPr="007F23AD">
        <w:rPr>
          <w:noProof/>
          <w:color w:val="000000" w:themeColor="text1"/>
        </w:rPr>
        <w:t xml:space="preserve">Mansour, H., Aminudin, E. and Mansour, T. 2021. Implementing industry 4.0 in the construction industry- strategic readiness perspective. </w:t>
      </w:r>
      <w:r w:rsidRPr="007F23AD">
        <w:rPr>
          <w:i/>
          <w:noProof/>
          <w:color w:val="000000" w:themeColor="text1"/>
        </w:rPr>
        <w:t>International Journal of Construction Management</w:t>
      </w:r>
      <w:r w:rsidRPr="007F23AD">
        <w:rPr>
          <w:noProof/>
          <w:color w:val="000000" w:themeColor="text1"/>
        </w:rPr>
        <w:t xml:space="preserve"> 23(9), pp. 1457-1470. doi: 10.1080/15623599.2021.1975351</w:t>
      </w:r>
    </w:p>
    <w:p w14:paraId="08492917" w14:textId="77777777" w:rsidR="00FC69FC" w:rsidRPr="007F23AD" w:rsidRDefault="00FC69FC" w:rsidP="00FC69FC">
      <w:pPr>
        <w:pStyle w:val="EndNoteBibliography"/>
        <w:rPr>
          <w:noProof/>
          <w:color w:val="000000" w:themeColor="text1"/>
        </w:rPr>
      </w:pPr>
    </w:p>
    <w:p w14:paraId="14338F26" w14:textId="77777777" w:rsidR="00FC69FC" w:rsidRPr="007F23AD" w:rsidRDefault="00FC69FC" w:rsidP="00FC69FC">
      <w:pPr>
        <w:pStyle w:val="EndNoteBibliography"/>
        <w:rPr>
          <w:noProof/>
          <w:color w:val="000000" w:themeColor="text1"/>
        </w:rPr>
      </w:pPr>
      <w:r w:rsidRPr="007F23AD">
        <w:rPr>
          <w:noProof/>
          <w:color w:val="000000" w:themeColor="text1"/>
        </w:rPr>
        <w:t xml:space="preserve">Manu, E., Ankrah, N., Chinyio, E. and Proverbs, D. 2015. Trust influencing factors in main contractor and subcontractor relationships during projects. </w:t>
      </w:r>
      <w:r w:rsidRPr="007F23AD">
        <w:rPr>
          <w:i/>
          <w:noProof/>
          <w:color w:val="000000" w:themeColor="text1"/>
        </w:rPr>
        <w:t>International Journal of Project Management</w:t>
      </w:r>
      <w:r w:rsidRPr="007F23AD">
        <w:rPr>
          <w:noProof/>
          <w:color w:val="000000" w:themeColor="text1"/>
        </w:rPr>
        <w:t xml:space="preserve"> 33(7), pp. 1495-1508. doi: 10.1016/j.ijproman.2015.06.006</w:t>
      </w:r>
    </w:p>
    <w:p w14:paraId="4CA6F33D" w14:textId="77777777" w:rsidR="00FC69FC" w:rsidRPr="007F23AD" w:rsidRDefault="00FC69FC" w:rsidP="00FC69FC">
      <w:pPr>
        <w:pStyle w:val="EndNoteBibliography"/>
        <w:rPr>
          <w:noProof/>
          <w:color w:val="000000" w:themeColor="text1"/>
        </w:rPr>
      </w:pPr>
    </w:p>
    <w:p w14:paraId="772C5A77" w14:textId="77777777" w:rsidR="00FC69FC" w:rsidRPr="007F23AD" w:rsidRDefault="00FC69FC" w:rsidP="00FC69FC">
      <w:pPr>
        <w:pStyle w:val="EndNoteBibliography"/>
        <w:rPr>
          <w:noProof/>
          <w:color w:val="000000" w:themeColor="text1"/>
        </w:rPr>
      </w:pPr>
      <w:r w:rsidRPr="007F23AD">
        <w:rPr>
          <w:noProof/>
          <w:color w:val="000000" w:themeColor="text1"/>
        </w:rPr>
        <w:t xml:space="preserve">Manuj, I. and Mentzer, J. T. 2008. Global supply chain risk management strategies. </w:t>
      </w:r>
      <w:r w:rsidRPr="007F23AD">
        <w:rPr>
          <w:i/>
          <w:noProof/>
          <w:color w:val="000000" w:themeColor="text1"/>
        </w:rPr>
        <w:t>International Journal of Physical Distribution &amp; Logistics Management</w:t>
      </w:r>
      <w:r w:rsidRPr="007F23AD">
        <w:rPr>
          <w:noProof/>
          <w:color w:val="000000" w:themeColor="text1"/>
        </w:rPr>
        <w:t xml:space="preserve">,  </w:t>
      </w:r>
    </w:p>
    <w:p w14:paraId="7B1D2E24" w14:textId="77777777" w:rsidR="00FC69FC" w:rsidRPr="007F23AD" w:rsidRDefault="00FC69FC" w:rsidP="00FC69FC">
      <w:pPr>
        <w:pStyle w:val="EndNoteBibliography"/>
        <w:rPr>
          <w:noProof/>
          <w:color w:val="000000" w:themeColor="text1"/>
        </w:rPr>
      </w:pPr>
    </w:p>
    <w:p w14:paraId="10CAE8F9" w14:textId="77777777" w:rsidR="00FC69FC" w:rsidRPr="007F23AD" w:rsidRDefault="00FC69FC" w:rsidP="00FC69FC">
      <w:pPr>
        <w:pStyle w:val="EndNoteBibliography"/>
        <w:rPr>
          <w:noProof/>
          <w:color w:val="000000" w:themeColor="text1"/>
        </w:rPr>
      </w:pPr>
      <w:r w:rsidRPr="007F23AD">
        <w:rPr>
          <w:noProof/>
          <w:color w:val="000000" w:themeColor="text1"/>
        </w:rPr>
        <w:t xml:space="preserve">Moeuf, A., Lamouri, S., Pellerin, R., Tamayo-Giraldo, S., Tobon-Valencia, E. and Eburdy, R. 2019. Identification of critical success factors, risks and opportunities of Industry 4.0 in SMEs. </w:t>
      </w:r>
      <w:r w:rsidRPr="007F23AD">
        <w:rPr>
          <w:i/>
          <w:noProof/>
          <w:color w:val="000000" w:themeColor="text1"/>
        </w:rPr>
        <w:t>International Journal of Production Research</w:t>
      </w:r>
      <w:r w:rsidRPr="007F23AD">
        <w:rPr>
          <w:noProof/>
          <w:color w:val="000000" w:themeColor="text1"/>
        </w:rPr>
        <w:t xml:space="preserve"> 58(5), pp. 1384-1400. doi: 10.1080/00207543.2019.1636323</w:t>
      </w:r>
    </w:p>
    <w:p w14:paraId="7D26A456" w14:textId="77777777" w:rsidR="00FC69FC" w:rsidRPr="007F23AD" w:rsidRDefault="00FC69FC" w:rsidP="00FC69FC">
      <w:pPr>
        <w:pStyle w:val="EndNoteBibliography"/>
        <w:rPr>
          <w:noProof/>
          <w:color w:val="000000" w:themeColor="text1"/>
        </w:rPr>
      </w:pPr>
    </w:p>
    <w:p w14:paraId="7D87D391" w14:textId="77777777" w:rsidR="00FC69FC" w:rsidRPr="007F23AD" w:rsidRDefault="00FC69FC" w:rsidP="00FC69FC">
      <w:pPr>
        <w:pStyle w:val="EndNoteBibliography"/>
        <w:rPr>
          <w:noProof/>
          <w:color w:val="000000" w:themeColor="text1"/>
        </w:rPr>
      </w:pPr>
      <w:r w:rsidRPr="007F23AD">
        <w:rPr>
          <w:noProof/>
          <w:color w:val="000000" w:themeColor="text1"/>
        </w:rPr>
        <w:t xml:space="preserve">Moeuf, A., Lamouri, S., Pellerin, R., Tamayo-Giraldo, S., Tobon-Valencia, E. and Eburdy, R. 2020. Identification of critical success factors, risks and opportunities of Industry 4.0 in SMEs. </w:t>
      </w:r>
      <w:r w:rsidRPr="007F23AD">
        <w:rPr>
          <w:i/>
          <w:noProof/>
          <w:color w:val="000000" w:themeColor="text1"/>
        </w:rPr>
        <w:t>International Journal of Production Research</w:t>
      </w:r>
      <w:r w:rsidRPr="007F23AD">
        <w:rPr>
          <w:noProof/>
          <w:color w:val="000000" w:themeColor="text1"/>
        </w:rPr>
        <w:t xml:space="preserve"> 58(5), pp. 1384-1400. doi: 10.1080/00207543.2019.1636323</w:t>
      </w:r>
    </w:p>
    <w:p w14:paraId="63D92F34" w14:textId="77777777" w:rsidR="00FC69FC" w:rsidRPr="007F23AD" w:rsidRDefault="00FC69FC" w:rsidP="00FC69FC">
      <w:pPr>
        <w:pStyle w:val="EndNoteBibliography"/>
        <w:rPr>
          <w:noProof/>
          <w:color w:val="000000" w:themeColor="text1"/>
        </w:rPr>
      </w:pPr>
    </w:p>
    <w:p w14:paraId="31957D03" w14:textId="77777777" w:rsidR="00FC69FC" w:rsidRPr="007F23AD" w:rsidRDefault="00FC69FC" w:rsidP="00FC69FC">
      <w:pPr>
        <w:pStyle w:val="EndNoteBibliography"/>
        <w:rPr>
          <w:noProof/>
          <w:color w:val="000000" w:themeColor="text1"/>
        </w:rPr>
      </w:pPr>
      <w:r w:rsidRPr="007F23AD">
        <w:rPr>
          <w:noProof/>
          <w:color w:val="000000" w:themeColor="text1"/>
        </w:rPr>
        <w:t xml:space="preserve">Mohammadi, M. M., Jalali, A. and Hasani, A. 2022. Success and failure factors in implementing quality management systems in small- and medium-sized enterprises: a mixed-method study. </w:t>
      </w:r>
      <w:r w:rsidRPr="007F23AD">
        <w:rPr>
          <w:i/>
          <w:noProof/>
          <w:color w:val="000000" w:themeColor="text1"/>
        </w:rPr>
        <w:t>International Journal of Quality &amp; Reliability Management</w:t>
      </w:r>
      <w:r w:rsidRPr="007F23AD">
        <w:rPr>
          <w:noProof/>
          <w:color w:val="000000" w:themeColor="text1"/>
        </w:rPr>
        <w:t xml:space="preserve"> 39(2), pp. 468-494. doi: 10.1108/Ijqrm-06-2020-0210</w:t>
      </w:r>
    </w:p>
    <w:p w14:paraId="7631C5ED" w14:textId="77777777" w:rsidR="00FC69FC" w:rsidRPr="007F23AD" w:rsidRDefault="00FC69FC" w:rsidP="00FC69FC">
      <w:pPr>
        <w:pStyle w:val="EndNoteBibliography"/>
        <w:rPr>
          <w:noProof/>
          <w:color w:val="000000" w:themeColor="text1"/>
        </w:rPr>
      </w:pPr>
    </w:p>
    <w:p w14:paraId="575E42DB" w14:textId="77777777" w:rsidR="00FC69FC" w:rsidRPr="007F23AD" w:rsidRDefault="00FC69FC" w:rsidP="00FC69FC">
      <w:pPr>
        <w:pStyle w:val="EndNoteBibliography"/>
        <w:rPr>
          <w:noProof/>
          <w:color w:val="000000" w:themeColor="text1"/>
        </w:rPr>
      </w:pPr>
      <w:r w:rsidRPr="007F23AD">
        <w:rPr>
          <w:noProof/>
          <w:color w:val="000000" w:themeColor="text1"/>
        </w:rPr>
        <w:t xml:space="preserve">Muller, P., Caliandro, C., Peycheva, V., Gagliardi, D., Marzocchi, C., Ramlogan, R. and Cox, D. 2015. </w:t>
      </w:r>
      <w:r w:rsidRPr="007F23AD">
        <w:rPr>
          <w:i/>
          <w:noProof/>
          <w:color w:val="000000" w:themeColor="text1"/>
        </w:rPr>
        <w:t>Annual report on european SMEs</w:t>
      </w:r>
      <w:r w:rsidRPr="007F23AD">
        <w:rPr>
          <w:noProof/>
          <w:color w:val="000000" w:themeColor="text1"/>
        </w:rPr>
        <w:t xml:space="preserve">.  </w:t>
      </w:r>
    </w:p>
    <w:p w14:paraId="312CDC14" w14:textId="77777777" w:rsidR="00FC69FC" w:rsidRPr="007F23AD" w:rsidRDefault="00FC69FC" w:rsidP="00FC69FC">
      <w:pPr>
        <w:pStyle w:val="EndNoteBibliography"/>
        <w:rPr>
          <w:noProof/>
          <w:color w:val="000000" w:themeColor="text1"/>
        </w:rPr>
      </w:pPr>
    </w:p>
    <w:p w14:paraId="289F0F21" w14:textId="77777777" w:rsidR="00FC69FC" w:rsidRPr="007F23AD" w:rsidRDefault="00FC69FC" w:rsidP="00FC69FC">
      <w:pPr>
        <w:pStyle w:val="EndNoteBibliography"/>
        <w:rPr>
          <w:noProof/>
          <w:color w:val="000000" w:themeColor="text1"/>
        </w:rPr>
      </w:pPr>
      <w:r w:rsidRPr="007F23AD">
        <w:rPr>
          <w:noProof/>
          <w:color w:val="000000" w:themeColor="text1"/>
        </w:rPr>
        <w:t xml:space="preserve">Nagarajan, M. and Bernstein, F. 2012. Competition and Cooperative Bargaining Models in Supply Chains. </w:t>
      </w:r>
      <w:r w:rsidRPr="007F23AD">
        <w:rPr>
          <w:i/>
          <w:noProof/>
          <w:color w:val="000000" w:themeColor="text1"/>
        </w:rPr>
        <w:t>Foundations and Trends® in Technology, Information and Operations Management</w:t>
      </w:r>
      <w:r w:rsidRPr="007F23AD">
        <w:rPr>
          <w:noProof/>
          <w:color w:val="000000" w:themeColor="text1"/>
        </w:rPr>
        <w:t xml:space="preserve"> 5(2), pp. 87-145. doi: 10.1561/0200000016</w:t>
      </w:r>
    </w:p>
    <w:p w14:paraId="16009C1E" w14:textId="77777777" w:rsidR="00FC69FC" w:rsidRPr="007F23AD" w:rsidRDefault="00FC69FC" w:rsidP="00FC69FC">
      <w:pPr>
        <w:pStyle w:val="EndNoteBibliography"/>
        <w:rPr>
          <w:noProof/>
          <w:color w:val="000000" w:themeColor="text1"/>
        </w:rPr>
      </w:pPr>
    </w:p>
    <w:p w14:paraId="673CE100" w14:textId="77777777" w:rsidR="00FC69FC" w:rsidRPr="007F23AD" w:rsidRDefault="00FC69FC" w:rsidP="00FC69FC">
      <w:pPr>
        <w:pStyle w:val="EndNoteBibliography"/>
        <w:rPr>
          <w:noProof/>
          <w:color w:val="000000" w:themeColor="text1"/>
        </w:rPr>
      </w:pPr>
      <w:r w:rsidRPr="007F23AD">
        <w:rPr>
          <w:noProof/>
          <w:color w:val="000000" w:themeColor="text1"/>
        </w:rPr>
        <w:t xml:space="preserve">Naim, M. M. and Gosling, J. 2023. Revisiting the whole systems approach: designing supply chains in a turbulent world. </w:t>
      </w:r>
      <w:r w:rsidRPr="007F23AD">
        <w:rPr>
          <w:i/>
          <w:noProof/>
          <w:color w:val="000000" w:themeColor="text1"/>
        </w:rPr>
        <w:t>The International Journal of Logistics Management</w:t>
      </w:r>
      <w:r w:rsidRPr="007F23AD">
        <w:rPr>
          <w:noProof/>
          <w:color w:val="000000" w:themeColor="text1"/>
        </w:rPr>
        <w:t xml:space="preserve"> 34(1), pp. 5-33. doi: 10.1108/IJLM-02-2021-0121</w:t>
      </w:r>
    </w:p>
    <w:p w14:paraId="37EBDCC9" w14:textId="77777777" w:rsidR="00FC69FC" w:rsidRPr="007F23AD" w:rsidRDefault="00FC69FC" w:rsidP="00FC69FC">
      <w:pPr>
        <w:pStyle w:val="EndNoteBibliography"/>
        <w:rPr>
          <w:noProof/>
          <w:color w:val="000000" w:themeColor="text1"/>
        </w:rPr>
      </w:pPr>
    </w:p>
    <w:p w14:paraId="19D777AB" w14:textId="77777777" w:rsidR="00FC69FC" w:rsidRPr="007F23AD" w:rsidRDefault="00FC69FC" w:rsidP="00FC69FC">
      <w:pPr>
        <w:pStyle w:val="EndNoteBibliography"/>
        <w:rPr>
          <w:noProof/>
          <w:color w:val="000000" w:themeColor="text1"/>
        </w:rPr>
      </w:pPr>
      <w:r w:rsidRPr="007F23AD">
        <w:rPr>
          <w:noProof/>
          <w:color w:val="000000" w:themeColor="text1"/>
        </w:rPr>
        <w:t xml:space="preserve">Namagembe, S., Ntayi Mpeera, J. and Kalid, A. 2021. An examination of SME involvement in public procurement under bid lot sizing. </w:t>
      </w:r>
      <w:r w:rsidRPr="007F23AD">
        <w:rPr>
          <w:i/>
          <w:noProof/>
          <w:color w:val="000000" w:themeColor="text1"/>
        </w:rPr>
        <w:t>Journal of Public Procurement</w:t>
      </w:r>
      <w:r w:rsidRPr="007F23AD">
        <w:rPr>
          <w:noProof/>
          <w:color w:val="000000" w:themeColor="text1"/>
        </w:rPr>
        <w:t xml:space="preserve"> 21(4), pp. 370-398. doi: 10.1108/JOPP-04-2020-0031</w:t>
      </w:r>
    </w:p>
    <w:p w14:paraId="4F5DAA43" w14:textId="77777777" w:rsidR="00FC69FC" w:rsidRPr="007F23AD" w:rsidRDefault="00FC69FC" w:rsidP="00FC69FC">
      <w:pPr>
        <w:pStyle w:val="EndNoteBibliography"/>
        <w:rPr>
          <w:noProof/>
          <w:color w:val="000000" w:themeColor="text1"/>
        </w:rPr>
      </w:pPr>
    </w:p>
    <w:p w14:paraId="796C34DC" w14:textId="77777777" w:rsidR="00FC69FC" w:rsidRPr="007F23AD" w:rsidRDefault="00FC69FC" w:rsidP="00FC69FC">
      <w:pPr>
        <w:pStyle w:val="EndNoteBibliography"/>
        <w:rPr>
          <w:noProof/>
          <w:color w:val="000000" w:themeColor="text1"/>
        </w:rPr>
      </w:pPr>
      <w:r w:rsidRPr="007F23AD">
        <w:rPr>
          <w:noProof/>
          <w:color w:val="000000" w:themeColor="text1"/>
        </w:rPr>
        <w:t xml:space="preserve">National Bureau of Statistics of China, e. 2017. Statistical classification of small, medium and large micro enterprises. </w:t>
      </w:r>
      <w:r w:rsidRPr="007F23AD">
        <w:rPr>
          <w:i/>
          <w:noProof/>
          <w:color w:val="000000" w:themeColor="text1"/>
        </w:rPr>
        <w:t>National Bureau of Statistics of the People’s Republic of China, Beijing</w:t>
      </w:r>
      <w:r w:rsidRPr="007F23AD">
        <w:rPr>
          <w:noProof/>
          <w:color w:val="000000" w:themeColor="text1"/>
        </w:rPr>
        <w:t xml:space="preserve">,  </w:t>
      </w:r>
    </w:p>
    <w:p w14:paraId="51E4E9AF" w14:textId="77777777" w:rsidR="00FC69FC" w:rsidRPr="007F23AD" w:rsidRDefault="00FC69FC" w:rsidP="00FC69FC">
      <w:pPr>
        <w:pStyle w:val="EndNoteBibliography"/>
        <w:rPr>
          <w:noProof/>
          <w:color w:val="000000" w:themeColor="text1"/>
        </w:rPr>
      </w:pPr>
    </w:p>
    <w:p w14:paraId="6AA9979D" w14:textId="027F5216" w:rsidR="00FC69FC" w:rsidRPr="007F23AD" w:rsidRDefault="00FC69FC" w:rsidP="00FC69FC">
      <w:pPr>
        <w:pStyle w:val="EndNoteBibliography"/>
        <w:rPr>
          <w:noProof/>
          <w:color w:val="000000" w:themeColor="text1"/>
        </w:rPr>
      </w:pPr>
      <w:r w:rsidRPr="007F23AD">
        <w:rPr>
          <w:noProof/>
          <w:color w:val="000000" w:themeColor="text1"/>
        </w:rPr>
        <w:t xml:space="preserve">OECD. 2023. </w:t>
      </w:r>
      <w:r w:rsidRPr="007F23AD">
        <w:rPr>
          <w:i/>
          <w:noProof/>
          <w:color w:val="000000" w:themeColor="text1"/>
        </w:rPr>
        <w:t>OECD SME and Entrepreneurship Outlook 2023</w:t>
      </w:r>
      <w:r w:rsidRPr="007F23AD">
        <w:rPr>
          <w:noProof/>
          <w:color w:val="000000" w:themeColor="text1"/>
        </w:rPr>
        <w:t xml:space="preserve">. Available at: </w:t>
      </w:r>
      <w:hyperlink r:id="rId32" w:history="1">
        <w:r w:rsidRPr="007F23AD">
          <w:rPr>
            <w:rStyle w:val="a4"/>
            <w:noProof/>
            <w:color w:val="000000" w:themeColor="text1"/>
          </w:rPr>
          <w:t>https://doi.org/10.1787/8d707502-en</w:t>
        </w:r>
      </w:hyperlink>
      <w:r w:rsidRPr="007F23AD">
        <w:rPr>
          <w:noProof/>
          <w:color w:val="000000" w:themeColor="text1"/>
        </w:rPr>
        <w:t xml:space="preserve"> [Accessed: 28-06-2024].</w:t>
      </w:r>
    </w:p>
    <w:p w14:paraId="7F8075E8" w14:textId="77777777" w:rsidR="00FC69FC" w:rsidRPr="007F23AD" w:rsidRDefault="00FC69FC" w:rsidP="00FC69FC">
      <w:pPr>
        <w:pStyle w:val="EndNoteBibliography"/>
        <w:rPr>
          <w:noProof/>
          <w:color w:val="000000" w:themeColor="text1"/>
        </w:rPr>
      </w:pPr>
    </w:p>
    <w:p w14:paraId="6E1342F8" w14:textId="77777777" w:rsidR="00FC69FC" w:rsidRPr="007F23AD" w:rsidRDefault="00FC69FC" w:rsidP="00FC69FC">
      <w:pPr>
        <w:pStyle w:val="EndNoteBibliography"/>
        <w:rPr>
          <w:noProof/>
          <w:color w:val="000000" w:themeColor="text1"/>
        </w:rPr>
      </w:pPr>
      <w:r w:rsidRPr="007F23AD">
        <w:rPr>
          <w:noProof/>
          <w:color w:val="000000" w:themeColor="text1"/>
        </w:rPr>
        <w:t xml:space="preserve">Okonkwo, P. N. and Wium, J. 2020. Health and Safety Management Systems within Construction Contractor Organizations: Case Study of South Africa. </w:t>
      </w:r>
      <w:r w:rsidRPr="007F23AD">
        <w:rPr>
          <w:i/>
          <w:noProof/>
          <w:color w:val="000000" w:themeColor="text1"/>
        </w:rPr>
        <w:t>Journal of Construction Engineering and Management</w:t>
      </w:r>
      <w:r w:rsidRPr="007F23AD">
        <w:rPr>
          <w:noProof/>
          <w:color w:val="000000" w:themeColor="text1"/>
        </w:rPr>
        <w:t xml:space="preserve"> 146(5),  doi: Artn 05020003</w:t>
      </w:r>
    </w:p>
    <w:p w14:paraId="5088F363" w14:textId="77777777" w:rsidR="00FC69FC" w:rsidRPr="007F23AD" w:rsidRDefault="00FC69FC" w:rsidP="00FC69FC">
      <w:pPr>
        <w:pStyle w:val="EndNoteBibliography"/>
        <w:rPr>
          <w:noProof/>
          <w:color w:val="000000" w:themeColor="text1"/>
        </w:rPr>
      </w:pPr>
      <w:r w:rsidRPr="007F23AD">
        <w:rPr>
          <w:noProof/>
          <w:color w:val="000000" w:themeColor="text1"/>
        </w:rPr>
        <w:t>10.1061/(Asce)Co.1943-7862.0001833</w:t>
      </w:r>
    </w:p>
    <w:p w14:paraId="37B9E520" w14:textId="77777777" w:rsidR="00FC69FC" w:rsidRPr="007F23AD" w:rsidRDefault="00FC69FC" w:rsidP="00FC69FC">
      <w:pPr>
        <w:pStyle w:val="EndNoteBibliography"/>
        <w:rPr>
          <w:noProof/>
          <w:color w:val="000000" w:themeColor="text1"/>
        </w:rPr>
      </w:pPr>
    </w:p>
    <w:p w14:paraId="2AB4E4F5" w14:textId="200D0794" w:rsidR="00FC69FC" w:rsidRPr="007F23AD" w:rsidRDefault="00FC69FC" w:rsidP="00FC69FC">
      <w:pPr>
        <w:pStyle w:val="EndNoteBibliography"/>
        <w:rPr>
          <w:noProof/>
          <w:color w:val="000000" w:themeColor="text1"/>
        </w:rPr>
      </w:pPr>
      <w:r w:rsidRPr="007F23AD">
        <w:rPr>
          <w:noProof/>
          <w:color w:val="000000" w:themeColor="text1"/>
        </w:rPr>
        <w:t xml:space="preserve">Olander, S. and Landin, A. 2005. Evaluation of stakeholder influence in the implementation of construction projects. </w:t>
      </w:r>
      <w:r w:rsidRPr="007F23AD">
        <w:rPr>
          <w:i/>
          <w:noProof/>
          <w:color w:val="000000" w:themeColor="text1"/>
        </w:rPr>
        <w:t>International journal of project management</w:t>
      </w:r>
      <w:r w:rsidRPr="007F23AD">
        <w:rPr>
          <w:noProof/>
          <w:color w:val="000000" w:themeColor="text1"/>
        </w:rPr>
        <w:t xml:space="preserve"> 23(4), pp. 321-328. doi: </w:t>
      </w:r>
      <w:hyperlink r:id="rId33" w:history="1">
        <w:r w:rsidRPr="007F23AD">
          <w:rPr>
            <w:rStyle w:val="a4"/>
            <w:noProof/>
            <w:color w:val="000000" w:themeColor="text1"/>
          </w:rPr>
          <w:t>https://doi.org/10.1016/j.ijproman.2005.02.002</w:t>
        </w:r>
      </w:hyperlink>
    </w:p>
    <w:p w14:paraId="068DB3CB" w14:textId="77777777" w:rsidR="00FC69FC" w:rsidRPr="007F23AD" w:rsidRDefault="00FC69FC" w:rsidP="00FC69FC">
      <w:pPr>
        <w:pStyle w:val="EndNoteBibliography"/>
        <w:rPr>
          <w:noProof/>
          <w:color w:val="000000" w:themeColor="text1"/>
        </w:rPr>
      </w:pPr>
    </w:p>
    <w:p w14:paraId="313A2949" w14:textId="77777777" w:rsidR="00FC69FC" w:rsidRPr="007F23AD" w:rsidRDefault="00FC69FC" w:rsidP="00FC69FC">
      <w:pPr>
        <w:pStyle w:val="EndNoteBibliography"/>
        <w:rPr>
          <w:noProof/>
          <w:color w:val="000000" w:themeColor="text1"/>
        </w:rPr>
      </w:pPr>
      <w:r w:rsidRPr="007F23AD">
        <w:rPr>
          <w:noProof/>
          <w:color w:val="000000" w:themeColor="text1"/>
        </w:rPr>
        <w:t xml:space="preserve">Oppong, G. D., Chan, A. P. C. and Dansoh, A. 2017. A review of stakeholder management performance attributes in construction projects. </w:t>
      </w:r>
      <w:r w:rsidRPr="007F23AD">
        <w:rPr>
          <w:i/>
          <w:noProof/>
          <w:color w:val="000000" w:themeColor="text1"/>
        </w:rPr>
        <w:t>International Journal of Project Management</w:t>
      </w:r>
      <w:r w:rsidRPr="007F23AD">
        <w:rPr>
          <w:noProof/>
          <w:color w:val="000000" w:themeColor="text1"/>
        </w:rPr>
        <w:t xml:space="preserve"> 35(6), pp. 1037-1051. doi: 10.1016/j.ijproman.2017.04.015</w:t>
      </w:r>
    </w:p>
    <w:p w14:paraId="26966605" w14:textId="77777777" w:rsidR="00FC69FC" w:rsidRPr="007F23AD" w:rsidRDefault="00FC69FC" w:rsidP="00FC69FC">
      <w:pPr>
        <w:pStyle w:val="EndNoteBibliography"/>
        <w:rPr>
          <w:noProof/>
          <w:color w:val="000000" w:themeColor="text1"/>
        </w:rPr>
      </w:pPr>
    </w:p>
    <w:p w14:paraId="4763D99E" w14:textId="77777777" w:rsidR="00FC69FC" w:rsidRPr="007F23AD" w:rsidRDefault="00FC69FC" w:rsidP="00FC69FC">
      <w:pPr>
        <w:pStyle w:val="EndNoteBibliography"/>
        <w:rPr>
          <w:noProof/>
          <w:color w:val="000000" w:themeColor="text1"/>
        </w:rPr>
      </w:pPr>
      <w:r w:rsidRPr="007F23AD">
        <w:rPr>
          <w:noProof/>
          <w:color w:val="000000" w:themeColor="text1"/>
        </w:rPr>
        <w:t xml:space="preserve">Oyegoke, A. S. 2016. The significance of small contracts in construction business environment: a review of case laws. </w:t>
      </w:r>
      <w:r w:rsidRPr="007F23AD">
        <w:rPr>
          <w:i/>
          <w:noProof/>
          <w:color w:val="000000" w:themeColor="text1"/>
        </w:rPr>
        <w:t>International Journal of Procurement Management</w:t>
      </w:r>
      <w:r w:rsidRPr="007F23AD">
        <w:rPr>
          <w:noProof/>
          <w:color w:val="000000" w:themeColor="text1"/>
        </w:rPr>
        <w:t xml:space="preserve"> 9(3), pp. 310-327. doi: 10.1504/ijpm.2016.076307</w:t>
      </w:r>
    </w:p>
    <w:p w14:paraId="1010758D" w14:textId="77777777" w:rsidR="00FC69FC" w:rsidRPr="007F23AD" w:rsidRDefault="00FC69FC" w:rsidP="00FC69FC">
      <w:pPr>
        <w:pStyle w:val="EndNoteBibliography"/>
        <w:rPr>
          <w:noProof/>
          <w:color w:val="000000" w:themeColor="text1"/>
        </w:rPr>
      </w:pPr>
    </w:p>
    <w:p w14:paraId="182C138E" w14:textId="77777777" w:rsidR="00FC69FC" w:rsidRPr="007F23AD" w:rsidRDefault="00FC69FC" w:rsidP="00FC69FC">
      <w:pPr>
        <w:pStyle w:val="EndNoteBibliography"/>
        <w:rPr>
          <w:noProof/>
          <w:color w:val="000000" w:themeColor="text1"/>
        </w:rPr>
      </w:pPr>
      <w:r w:rsidRPr="007F23AD">
        <w:rPr>
          <w:noProof/>
          <w:color w:val="000000" w:themeColor="text1"/>
        </w:rPr>
        <w:t xml:space="preserve">Parnell, J. A., Long, Z. and Lester, D. 2015. Competitive strategy, capabilities and uncertainty in small and medium sized enterprises (SMEs) in China and the United States. </w:t>
      </w:r>
      <w:r w:rsidRPr="007F23AD">
        <w:rPr>
          <w:i/>
          <w:noProof/>
          <w:color w:val="000000" w:themeColor="text1"/>
        </w:rPr>
        <w:t>Management Decision</w:t>
      </w:r>
      <w:r w:rsidRPr="007F23AD">
        <w:rPr>
          <w:noProof/>
          <w:color w:val="000000" w:themeColor="text1"/>
        </w:rPr>
        <w:t xml:space="preserve"> 53(2), pp. 402-431. doi: 10.1108/MD-04-2014-0222</w:t>
      </w:r>
    </w:p>
    <w:p w14:paraId="36D1E8E0" w14:textId="77777777" w:rsidR="00FC69FC" w:rsidRPr="007F23AD" w:rsidRDefault="00FC69FC" w:rsidP="00FC69FC">
      <w:pPr>
        <w:pStyle w:val="EndNoteBibliography"/>
        <w:rPr>
          <w:noProof/>
          <w:color w:val="000000" w:themeColor="text1"/>
        </w:rPr>
      </w:pPr>
    </w:p>
    <w:p w14:paraId="271F77A0" w14:textId="77777777" w:rsidR="00FC69FC" w:rsidRPr="007F23AD" w:rsidRDefault="00FC69FC" w:rsidP="00FC69FC">
      <w:pPr>
        <w:pStyle w:val="EndNoteBibliography"/>
        <w:rPr>
          <w:noProof/>
          <w:color w:val="000000" w:themeColor="text1"/>
        </w:rPr>
      </w:pPr>
      <w:r w:rsidRPr="007F23AD">
        <w:rPr>
          <w:noProof/>
          <w:color w:val="000000" w:themeColor="text1"/>
        </w:rPr>
        <w:t xml:space="preserve">Patrucco, A., Ciccullo, F. and Pero, M. 2020. Industry 4.0 and supply chain process re-engineering. </w:t>
      </w:r>
      <w:r w:rsidRPr="007F23AD">
        <w:rPr>
          <w:i/>
          <w:noProof/>
          <w:color w:val="000000" w:themeColor="text1"/>
        </w:rPr>
        <w:t>Business Process Management Journal</w:t>
      </w:r>
      <w:r w:rsidRPr="007F23AD">
        <w:rPr>
          <w:noProof/>
          <w:color w:val="000000" w:themeColor="text1"/>
        </w:rPr>
        <w:t xml:space="preserve"> 26(5), pp. 1093-1119. doi: 10.1108/bpmj-04-2019-0147</w:t>
      </w:r>
    </w:p>
    <w:p w14:paraId="2A62AC2E" w14:textId="77777777" w:rsidR="00FC69FC" w:rsidRPr="007F23AD" w:rsidRDefault="00FC69FC" w:rsidP="00FC69FC">
      <w:pPr>
        <w:pStyle w:val="EndNoteBibliography"/>
        <w:rPr>
          <w:noProof/>
          <w:color w:val="000000" w:themeColor="text1"/>
        </w:rPr>
      </w:pPr>
    </w:p>
    <w:p w14:paraId="51DA9D35" w14:textId="77777777" w:rsidR="00FC69FC" w:rsidRPr="007F23AD" w:rsidRDefault="00FC69FC" w:rsidP="00FC69FC">
      <w:pPr>
        <w:pStyle w:val="EndNoteBibliography"/>
        <w:rPr>
          <w:noProof/>
          <w:color w:val="000000" w:themeColor="text1"/>
        </w:rPr>
      </w:pPr>
      <w:r w:rsidRPr="007F23AD">
        <w:rPr>
          <w:noProof/>
          <w:color w:val="000000" w:themeColor="text1"/>
        </w:rPr>
        <w:t xml:space="preserve">Pereira, L., Tenera, A., Bispo, J. and Wemans, J. 2015. </w:t>
      </w:r>
      <w:r w:rsidRPr="007F23AD">
        <w:rPr>
          <w:i/>
          <w:noProof/>
          <w:color w:val="000000" w:themeColor="text1"/>
        </w:rPr>
        <w:t>A Risk Diagnosing Methodology Web-Based Platform for Micro, Small and Medium Businesses: Remarks and Enhancements</w:t>
      </w:r>
      <w:r w:rsidRPr="007F23AD">
        <w:rPr>
          <w:noProof/>
          <w:color w:val="000000" w:themeColor="text1"/>
        </w:rPr>
        <w:t>.</w:t>
      </w:r>
    </w:p>
    <w:p w14:paraId="565CA23C" w14:textId="77777777" w:rsidR="00FC69FC" w:rsidRPr="007F23AD" w:rsidRDefault="00FC69FC" w:rsidP="00FC69FC">
      <w:pPr>
        <w:pStyle w:val="EndNoteBibliography"/>
        <w:rPr>
          <w:noProof/>
          <w:color w:val="000000" w:themeColor="text1"/>
        </w:rPr>
      </w:pPr>
    </w:p>
    <w:p w14:paraId="40C332FA" w14:textId="77777777" w:rsidR="00FC69FC" w:rsidRPr="007F23AD" w:rsidRDefault="00FC69FC" w:rsidP="00FC69FC">
      <w:pPr>
        <w:pStyle w:val="EndNoteBibliography"/>
        <w:rPr>
          <w:noProof/>
          <w:color w:val="000000" w:themeColor="text1"/>
        </w:rPr>
      </w:pPr>
      <w:r w:rsidRPr="007F23AD">
        <w:rPr>
          <w:noProof/>
          <w:color w:val="000000" w:themeColor="text1"/>
        </w:rPr>
        <w:t xml:space="preserve">Pham, H. T., Pham, T., Truong Quang, H. and Dang, C. N. 2022. Supply chain risk management research in construction: a systematic review. </w:t>
      </w:r>
      <w:r w:rsidRPr="007F23AD">
        <w:rPr>
          <w:i/>
          <w:noProof/>
          <w:color w:val="000000" w:themeColor="text1"/>
        </w:rPr>
        <w:t>International Journal of Construction Management</w:t>
      </w:r>
      <w:r w:rsidRPr="007F23AD">
        <w:rPr>
          <w:noProof/>
          <w:color w:val="000000" w:themeColor="text1"/>
        </w:rPr>
        <w:t>, pp. 1-11. doi: 10.1080/15623599.2022.2029677</w:t>
      </w:r>
    </w:p>
    <w:p w14:paraId="3856CD1C" w14:textId="77777777" w:rsidR="00FC69FC" w:rsidRPr="007F23AD" w:rsidRDefault="00FC69FC" w:rsidP="00FC69FC">
      <w:pPr>
        <w:pStyle w:val="EndNoteBibliography"/>
        <w:rPr>
          <w:noProof/>
          <w:color w:val="000000" w:themeColor="text1"/>
        </w:rPr>
      </w:pPr>
    </w:p>
    <w:p w14:paraId="1C4A3929" w14:textId="77777777" w:rsidR="00FC69FC" w:rsidRPr="007F23AD" w:rsidRDefault="00FC69FC" w:rsidP="00FC69FC">
      <w:pPr>
        <w:pStyle w:val="EndNoteBibliography"/>
        <w:rPr>
          <w:noProof/>
          <w:color w:val="000000" w:themeColor="text1"/>
        </w:rPr>
      </w:pPr>
      <w:r w:rsidRPr="007F23AD">
        <w:rPr>
          <w:noProof/>
          <w:color w:val="000000" w:themeColor="text1"/>
        </w:rPr>
        <w:t xml:space="preserve">Preuss, L. 2011. On the contribution of public procurement to entrepreneurship and small business policy. </w:t>
      </w:r>
      <w:r w:rsidRPr="007F23AD">
        <w:rPr>
          <w:i/>
          <w:noProof/>
          <w:color w:val="000000" w:themeColor="text1"/>
        </w:rPr>
        <w:t>Entrepreneurship &amp; Regional Development</w:t>
      </w:r>
      <w:r w:rsidRPr="007F23AD">
        <w:rPr>
          <w:noProof/>
          <w:color w:val="000000" w:themeColor="text1"/>
        </w:rPr>
        <w:t xml:space="preserve"> 23(9-10), pp. 787-814. doi: 10.1080/08985626.2010.546433</w:t>
      </w:r>
    </w:p>
    <w:p w14:paraId="49088888" w14:textId="77777777" w:rsidR="00FC69FC" w:rsidRPr="007F23AD" w:rsidRDefault="00FC69FC" w:rsidP="00FC69FC">
      <w:pPr>
        <w:pStyle w:val="EndNoteBibliography"/>
        <w:rPr>
          <w:noProof/>
          <w:color w:val="000000" w:themeColor="text1"/>
        </w:rPr>
      </w:pPr>
    </w:p>
    <w:p w14:paraId="069F54B6" w14:textId="77777777" w:rsidR="00FC69FC" w:rsidRPr="007F23AD" w:rsidRDefault="00FC69FC" w:rsidP="00FC69FC">
      <w:pPr>
        <w:pStyle w:val="EndNoteBibliography"/>
        <w:rPr>
          <w:noProof/>
          <w:color w:val="000000" w:themeColor="text1"/>
        </w:rPr>
      </w:pPr>
      <w:r w:rsidRPr="007F23AD">
        <w:rPr>
          <w:noProof/>
          <w:color w:val="000000" w:themeColor="text1"/>
        </w:rPr>
        <w:t xml:space="preserve">Rahmani, F., Khalfan, M. M. A. and Maqsood, T. 2016. Analysing the drivers for early contractor involvement adoption by construction clients. </w:t>
      </w:r>
      <w:r w:rsidRPr="007F23AD">
        <w:rPr>
          <w:i/>
          <w:noProof/>
          <w:color w:val="000000" w:themeColor="text1"/>
        </w:rPr>
        <w:t>International Journal of Procurement Management</w:t>
      </w:r>
      <w:r w:rsidRPr="007F23AD">
        <w:rPr>
          <w:noProof/>
          <w:color w:val="000000" w:themeColor="text1"/>
        </w:rPr>
        <w:t xml:space="preserve"> 9(4), pp. 373-397. doi: 10.1504/ijpm.2016.077701</w:t>
      </w:r>
    </w:p>
    <w:p w14:paraId="69B5EB21" w14:textId="77777777" w:rsidR="00FC69FC" w:rsidRPr="007F23AD" w:rsidRDefault="00FC69FC" w:rsidP="00FC69FC">
      <w:pPr>
        <w:pStyle w:val="EndNoteBibliography"/>
        <w:rPr>
          <w:noProof/>
          <w:color w:val="000000" w:themeColor="text1"/>
        </w:rPr>
      </w:pPr>
    </w:p>
    <w:p w14:paraId="6A2810BC" w14:textId="77777777" w:rsidR="00FC69FC" w:rsidRPr="007F23AD" w:rsidRDefault="00FC69FC" w:rsidP="00FC69FC">
      <w:pPr>
        <w:pStyle w:val="EndNoteBibliography"/>
        <w:rPr>
          <w:noProof/>
          <w:color w:val="000000" w:themeColor="text1"/>
        </w:rPr>
      </w:pPr>
      <w:r w:rsidRPr="007F23AD">
        <w:rPr>
          <w:noProof/>
          <w:color w:val="000000" w:themeColor="text1"/>
        </w:rPr>
        <w:t xml:space="preserve">Rezazadeh, A. 2017. The contribution of business model innovation to collaborative entrepreneurship between SMEs: a review and avenues for further research. </w:t>
      </w:r>
      <w:r w:rsidRPr="007F23AD">
        <w:rPr>
          <w:i/>
          <w:noProof/>
          <w:color w:val="000000" w:themeColor="text1"/>
        </w:rPr>
        <w:t>International Journal of Business and Globalisation</w:t>
      </w:r>
      <w:r w:rsidRPr="007F23AD">
        <w:rPr>
          <w:noProof/>
          <w:color w:val="000000" w:themeColor="text1"/>
        </w:rPr>
        <w:t xml:space="preserve"> 18(1), pp. 112-129. </w:t>
      </w:r>
    </w:p>
    <w:p w14:paraId="71325F91" w14:textId="77777777" w:rsidR="00FC69FC" w:rsidRPr="007F23AD" w:rsidRDefault="00FC69FC" w:rsidP="00FC69FC">
      <w:pPr>
        <w:pStyle w:val="EndNoteBibliography"/>
        <w:rPr>
          <w:noProof/>
          <w:color w:val="000000" w:themeColor="text1"/>
        </w:rPr>
      </w:pPr>
    </w:p>
    <w:p w14:paraId="5E74A1B8" w14:textId="77777777" w:rsidR="00FC69FC" w:rsidRPr="007F23AD" w:rsidRDefault="00FC69FC" w:rsidP="00FC69FC">
      <w:pPr>
        <w:pStyle w:val="EndNoteBibliography"/>
        <w:rPr>
          <w:noProof/>
          <w:color w:val="000000" w:themeColor="text1"/>
        </w:rPr>
      </w:pPr>
      <w:r w:rsidRPr="007F23AD">
        <w:rPr>
          <w:noProof/>
          <w:color w:val="000000" w:themeColor="text1"/>
        </w:rPr>
        <w:t xml:space="preserve">Sadeh, H., Mirarchi, C., Shahbodaghlou, F. and Pavan, A. 2021. BIM feasibility for small and medium-sized contractors and subcontractors. </w:t>
      </w:r>
      <w:r w:rsidRPr="007F23AD">
        <w:rPr>
          <w:i/>
          <w:noProof/>
          <w:color w:val="000000" w:themeColor="text1"/>
        </w:rPr>
        <w:t>International Journal of Construction Management</w:t>
      </w:r>
      <w:r w:rsidRPr="007F23AD">
        <w:rPr>
          <w:noProof/>
          <w:color w:val="000000" w:themeColor="text1"/>
        </w:rPr>
        <w:t xml:space="preserve"> 23(6), pp. 999-1008. doi: 10.1080/15623599.2021.1947446</w:t>
      </w:r>
    </w:p>
    <w:p w14:paraId="5CDD69C7" w14:textId="77777777" w:rsidR="00FC69FC" w:rsidRPr="007F23AD" w:rsidRDefault="00FC69FC" w:rsidP="00FC69FC">
      <w:pPr>
        <w:pStyle w:val="EndNoteBibliography"/>
        <w:rPr>
          <w:noProof/>
          <w:color w:val="000000" w:themeColor="text1"/>
        </w:rPr>
      </w:pPr>
    </w:p>
    <w:p w14:paraId="370E9005" w14:textId="77777777" w:rsidR="00FC69FC" w:rsidRPr="007F23AD" w:rsidRDefault="00FC69FC" w:rsidP="00FC69FC">
      <w:pPr>
        <w:pStyle w:val="EndNoteBibliography"/>
        <w:rPr>
          <w:noProof/>
          <w:color w:val="000000" w:themeColor="text1"/>
        </w:rPr>
      </w:pPr>
      <w:r w:rsidRPr="007F23AD">
        <w:rPr>
          <w:noProof/>
          <w:color w:val="000000" w:themeColor="text1"/>
        </w:rPr>
        <w:t xml:space="preserve">Salami, B. A., Ajayi, S. O. and Oyegoke, A. S. 2021. Tackling the impacts of Covid-19 on construction projects: an exploration of contractual dispute avoidance measures adopted by construction firms. </w:t>
      </w:r>
      <w:r w:rsidRPr="007F23AD">
        <w:rPr>
          <w:i/>
          <w:noProof/>
          <w:color w:val="000000" w:themeColor="text1"/>
        </w:rPr>
        <w:t>International Journal of Construction Management</w:t>
      </w:r>
      <w:r w:rsidRPr="007F23AD">
        <w:rPr>
          <w:noProof/>
          <w:color w:val="000000" w:themeColor="text1"/>
        </w:rPr>
        <w:t xml:space="preserve"> 23(7), pp. 1196-1204. doi: 10.1080/15623599.2021.1963561</w:t>
      </w:r>
    </w:p>
    <w:p w14:paraId="5D4C920F" w14:textId="77777777" w:rsidR="00FC69FC" w:rsidRPr="007F23AD" w:rsidRDefault="00FC69FC" w:rsidP="00FC69FC">
      <w:pPr>
        <w:pStyle w:val="EndNoteBibliography"/>
        <w:rPr>
          <w:noProof/>
          <w:color w:val="000000" w:themeColor="text1"/>
        </w:rPr>
      </w:pPr>
    </w:p>
    <w:p w14:paraId="22BF46E6" w14:textId="77777777" w:rsidR="00FC69FC" w:rsidRPr="007F23AD" w:rsidRDefault="00FC69FC" w:rsidP="00FC69FC">
      <w:pPr>
        <w:pStyle w:val="EndNoteBibliography"/>
        <w:rPr>
          <w:noProof/>
          <w:color w:val="000000" w:themeColor="text1"/>
        </w:rPr>
      </w:pPr>
      <w:r w:rsidRPr="007F23AD">
        <w:rPr>
          <w:noProof/>
          <w:color w:val="000000" w:themeColor="text1"/>
        </w:rPr>
        <w:t xml:space="preserve">Saunders, L. W. et al. 2016. International benchmarking for performance improvement in construction safety and health. </w:t>
      </w:r>
      <w:r w:rsidRPr="007F23AD">
        <w:rPr>
          <w:i/>
          <w:noProof/>
          <w:color w:val="000000" w:themeColor="text1"/>
        </w:rPr>
        <w:t>Benchmarking: An International Journal</w:t>
      </w:r>
      <w:r w:rsidRPr="007F23AD">
        <w:rPr>
          <w:noProof/>
          <w:color w:val="000000" w:themeColor="text1"/>
        </w:rPr>
        <w:t xml:space="preserve"> 23(4), pp. 916-936. doi: 10.1108/bij-11-2013-0105</w:t>
      </w:r>
    </w:p>
    <w:p w14:paraId="35EA0882" w14:textId="77777777" w:rsidR="00FC69FC" w:rsidRPr="007F23AD" w:rsidRDefault="00FC69FC" w:rsidP="00FC69FC">
      <w:pPr>
        <w:pStyle w:val="EndNoteBibliography"/>
        <w:rPr>
          <w:noProof/>
          <w:color w:val="000000" w:themeColor="text1"/>
        </w:rPr>
      </w:pPr>
    </w:p>
    <w:p w14:paraId="55FAD385" w14:textId="77777777" w:rsidR="00FC69FC" w:rsidRPr="007F23AD" w:rsidRDefault="00FC69FC" w:rsidP="00FC69FC">
      <w:pPr>
        <w:pStyle w:val="EndNoteBibliography"/>
        <w:rPr>
          <w:noProof/>
          <w:color w:val="000000" w:themeColor="text1"/>
        </w:rPr>
      </w:pPr>
      <w:r w:rsidRPr="007F23AD">
        <w:rPr>
          <w:noProof/>
          <w:color w:val="000000" w:themeColor="text1"/>
        </w:rPr>
        <w:t xml:space="preserve">Schlegel, G. L. and Trent, R. J. 2014. </w:t>
      </w:r>
      <w:r w:rsidRPr="007F23AD">
        <w:rPr>
          <w:i/>
          <w:noProof/>
          <w:color w:val="000000" w:themeColor="text1"/>
        </w:rPr>
        <w:t>Supply chain risk management: An emerging discipline</w:t>
      </w:r>
      <w:r w:rsidRPr="007F23AD">
        <w:rPr>
          <w:noProof/>
          <w:color w:val="000000" w:themeColor="text1"/>
        </w:rPr>
        <w:t>. Crc Press.</w:t>
      </w:r>
    </w:p>
    <w:p w14:paraId="7359010F" w14:textId="77777777" w:rsidR="00FC69FC" w:rsidRPr="007F23AD" w:rsidRDefault="00FC69FC" w:rsidP="00FC69FC">
      <w:pPr>
        <w:pStyle w:val="EndNoteBibliography"/>
        <w:rPr>
          <w:noProof/>
          <w:color w:val="000000" w:themeColor="text1"/>
        </w:rPr>
      </w:pPr>
    </w:p>
    <w:p w14:paraId="5BAA1FA3" w14:textId="33936821" w:rsidR="00FC69FC" w:rsidRPr="007F23AD" w:rsidRDefault="00FC69FC" w:rsidP="00FC69FC">
      <w:pPr>
        <w:pStyle w:val="EndNoteBibliography"/>
        <w:rPr>
          <w:noProof/>
          <w:color w:val="000000" w:themeColor="text1"/>
        </w:rPr>
      </w:pPr>
      <w:r w:rsidRPr="007F23AD">
        <w:rPr>
          <w:noProof/>
          <w:color w:val="000000" w:themeColor="text1"/>
        </w:rPr>
        <w:t xml:space="preserve">Service, T. I. 2023. </w:t>
      </w:r>
      <w:r w:rsidRPr="007F23AD">
        <w:rPr>
          <w:i/>
          <w:noProof/>
          <w:color w:val="000000" w:themeColor="text1"/>
        </w:rPr>
        <w:t>Commentary - Company Insolvency Statistics April to June 2023</w:t>
      </w:r>
      <w:r w:rsidRPr="007F23AD">
        <w:rPr>
          <w:noProof/>
          <w:color w:val="000000" w:themeColor="text1"/>
        </w:rPr>
        <w:t xml:space="preserve">. Available at: </w:t>
      </w:r>
      <w:hyperlink r:id="rId34" w:history="1">
        <w:r w:rsidRPr="007F23AD">
          <w:rPr>
            <w:rStyle w:val="a4"/>
            <w:noProof/>
            <w:color w:val="000000" w:themeColor="text1"/>
          </w:rPr>
          <w:t>https://www.gov.uk/government/statistics/company-insolvency-statistics-april-to-june-2023/commentary-company-insolvency-statistics-april-to-june-2023</w:t>
        </w:r>
      </w:hyperlink>
      <w:r w:rsidRPr="007F23AD">
        <w:rPr>
          <w:noProof/>
          <w:color w:val="000000" w:themeColor="text1"/>
        </w:rPr>
        <w:t xml:space="preserve"> [Accessed: 07-08-2024].</w:t>
      </w:r>
    </w:p>
    <w:p w14:paraId="36D1DC22" w14:textId="77777777" w:rsidR="00FC69FC" w:rsidRPr="007F23AD" w:rsidRDefault="00FC69FC" w:rsidP="00FC69FC">
      <w:pPr>
        <w:pStyle w:val="EndNoteBibliography"/>
        <w:rPr>
          <w:noProof/>
          <w:color w:val="000000" w:themeColor="text1"/>
        </w:rPr>
      </w:pPr>
    </w:p>
    <w:p w14:paraId="3666AA1D" w14:textId="77777777" w:rsidR="00FC69FC" w:rsidRPr="007F23AD" w:rsidRDefault="00FC69FC" w:rsidP="00FC69FC">
      <w:pPr>
        <w:pStyle w:val="EndNoteBibliography"/>
        <w:rPr>
          <w:noProof/>
          <w:color w:val="000000" w:themeColor="text1"/>
        </w:rPr>
      </w:pPr>
      <w:r w:rsidRPr="007F23AD">
        <w:rPr>
          <w:noProof/>
          <w:color w:val="000000" w:themeColor="text1"/>
        </w:rPr>
        <w:t xml:space="preserve">Seth, D. and Rastogi, S. 2019. Application of vendor rationalization strategy for manufacturing cycle time reduction in engineer to order (ETO) environment. </w:t>
      </w:r>
      <w:r w:rsidRPr="007F23AD">
        <w:rPr>
          <w:i/>
          <w:noProof/>
          <w:color w:val="000000" w:themeColor="text1"/>
        </w:rPr>
        <w:t>Journal of Manufacturing Technology Management</w:t>
      </w:r>
      <w:r w:rsidRPr="007F23AD">
        <w:rPr>
          <w:noProof/>
          <w:color w:val="000000" w:themeColor="text1"/>
        </w:rPr>
        <w:t xml:space="preserve"> 30(1), pp. 261-290. doi: 10.1108/jmtm-03-2018-0095</w:t>
      </w:r>
    </w:p>
    <w:p w14:paraId="569050C9" w14:textId="77777777" w:rsidR="00FC69FC" w:rsidRPr="007F23AD" w:rsidRDefault="00FC69FC" w:rsidP="00FC69FC">
      <w:pPr>
        <w:pStyle w:val="EndNoteBibliography"/>
        <w:rPr>
          <w:noProof/>
          <w:color w:val="000000" w:themeColor="text1"/>
        </w:rPr>
      </w:pPr>
    </w:p>
    <w:p w14:paraId="1017CDA5" w14:textId="77777777" w:rsidR="00FC69FC" w:rsidRPr="007F23AD" w:rsidRDefault="00FC69FC" w:rsidP="00FC69FC">
      <w:pPr>
        <w:pStyle w:val="EndNoteBibliography"/>
        <w:rPr>
          <w:noProof/>
          <w:color w:val="000000" w:themeColor="text1"/>
        </w:rPr>
      </w:pPr>
      <w:r w:rsidRPr="007F23AD">
        <w:rPr>
          <w:noProof/>
          <w:color w:val="000000" w:themeColor="text1"/>
        </w:rPr>
        <w:t xml:space="preserve">Setijono, D. 2010. A conceptual framework for managing the performance of construction supply chain. </w:t>
      </w:r>
      <w:r w:rsidRPr="007F23AD">
        <w:rPr>
          <w:i/>
          <w:noProof/>
          <w:color w:val="000000" w:themeColor="text1"/>
        </w:rPr>
        <w:t>International Journal of Productivity and Quality Management</w:t>
      </w:r>
      <w:r w:rsidRPr="007F23AD">
        <w:rPr>
          <w:noProof/>
          <w:color w:val="000000" w:themeColor="text1"/>
        </w:rPr>
        <w:t xml:space="preserve"> 5(1), pp. 1-20. doi: 10.1504/ijpqm.2010.029503</w:t>
      </w:r>
    </w:p>
    <w:p w14:paraId="2EA46044" w14:textId="77777777" w:rsidR="00FC69FC" w:rsidRPr="007F23AD" w:rsidRDefault="00FC69FC" w:rsidP="00FC69FC">
      <w:pPr>
        <w:pStyle w:val="EndNoteBibliography"/>
        <w:rPr>
          <w:noProof/>
          <w:color w:val="000000" w:themeColor="text1"/>
        </w:rPr>
      </w:pPr>
    </w:p>
    <w:p w14:paraId="7F202499" w14:textId="31C66F3C" w:rsidR="00FC69FC" w:rsidRPr="007F23AD" w:rsidRDefault="00FC69FC" w:rsidP="00FC69FC">
      <w:pPr>
        <w:pStyle w:val="EndNoteBibliography"/>
        <w:rPr>
          <w:noProof/>
          <w:color w:val="000000" w:themeColor="text1"/>
        </w:rPr>
      </w:pPr>
      <w:r w:rsidRPr="007F23AD">
        <w:rPr>
          <w:noProof/>
          <w:color w:val="000000" w:themeColor="text1"/>
        </w:rPr>
        <w:t xml:space="preserve">Seuring, S. and Müller, M. 2008. From a literature review to a conceptual framework for sustainable supply chain management. </w:t>
      </w:r>
      <w:r w:rsidRPr="007F23AD">
        <w:rPr>
          <w:i/>
          <w:noProof/>
          <w:color w:val="000000" w:themeColor="text1"/>
        </w:rPr>
        <w:t>Journal of Cleaner Production</w:t>
      </w:r>
      <w:r w:rsidRPr="007F23AD">
        <w:rPr>
          <w:noProof/>
          <w:color w:val="000000" w:themeColor="text1"/>
        </w:rPr>
        <w:t xml:space="preserve"> 16(15), pp. 1699-1710. doi: </w:t>
      </w:r>
      <w:hyperlink r:id="rId35" w:history="1">
        <w:r w:rsidRPr="007F23AD">
          <w:rPr>
            <w:rStyle w:val="a4"/>
            <w:noProof/>
            <w:color w:val="000000" w:themeColor="text1"/>
          </w:rPr>
          <w:t>https://doi.org/10.1016/j.jclepro.2008.04.020</w:t>
        </w:r>
      </w:hyperlink>
    </w:p>
    <w:p w14:paraId="3130E50C" w14:textId="77777777" w:rsidR="00FC69FC" w:rsidRPr="007F23AD" w:rsidRDefault="00FC69FC" w:rsidP="00FC69FC">
      <w:pPr>
        <w:pStyle w:val="EndNoteBibliography"/>
        <w:rPr>
          <w:noProof/>
          <w:color w:val="000000" w:themeColor="text1"/>
        </w:rPr>
      </w:pPr>
    </w:p>
    <w:p w14:paraId="505B8494" w14:textId="68E6E4E2" w:rsidR="00FC69FC" w:rsidRPr="007F23AD" w:rsidRDefault="00FC69FC" w:rsidP="00FC69FC">
      <w:pPr>
        <w:pStyle w:val="EndNoteBibliography"/>
        <w:rPr>
          <w:noProof/>
          <w:color w:val="000000" w:themeColor="text1"/>
        </w:rPr>
      </w:pPr>
      <w:r w:rsidRPr="007F23AD">
        <w:rPr>
          <w:noProof/>
          <w:color w:val="000000" w:themeColor="text1"/>
        </w:rPr>
        <w:t xml:space="preserve">Shojaei, P. and Haeri, S. A. S. 2019. Development of supply chain risk management approaches for construction projects: A grounded theory approach. </w:t>
      </w:r>
      <w:r w:rsidRPr="007F23AD">
        <w:rPr>
          <w:i/>
          <w:noProof/>
          <w:color w:val="000000" w:themeColor="text1"/>
        </w:rPr>
        <w:t>Computers &amp; Industrial Engineering</w:t>
      </w:r>
      <w:r w:rsidRPr="007F23AD">
        <w:rPr>
          <w:noProof/>
          <w:color w:val="000000" w:themeColor="text1"/>
        </w:rPr>
        <w:t xml:space="preserve"> 128, pp. 837-850. doi: </w:t>
      </w:r>
      <w:hyperlink r:id="rId36" w:history="1">
        <w:r w:rsidRPr="007F23AD">
          <w:rPr>
            <w:rStyle w:val="a4"/>
            <w:noProof/>
            <w:color w:val="000000" w:themeColor="text1"/>
          </w:rPr>
          <w:t>https://doi.org/10.1016/j.cie.2018.11.045</w:t>
        </w:r>
      </w:hyperlink>
    </w:p>
    <w:p w14:paraId="4F83ABFA" w14:textId="77777777" w:rsidR="00FC69FC" w:rsidRPr="007F23AD" w:rsidRDefault="00FC69FC" w:rsidP="00FC69FC">
      <w:pPr>
        <w:pStyle w:val="EndNoteBibliography"/>
        <w:rPr>
          <w:noProof/>
          <w:color w:val="000000" w:themeColor="text1"/>
        </w:rPr>
      </w:pPr>
    </w:p>
    <w:p w14:paraId="7B67AC0A" w14:textId="77777777" w:rsidR="00FC69FC" w:rsidRPr="007F23AD" w:rsidRDefault="00FC69FC" w:rsidP="00FC69FC">
      <w:pPr>
        <w:pStyle w:val="EndNoteBibliography"/>
        <w:rPr>
          <w:noProof/>
          <w:color w:val="000000" w:themeColor="text1"/>
        </w:rPr>
      </w:pPr>
      <w:r w:rsidRPr="007F23AD">
        <w:rPr>
          <w:noProof/>
          <w:color w:val="000000" w:themeColor="text1"/>
        </w:rPr>
        <w:t xml:space="preserve">Soinio, J., Tanskanen, K. and Finne, M. 2012. How logistics‐service providers can develop value‐added services for SMEs: a dyadic perspective. </w:t>
      </w:r>
      <w:r w:rsidRPr="007F23AD">
        <w:rPr>
          <w:i/>
          <w:noProof/>
          <w:color w:val="000000" w:themeColor="text1"/>
        </w:rPr>
        <w:t>The International Journal of Logistics Management</w:t>
      </w:r>
      <w:r w:rsidRPr="007F23AD">
        <w:rPr>
          <w:noProof/>
          <w:color w:val="000000" w:themeColor="text1"/>
        </w:rPr>
        <w:t xml:space="preserve"> 23(1), pp. 31-49. doi: 10.1108/09574091211226911</w:t>
      </w:r>
    </w:p>
    <w:p w14:paraId="5A989C73" w14:textId="77777777" w:rsidR="00FC69FC" w:rsidRPr="007F23AD" w:rsidRDefault="00FC69FC" w:rsidP="00FC69FC">
      <w:pPr>
        <w:pStyle w:val="EndNoteBibliography"/>
        <w:rPr>
          <w:noProof/>
          <w:color w:val="000000" w:themeColor="text1"/>
        </w:rPr>
      </w:pPr>
    </w:p>
    <w:p w14:paraId="3FAC7EEA" w14:textId="77777777" w:rsidR="00FC69FC" w:rsidRPr="007F23AD" w:rsidRDefault="00FC69FC" w:rsidP="00FC69FC">
      <w:pPr>
        <w:pStyle w:val="EndNoteBibliography"/>
        <w:rPr>
          <w:noProof/>
          <w:color w:val="000000" w:themeColor="text1"/>
        </w:rPr>
      </w:pPr>
      <w:r w:rsidRPr="007F23AD">
        <w:rPr>
          <w:noProof/>
          <w:color w:val="000000" w:themeColor="text1"/>
        </w:rPr>
        <w:t xml:space="preserve">Song, J. M., Zhao, Y. and Xu, X. 2021. Incentives and Gaming in Collaborative Projects Under Risk-Sharing Partnerships. </w:t>
      </w:r>
      <w:r w:rsidRPr="007F23AD">
        <w:rPr>
          <w:i/>
          <w:noProof/>
          <w:color w:val="000000" w:themeColor="text1"/>
        </w:rPr>
        <w:t>Manufacturing &amp; Service Operations Management</w:t>
      </w:r>
      <w:r w:rsidRPr="007F23AD">
        <w:rPr>
          <w:noProof/>
          <w:color w:val="000000" w:themeColor="text1"/>
        </w:rPr>
        <w:t xml:space="preserve"> 23(2), pp. 453-470. doi: 10.1287/msom.2019.0840</w:t>
      </w:r>
    </w:p>
    <w:p w14:paraId="6F87605E" w14:textId="77777777" w:rsidR="00FC69FC" w:rsidRPr="007F23AD" w:rsidRDefault="00FC69FC" w:rsidP="00FC69FC">
      <w:pPr>
        <w:pStyle w:val="EndNoteBibliography"/>
        <w:rPr>
          <w:noProof/>
          <w:color w:val="000000" w:themeColor="text1"/>
        </w:rPr>
      </w:pPr>
    </w:p>
    <w:p w14:paraId="19578F5D" w14:textId="77777777" w:rsidR="00FC69FC" w:rsidRPr="007F23AD" w:rsidRDefault="00FC69FC" w:rsidP="00FC69FC">
      <w:pPr>
        <w:pStyle w:val="EndNoteBibliography"/>
        <w:rPr>
          <w:noProof/>
          <w:color w:val="000000" w:themeColor="text1"/>
        </w:rPr>
      </w:pPr>
      <w:r w:rsidRPr="007F23AD">
        <w:rPr>
          <w:noProof/>
          <w:color w:val="000000" w:themeColor="text1"/>
        </w:rPr>
        <w:t>Statistics, T. O. S. a. D. B. 2024. Structural Statistics on Industry and Services and  Business Statistics by Size Class.</w:t>
      </w:r>
    </w:p>
    <w:p w14:paraId="24482E81" w14:textId="77777777" w:rsidR="00FC69FC" w:rsidRPr="007F23AD" w:rsidRDefault="00FC69FC" w:rsidP="00FC69FC">
      <w:pPr>
        <w:pStyle w:val="EndNoteBibliography"/>
        <w:rPr>
          <w:noProof/>
          <w:color w:val="000000" w:themeColor="text1"/>
        </w:rPr>
      </w:pPr>
    </w:p>
    <w:p w14:paraId="0DA1D03E" w14:textId="77777777" w:rsidR="00FC69FC" w:rsidRPr="007F23AD" w:rsidRDefault="00FC69FC" w:rsidP="00FC69FC">
      <w:pPr>
        <w:pStyle w:val="EndNoteBibliography"/>
        <w:rPr>
          <w:noProof/>
          <w:color w:val="000000" w:themeColor="text1"/>
        </w:rPr>
      </w:pPr>
      <w:r w:rsidRPr="007F23AD">
        <w:rPr>
          <w:noProof/>
          <w:color w:val="000000" w:themeColor="text1"/>
        </w:rPr>
        <w:lastRenderedPageBreak/>
        <w:t xml:space="preserve">Stefanov, R., Yalamov, T. and Karaboev, S. 2015. The Bulgarian public procurement market: Corruption risks and dynamics in the construction sector. </w:t>
      </w:r>
      <w:r w:rsidRPr="007F23AD">
        <w:rPr>
          <w:i/>
          <w:noProof/>
          <w:color w:val="000000" w:themeColor="text1"/>
        </w:rPr>
        <w:t>Government Favoritism in Europe–The ANTICORRP Project: Anticorruption Report</w:t>
      </w:r>
      <w:r w:rsidRPr="007F23AD">
        <w:rPr>
          <w:noProof/>
          <w:color w:val="000000" w:themeColor="text1"/>
        </w:rPr>
        <w:t xml:space="preserve"> 3, pp. 35-52. </w:t>
      </w:r>
    </w:p>
    <w:p w14:paraId="1190D9B5" w14:textId="77777777" w:rsidR="00FC69FC" w:rsidRPr="007F23AD" w:rsidRDefault="00FC69FC" w:rsidP="00FC69FC">
      <w:pPr>
        <w:pStyle w:val="EndNoteBibliography"/>
        <w:rPr>
          <w:noProof/>
          <w:color w:val="000000" w:themeColor="text1"/>
        </w:rPr>
      </w:pPr>
    </w:p>
    <w:p w14:paraId="75E3188C" w14:textId="77777777" w:rsidR="00FC69FC" w:rsidRPr="007F23AD" w:rsidRDefault="00FC69FC" w:rsidP="00FC69FC">
      <w:pPr>
        <w:pStyle w:val="EndNoteBibliography"/>
        <w:rPr>
          <w:noProof/>
          <w:color w:val="000000" w:themeColor="text1"/>
        </w:rPr>
      </w:pPr>
      <w:r w:rsidRPr="007F23AD">
        <w:rPr>
          <w:noProof/>
          <w:color w:val="000000" w:themeColor="text1"/>
        </w:rPr>
        <w:t xml:space="preserve">Strømmen, R. 2021. </w:t>
      </w:r>
      <w:r w:rsidRPr="007F23AD">
        <w:rPr>
          <w:i/>
          <w:noProof/>
          <w:color w:val="000000" w:themeColor="text1"/>
        </w:rPr>
        <w:t>Benefits of using the Best Value Procurement method in Green Public Procurement for Small and Medium-sized Enterprises in the Norwegian construction sector.</w:t>
      </w:r>
      <w:r w:rsidRPr="007F23AD">
        <w:rPr>
          <w:noProof/>
          <w:color w:val="000000" w:themeColor="text1"/>
        </w:rPr>
        <w:t xml:space="preserve"> NTNU. </w:t>
      </w:r>
    </w:p>
    <w:p w14:paraId="1F8FF714" w14:textId="77777777" w:rsidR="00FC69FC" w:rsidRPr="007F23AD" w:rsidRDefault="00FC69FC" w:rsidP="00FC69FC">
      <w:pPr>
        <w:pStyle w:val="EndNoteBibliography"/>
        <w:rPr>
          <w:noProof/>
          <w:color w:val="000000" w:themeColor="text1"/>
        </w:rPr>
      </w:pPr>
    </w:p>
    <w:p w14:paraId="37CC8E80" w14:textId="77777777" w:rsidR="00FC69FC" w:rsidRPr="007F23AD" w:rsidRDefault="00FC69FC" w:rsidP="00FC69FC">
      <w:pPr>
        <w:pStyle w:val="EndNoteBibliography"/>
        <w:rPr>
          <w:noProof/>
          <w:color w:val="000000" w:themeColor="text1"/>
        </w:rPr>
      </w:pPr>
      <w:r w:rsidRPr="007F23AD">
        <w:rPr>
          <w:noProof/>
          <w:color w:val="000000" w:themeColor="text1"/>
        </w:rPr>
        <w:t xml:space="preserve">Tang, Y., Chen, Y., Arditi, D. and Meng, F. 2023. Effects of the General Contractor's Governance Capabilities and Project Goals on the Organizational Arrangement of Subcontracting. </w:t>
      </w:r>
      <w:r w:rsidRPr="007F23AD">
        <w:rPr>
          <w:i/>
          <w:noProof/>
          <w:color w:val="000000" w:themeColor="text1"/>
        </w:rPr>
        <w:t>IEEE Transactions on Engineering Management</w:t>
      </w:r>
      <w:r w:rsidRPr="007F23AD">
        <w:rPr>
          <w:noProof/>
          <w:color w:val="000000" w:themeColor="text1"/>
        </w:rPr>
        <w:t xml:space="preserve"> 70(5), pp. 1724-1737. doi: 10.1109/tem.2021.3064020</w:t>
      </w:r>
    </w:p>
    <w:p w14:paraId="7E3B9751" w14:textId="77777777" w:rsidR="00FC69FC" w:rsidRPr="007F23AD" w:rsidRDefault="00FC69FC" w:rsidP="00FC69FC">
      <w:pPr>
        <w:pStyle w:val="EndNoteBibliography"/>
        <w:rPr>
          <w:noProof/>
          <w:color w:val="000000" w:themeColor="text1"/>
        </w:rPr>
      </w:pPr>
    </w:p>
    <w:p w14:paraId="6A441BE0" w14:textId="1CF5C5B1" w:rsidR="00FC69FC" w:rsidRPr="007F23AD" w:rsidRDefault="00FC69FC" w:rsidP="00FC69FC">
      <w:pPr>
        <w:pStyle w:val="EndNoteBibliography"/>
        <w:rPr>
          <w:noProof/>
          <w:color w:val="000000" w:themeColor="text1"/>
        </w:rPr>
      </w:pPr>
      <w:r w:rsidRPr="007F23AD">
        <w:rPr>
          <w:noProof/>
          <w:color w:val="000000" w:themeColor="text1"/>
        </w:rPr>
        <w:t xml:space="preserve">Taroun, A. 2014. Towards a better modelling and assessment of construction risk: Insights from a literature review. </w:t>
      </w:r>
      <w:r w:rsidRPr="007F23AD">
        <w:rPr>
          <w:i/>
          <w:noProof/>
          <w:color w:val="000000" w:themeColor="text1"/>
        </w:rPr>
        <w:t>International Journal of Project Management</w:t>
      </w:r>
      <w:r w:rsidRPr="007F23AD">
        <w:rPr>
          <w:noProof/>
          <w:color w:val="000000" w:themeColor="text1"/>
        </w:rPr>
        <w:t xml:space="preserve"> 32(1), pp. 101-115. doi: </w:t>
      </w:r>
      <w:hyperlink r:id="rId37" w:history="1">
        <w:r w:rsidRPr="007F23AD">
          <w:rPr>
            <w:rStyle w:val="a4"/>
            <w:noProof/>
            <w:color w:val="000000" w:themeColor="text1"/>
          </w:rPr>
          <w:t>https://doi.org/10.1016/j.ijproman.2013.03.004</w:t>
        </w:r>
      </w:hyperlink>
    </w:p>
    <w:p w14:paraId="41635AC8" w14:textId="77777777" w:rsidR="00FC69FC" w:rsidRPr="007F23AD" w:rsidRDefault="00FC69FC" w:rsidP="00FC69FC">
      <w:pPr>
        <w:pStyle w:val="EndNoteBibliography"/>
        <w:rPr>
          <w:noProof/>
          <w:color w:val="000000" w:themeColor="text1"/>
        </w:rPr>
      </w:pPr>
    </w:p>
    <w:p w14:paraId="17EAFCD0" w14:textId="77777777" w:rsidR="00FC69FC" w:rsidRPr="007F23AD" w:rsidRDefault="00FC69FC" w:rsidP="00FC69FC">
      <w:pPr>
        <w:pStyle w:val="EndNoteBibliography"/>
        <w:rPr>
          <w:noProof/>
          <w:color w:val="000000" w:themeColor="text1"/>
        </w:rPr>
      </w:pPr>
      <w:r w:rsidRPr="007F23AD">
        <w:rPr>
          <w:noProof/>
          <w:color w:val="000000" w:themeColor="text1"/>
        </w:rPr>
        <w:t xml:space="preserve">Thakkar, J., Kanda, A. and Deshmukh, S. G. 2008. Supply chain management in SMEs: development of constructs and propositions. </w:t>
      </w:r>
      <w:r w:rsidRPr="007F23AD">
        <w:rPr>
          <w:i/>
          <w:noProof/>
          <w:color w:val="000000" w:themeColor="text1"/>
        </w:rPr>
        <w:t>Asia Pacific Journal of Marketing and Logistics</w:t>
      </w:r>
      <w:r w:rsidRPr="007F23AD">
        <w:rPr>
          <w:noProof/>
          <w:color w:val="000000" w:themeColor="text1"/>
        </w:rPr>
        <w:t xml:space="preserve"> 20(1), pp. 97-131. doi: 10.1108/13555850810844896</w:t>
      </w:r>
    </w:p>
    <w:p w14:paraId="4661BC42" w14:textId="77777777" w:rsidR="00FC69FC" w:rsidRPr="007F23AD" w:rsidRDefault="00FC69FC" w:rsidP="00FC69FC">
      <w:pPr>
        <w:pStyle w:val="EndNoteBibliography"/>
        <w:rPr>
          <w:noProof/>
          <w:color w:val="000000" w:themeColor="text1"/>
        </w:rPr>
      </w:pPr>
    </w:p>
    <w:p w14:paraId="4D201E0E" w14:textId="77777777" w:rsidR="00FC69FC" w:rsidRPr="007F23AD" w:rsidRDefault="00FC69FC" w:rsidP="00FC69FC">
      <w:pPr>
        <w:pStyle w:val="EndNoteBibliography"/>
        <w:rPr>
          <w:noProof/>
          <w:color w:val="000000" w:themeColor="text1"/>
        </w:rPr>
      </w:pPr>
      <w:r w:rsidRPr="007F23AD">
        <w:rPr>
          <w:noProof/>
          <w:color w:val="000000" w:themeColor="text1"/>
        </w:rPr>
        <w:t xml:space="preserve">Thomas, A. J. and Webb, D. 2005. Quality systems implementation in Welsh small- to medium-sized enterprises: A global comparison and a model for change. </w:t>
      </w:r>
      <w:r w:rsidRPr="007F23AD">
        <w:rPr>
          <w:i/>
          <w:noProof/>
          <w:color w:val="000000" w:themeColor="text1"/>
        </w:rPr>
        <w:t>Proceedings of the Institution of Mechanical Engineers, Part B: Journal of Engineering Manufacture</w:t>
      </w:r>
      <w:r w:rsidRPr="007F23AD">
        <w:rPr>
          <w:noProof/>
          <w:color w:val="000000" w:themeColor="text1"/>
        </w:rPr>
        <w:t xml:space="preserve"> 217(4), pp. 573-579. doi: 10.1243/095440503321628251</w:t>
      </w:r>
    </w:p>
    <w:p w14:paraId="50210B2A" w14:textId="77777777" w:rsidR="00FC69FC" w:rsidRPr="007F23AD" w:rsidRDefault="00FC69FC" w:rsidP="00FC69FC">
      <w:pPr>
        <w:pStyle w:val="EndNoteBibliography"/>
        <w:rPr>
          <w:noProof/>
          <w:color w:val="000000" w:themeColor="text1"/>
        </w:rPr>
      </w:pPr>
    </w:p>
    <w:p w14:paraId="3D14847F" w14:textId="77777777" w:rsidR="00FC69FC" w:rsidRPr="007F23AD" w:rsidRDefault="00FC69FC" w:rsidP="00FC69FC">
      <w:pPr>
        <w:pStyle w:val="EndNoteBibliography"/>
        <w:rPr>
          <w:noProof/>
          <w:color w:val="000000" w:themeColor="text1"/>
        </w:rPr>
      </w:pPr>
      <w:r w:rsidRPr="007F23AD">
        <w:rPr>
          <w:noProof/>
          <w:color w:val="000000" w:themeColor="text1"/>
        </w:rPr>
        <w:t xml:space="preserve">Tranfield, D., Denyer, D. and Smart, P. 2003. Towards a Methodology for Developing Evidence-Informed Management Knowledge by Means of Systematic Review. </w:t>
      </w:r>
      <w:r w:rsidRPr="007F23AD">
        <w:rPr>
          <w:i/>
          <w:noProof/>
          <w:color w:val="000000" w:themeColor="text1"/>
        </w:rPr>
        <w:t>British Journal of Management</w:t>
      </w:r>
      <w:r w:rsidRPr="007F23AD">
        <w:rPr>
          <w:noProof/>
          <w:color w:val="000000" w:themeColor="text1"/>
        </w:rPr>
        <w:t xml:space="preserve"> 14, pp. 207-222. doi: 10.1111/1467-8551.00375</w:t>
      </w:r>
    </w:p>
    <w:p w14:paraId="485DA240" w14:textId="77777777" w:rsidR="00FC69FC" w:rsidRPr="007F23AD" w:rsidRDefault="00FC69FC" w:rsidP="00FC69FC">
      <w:pPr>
        <w:pStyle w:val="EndNoteBibliography"/>
        <w:rPr>
          <w:noProof/>
          <w:color w:val="000000" w:themeColor="text1"/>
        </w:rPr>
      </w:pPr>
    </w:p>
    <w:p w14:paraId="0DA4B277" w14:textId="77777777" w:rsidR="00FC69FC" w:rsidRPr="007F23AD" w:rsidRDefault="00FC69FC" w:rsidP="00FC69FC">
      <w:pPr>
        <w:pStyle w:val="EndNoteBibliography"/>
        <w:rPr>
          <w:noProof/>
          <w:color w:val="000000" w:themeColor="text1"/>
        </w:rPr>
      </w:pPr>
      <w:r w:rsidRPr="007F23AD">
        <w:rPr>
          <w:noProof/>
          <w:color w:val="000000" w:themeColor="text1"/>
        </w:rPr>
        <w:t xml:space="preserve">Vaaland, T. I. and Heide, M. 2007. Can the SME survive the supply chain challenges? </w:t>
      </w:r>
      <w:r w:rsidRPr="007F23AD">
        <w:rPr>
          <w:i/>
          <w:noProof/>
          <w:color w:val="000000" w:themeColor="text1"/>
        </w:rPr>
        <w:t>Supply Chain Management: An International Journal</w:t>
      </w:r>
      <w:r w:rsidRPr="007F23AD">
        <w:rPr>
          <w:noProof/>
          <w:color w:val="000000" w:themeColor="text1"/>
        </w:rPr>
        <w:t xml:space="preserve"> 12(1), pp. 20-31. </w:t>
      </w:r>
    </w:p>
    <w:p w14:paraId="1C621650" w14:textId="77777777" w:rsidR="00FC69FC" w:rsidRPr="007F23AD" w:rsidRDefault="00FC69FC" w:rsidP="00FC69FC">
      <w:pPr>
        <w:pStyle w:val="EndNoteBibliography"/>
        <w:rPr>
          <w:noProof/>
          <w:color w:val="000000" w:themeColor="text1"/>
        </w:rPr>
      </w:pPr>
    </w:p>
    <w:p w14:paraId="785772D0" w14:textId="52787168" w:rsidR="00FC69FC" w:rsidRPr="007F23AD" w:rsidRDefault="00FC69FC" w:rsidP="00FC69FC">
      <w:pPr>
        <w:pStyle w:val="EndNoteBibliography"/>
        <w:rPr>
          <w:noProof/>
          <w:color w:val="000000" w:themeColor="text1"/>
        </w:rPr>
      </w:pPr>
      <w:r w:rsidRPr="007F23AD">
        <w:rPr>
          <w:noProof/>
          <w:color w:val="000000" w:themeColor="text1"/>
        </w:rPr>
        <w:t xml:space="preserve">van de Vrande, V., de Jong, J. P. J., Vanhaverbeke, W. and de Rochemont, M. 2009. Open innovation in SMEs: Trends, motives and management challenges. </w:t>
      </w:r>
      <w:r w:rsidRPr="007F23AD">
        <w:rPr>
          <w:i/>
          <w:noProof/>
          <w:color w:val="000000" w:themeColor="text1"/>
        </w:rPr>
        <w:t>Technovation</w:t>
      </w:r>
      <w:r w:rsidRPr="007F23AD">
        <w:rPr>
          <w:noProof/>
          <w:color w:val="000000" w:themeColor="text1"/>
        </w:rPr>
        <w:t xml:space="preserve"> 29(6), pp. 423-437. doi: </w:t>
      </w:r>
      <w:hyperlink r:id="rId38" w:history="1">
        <w:r w:rsidRPr="007F23AD">
          <w:rPr>
            <w:rStyle w:val="a4"/>
            <w:noProof/>
            <w:color w:val="000000" w:themeColor="text1"/>
          </w:rPr>
          <w:t>https://doi.org/10.1016/j.technovation.2008.10.001</w:t>
        </w:r>
      </w:hyperlink>
    </w:p>
    <w:p w14:paraId="21AF7A6F" w14:textId="77777777" w:rsidR="00FC69FC" w:rsidRPr="007F23AD" w:rsidRDefault="00FC69FC" w:rsidP="00FC69FC">
      <w:pPr>
        <w:pStyle w:val="EndNoteBibliography"/>
        <w:rPr>
          <w:noProof/>
          <w:color w:val="000000" w:themeColor="text1"/>
        </w:rPr>
      </w:pPr>
    </w:p>
    <w:p w14:paraId="5735BF07" w14:textId="77777777" w:rsidR="00FC69FC" w:rsidRPr="007F23AD" w:rsidRDefault="00FC69FC" w:rsidP="00FC69FC">
      <w:pPr>
        <w:pStyle w:val="EndNoteBibliography"/>
        <w:rPr>
          <w:noProof/>
          <w:color w:val="000000" w:themeColor="text1"/>
        </w:rPr>
      </w:pPr>
      <w:r w:rsidRPr="007F23AD">
        <w:rPr>
          <w:noProof/>
          <w:color w:val="000000" w:themeColor="text1"/>
        </w:rPr>
        <w:t xml:space="preserve">Verboven, H. and Vanherck, L. 2016. Sustainability management of SMEs and the UN sustainable development goals. </w:t>
      </w:r>
      <w:r w:rsidRPr="007F23AD">
        <w:rPr>
          <w:i/>
          <w:noProof/>
          <w:color w:val="000000" w:themeColor="text1"/>
        </w:rPr>
        <w:t>uwf UmweltWirtschaftsForum</w:t>
      </w:r>
      <w:r w:rsidRPr="007F23AD">
        <w:rPr>
          <w:noProof/>
          <w:color w:val="000000" w:themeColor="text1"/>
        </w:rPr>
        <w:t xml:space="preserve"> 24(2), pp. 165-178. </w:t>
      </w:r>
    </w:p>
    <w:p w14:paraId="2B113D47" w14:textId="77777777" w:rsidR="00FC69FC" w:rsidRPr="007F23AD" w:rsidRDefault="00FC69FC" w:rsidP="00FC69FC">
      <w:pPr>
        <w:pStyle w:val="EndNoteBibliography"/>
        <w:rPr>
          <w:noProof/>
          <w:color w:val="000000" w:themeColor="text1"/>
        </w:rPr>
      </w:pPr>
    </w:p>
    <w:p w14:paraId="37CF55AE" w14:textId="77777777" w:rsidR="00FC69FC" w:rsidRPr="007F23AD" w:rsidRDefault="00FC69FC" w:rsidP="00FC69FC">
      <w:pPr>
        <w:pStyle w:val="EndNoteBibliography"/>
        <w:rPr>
          <w:noProof/>
          <w:color w:val="000000" w:themeColor="text1"/>
        </w:rPr>
      </w:pPr>
      <w:r w:rsidRPr="007F23AD">
        <w:rPr>
          <w:noProof/>
          <w:color w:val="000000" w:themeColor="text1"/>
        </w:rPr>
        <w:t xml:space="preserve">Wedawatta, G., Ingirige, B., Jones, K. and Proverbs, D. 2011. Extreme weather events and construction SMEs. </w:t>
      </w:r>
      <w:r w:rsidRPr="007F23AD">
        <w:rPr>
          <w:i/>
          <w:noProof/>
          <w:color w:val="000000" w:themeColor="text1"/>
        </w:rPr>
        <w:t>Structural Survey</w:t>
      </w:r>
      <w:r w:rsidRPr="007F23AD">
        <w:rPr>
          <w:noProof/>
          <w:color w:val="000000" w:themeColor="text1"/>
        </w:rPr>
        <w:t xml:space="preserve"> 29(2), pp. 106-119. doi: 10.1108/02630801111132795</w:t>
      </w:r>
    </w:p>
    <w:p w14:paraId="0A53C3C8" w14:textId="77777777" w:rsidR="00FC69FC" w:rsidRPr="007F23AD" w:rsidRDefault="00FC69FC" w:rsidP="00FC69FC">
      <w:pPr>
        <w:pStyle w:val="EndNoteBibliography"/>
        <w:rPr>
          <w:noProof/>
          <w:color w:val="000000" w:themeColor="text1"/>
        </w:rPr>
      </w:pPr>
    </w:p>
    <w:p w14:paraId="3EEC8C3C" w14:textId="77777777" w:rsidR="00FC69FC" w:rsidRPr="007F23AD" w:rsidRDefault="00FC69FC" w:rsidP="00FC69FC">
      <w:pPr>
        <w:pStyle w:val="EndNoteBibliography"/>
        <w:rPr>
          <w:noProof/>
          <w:color w:val="000000" w:themeColor="text1"/>
        </w:rPr>
      </w:pPr>
      <w:r w:rsidRPr="007F23AD">
        <w:rPr>
          <w:noProof/>
          <w:color w:val="000000" w:themeColor="text1"/>
        </w:rPr>
        <w:t xml:space="preserve">Yadav, V., Jain, R., Mittal, M. L., Panwar, A. and Sharma, M. K. 2019. An appraisal on barriers to implement lean in SMEs. </w:t>
      </w:r>
      <w:r w:rsidRPr="007F23AD">
        <w:rPr>
          <w:i/>
          <w:noProof/>
          <w:color w:val="000000" w:themeColor="text1"/>
        </w:rPr>
        <w:t>Journal of Manufacturing Technology Management</w:t>
      </w:r>
      <w:r w:rsidRPr="007F23AD">
        <w:rPr>
          <w:noProof/>
          <w:color w:val="000000" w:themeColor="text1"/>
        </w:rPr>
        <w:t xml:space="preserve"> 30(1), pp. 195-212. doi: 10.1108/Jmtm-12-2017-0262</w:t>
      </w:r>
    </w:p>
    <w:p w14:paraId="2C488617" w14:textId="77777777" w:rsidR="00FC69FC" w:rsidRPr="007F23AD" w:rsidRDefault="00FC69FC" w:rsidP="00FC69FC">
      <w:pPr>
        <w:pStyle w:val="EndNoteBibliography"/>
        <w:rPr>
          <w:noProof/>
          <w:color w:val="000000" w:themeColor="text1"/>
        </w:rPr>
      </w:pPr>
    </w:p>
    <w:p w14:paraId="422810F8" w14:textId="77777777" w:rsidR="00FC69FC" w:rsidRPr="007F23AD" w:rsidRDefault="00FC69FC" w:rsidP="00FC69FC">
      <w:pPr>
        <w:pStyle w:val="EndNoteBibliography"/>
        <w:rPr>
          <w:noProof/>
          <w:color w:val="000000" w:themeColor="text1"/>
        </w:rPr>
      </w:pPr>
      <w:r w:rsidRPr="007F23AD">
        <w:rPr>
          <w:noProof/>
          <w:color w:val="000000" w:themeColor="text1"/>
        </w:rPr>
        <w:t xml:space="preserve">Yang, R. J. and Shen, G. Q. P. 2015. Framework for Stakeholder Management in Construction Projects. </w:t>
      </w:r>
      <w:r w:rsidRPr="007F23AD">
        <w:rPr>
          <w:i/>
          <w:noProof/>
          <w:color w:val="000000" w:themeColor="text1"/>
        </w:rPr>
        <w:t>Journal of Management in Engineering</w:t>
      </w:r>
      <w:r w:rsidRPr="007F23AD">
        <w:rPr>
          <w:noProof/>
          <w:color w:val="000000" w:themeColor="text1"/>
        </w:rPr>
        <w:t xml:space="preserve"> 31(4), p. 04014064. doi: doi:10.1061/(ASCE)ME.1943-5479.0000285</w:t>
      </w:r>
    </w:p>
    <w:p w14:paraId="5B8B8698" w14:textId="77777777" w:rsidR="00FC69FC" w:rsidRPr="007F23AD" w:rsidRDefault="00FC69FC" w:rsidP="00FC69FC">
      <w:pPr>
        <w:pStyle w:val="EndNoteBibliography"/>
        <w:rPr>
          <w:noProof/>
          <w:color w:val="000000" w:themeColor="text1"/>
        </w:rPr>
      </w:pPr>
    </w:p>
    <w:p w14:paraId="089833CC" w14:textId="77777777" w:rsidR="00FC69FC" w:rsidRPr="007F23AD" w:rsidRDefault="00FC69FC" w:rsidP="00FC69FC">
      <w:pPr>
        <w:pStyle w:val="EndNoteBibliography"/>
        <w:rPr>
          <w:noProof/>
          <w:color w:val="000000" w:themeColor="text1"/>
        </w:rPr>
      </w:pPr>
      <w:r w:rsidRPr="007F23AD">
        <w:rPr>
          <w:noProof/>
          <w:color w:val="000000" w:themeColor="text1"/>
        </w:rPr>
        <w:lastRenderedPageBreak/>
        <w:t xml:space="preserve">Yap, J. B. H. and Lee, W. K. 2019. Analysing the underlying factors affecting safety performance in building construction. </w:t>
      </w:r>
      <w:r w:rsidRPr="007F23AD">
        <w:rPr>
          <w:i/>
          <w:noProof/>
          <w:color w:val="000000" w:themeColor="text1"/>
        </w:rPr>
        <w:t>Production Planning &amp; Control</w:t>
      </w:r>
      <w:r w:rsidRPr="007F23AD">
        <w:rPr>
          <w:noProof/>
          <w:color w:val="000000" w:themeColor="text1"/>
        </w:rPr>
        <w:t xml:space="preserve"> 31(13), pp. 1061-1076. doi: 10.1080/09537287.2019.1695292</w:t>
      </w:r>
    </w:p>
    <w:p w14:paraId="130F07D6" w14:textId="77777777" w:rsidR="00FC69FC" w:rsidRPr="007F23AD" w:rsidRDefault="00FC69FC" w:rsidP="00FC69FC">
      <w:pPr>
        <w:pStyle w:val="EndNoteBibliography"/>
        <w:rPr>
          <w:noProof/>
          <w:color w:val="000000" w:themeColor="text1"/>
        </w:rPr>
      </w:pPr>
    </w:p>
    <w:p w14:paraId="6851BD38" w14:textId="77777777" w:rsidR="00FC69FC" w:rsidRPr="007F23AD" w:rsidRDefault="00FC69FC" w:rsidP="00FC69FC">
      <w:pPr>
        <w:pStyle w:val="EndNoteBibliography"/>
        <w:rPr>
          <w:noProof/>
          <w:color w:val="000000" w:themeColor="text1"/>
        </w:rPr>
      </w:pPr>
      <w:r w:rsidRPr="007F23AD">
        <w:rPr>
          <w:noProof/>
          <w:color w:val="000000" w:themeColor="text1"/>
        </w:rPr>
        <w:t xml:space="preserve">Yap, J. B. H. and Lee, W. K. 2020. Analysing the underlying factors affecting safety performance in building construction. </w:t>
      </w:r>
      <w:r w:rsidRPr="007F23AD">
        <w:rPr>
          <w:i/>
          <w:noProof/>
          <w:color w:val="000000" w:themeColor="text1"/>
        </w:rPr>
        <w:t>Production Planning &amp; Control</w:t>
      </w:r>
      <w:r w:rsidRPr="007F23AD">
        <w:rPr>
          <w:noProof/>
          <w:color w:val="000000" w:themeColor="text1"/>
        </w:rPr>
        <w:t xml:space="preserve"> 31(13), pp. 1061-1076. doi: 10.1080/09537287.2019.1695292</w:t>
      </w:r>
    </w:p>
    <w:p w14:paraId="60A3DA7B" w14:textId="77777777" w:rsidR="00FC69FC" w:rsidRPr="007F23AD" w:rsidRDefault="00FC69FC" w:rsidP="00FC69FC">
      <w:pPr>
        <w:pStyle w:val="EndNoteBibliography"/>
        <w:rPr>
          <w:noProof/>
          <w:color w:val="000000" w:themeColor="text1"/>
        </w:rPr>
      </w:pPr>
    </w:p>
    <w:p w14:paraId="2E6F6838" w14:textId="77777777" w:rsidR="00FC69FC" w:rsidRPr="007F23AD" w:rsidRDefault="00FC69FC" w:rsidP="00FC69FC">
      <w:pPr>
        <w:pStyle w:val="EndNoteBibliography"/>
        <w:rPr>
          <w:noProof/>
          <w:color w:val="000000" w:themeColor="text1"/>
        </w:rPr>
      </w:pPr>
      <w:r w:rsidRPr="007F23AD">
        <w:rPr>
          <w:noProof/>
          <w:color w:val="000000" w:themeColor="text1"/>
        </w:rPr>
        <w:t xml:space="preserve">Yilmaz, G., Salter, L., McFarlane, D. and Schönfuß, B. 2023. Low-cost (Shoestring) digital solution areas for enabling digitalisation in construction SMEs. </w:t>
      </w:r>
      <w:r w:rsidRPr="007F23AD">
        <w:rPr>
          <w:i/>
          <w:noProof/>
          <w:color w:val="000000" w:themeColor="text1"/>
        </w:rPr>
        <w:t>Computers in Industry</w:t>
      </w:r>
      <w:r w:rsidRPr="007F23AD">
        <w:rPr>
          <w:noProof/>
          <w:color w:val="000000" w:themeColor="text1"/>
        </w:rPr>
        <w:t xml:space="preserve"> 150,  doi: 10.1016/j.compind.2023.103941</w:t>
      </w:r>
    </w:p>
    <w:p w14:paraId="643D81E5" w14:textId="77777777" w:rsidR="00FC69FC" w:rsidRPr="007F23AD" w:rsidRDefault="00FC69FC" w:rsidP="00FC69FC">
      <w:pPr>
        <w:pStyle w:val="EndNoteBibliography"/>
        <w:rPr>
          <w:noProof/>
          <w:color w:val="000000" w:themeColor="text1"/>
        </w:rPr>
      </w:pPr>
    </w:p>
    <w:p w14:paraId="6C902550" w14:textId="77777777" w:rsidR="00FC69FC" w:rsidRPr="007F23AD" w:rsidRDefault="00FC69FC" w:rsidP="00FC69FC">
      <w:pPr>
        <w:pStyle w:val="EndNoteBibliography"/>
        <w:rPr>
          <w:noProof/>
          <w:color w:val="000000" w:themeColor="text1"/>
        </w:rPr>
      </w:pPr>
      <w:r w:rsidRPr="007F23AD">
        <w:rPr>
          <w:noProof/>
          <w:color w:val="000000" w:themeColor="text1"/>
        </w:rPr>
        <w:t xml:space="preserve">Youssef, M. and Abbas, L. 2023. Applying 3d printing technology in constructing sustainable houses. </w:t>
      </w:r>
      <w:r w:rsidRPr="007F23AD">
        <w:rPr>
          <w:i/>
          <w:noProof/>
          <w:color w:val="000000" w:themeColor="text1"/>
        </w:rPr>
        <w:t>Architecture and Planning Journal (APJ)</w:t>
      </w:r>
      <w:r w:rsidRPr="007F23AD">
        <w:rPr>
          <w:noProof/>
          <w:color w:val="000000" w:themeColor="text1"/>
        </w:rPr>
        <w:t xml:space="preserve"> 29(1), p. 4. </w:t>
      </w:r>
    </w:p>
    <w:p w14:paraId="6B14A596" w14:textId="77777777" w:rsidR="00FC69FC" w:rsidRPr="007F23AD" w:rsidRDefault="00FC69FC" w:rsidP="00FC69FC">
      <w:pPr>
        <w:pStyle w:val="EndNoteBibliography"/>
        <w:rPr>
          <w:noProof/>
          <w:color w:val="000000" w:themeColor="text1"/>
        </w:rPr>
      </w:pPr>
    </w:p>
    <w:p w14:paraId="2298922E" w14:textId="77777777" w:rsidR="00FC69FC" w:rsidRPr="007F23AD" w:rsidRDefault="00FC69FC" w:rsidP="00FC69FC">
      <w:pPr>
        <w:pStyle w:val="EndNoteBibliography"/>
        <w:rPr>
          <w:noProof/>
          <w:color w:val="000000" w:themeColor="text1"/>
        </w:rPr>
      </w:pPr>
      <w:r w:rsidRPr="007F23AD">
        <w:rPr>
          <w:noProof/>
          <w:color w:val="000000" w:themeColor="text1"/>
        </w:rPr>
        <w:t xml:space="preserve">Zhou, D., Pei, B., Li, X., Jiang, D. and Wen, L. 2024. Innovative BIM technology application in the construction management of highway. </w:t>
      </w:r>
      <w:r w:rsidRPr="007F23AD">
        <w:rPr>
          <w:i/>
          <w:noProof/>
          <w:color w:val="000000" w:themeColor="text1"/>
        </w:rPr>
        <w:t>Scientific reports</w:t>
      </w:r>
      <w:r w:rsidRPr="007F23AD">
        <w:rPr>
          <w:noProof/>
          <w:color w:val="000000" w:themeColor="text1"/>
        </w:rPr>
        <w:t xml:space="preserve"> 14(1), p. 15298. </w:t>
      </w:r>
    </w:p>
    <w:p w14:paraId="1553FD3E" w14:textId="77777777" w:rsidR="00FC69FC" w:rsidRPr="007F23AD" w:rsidRDefault="00FC69FC" w:rsidP="00FC69FC">
      <w:pPr>
        <w:pStyle w:val="EndNoteBibliography"/>
        <w:rPr>
          <w:noProof/>
          <w:color w:val="000000" w:themeColor="text1"/>
        </w:rPr>
      </w:pPr>
    </w:p>
    <w:p w14:paraId="0709A183" w14:textId="522CA21C" w:rsidR="00AB65D8" w:rsidRPr="007F23AD" w:rsidRDefault="007A6BD4" w:rsidP="00C3226C">
      <w:pPr>
        <w:spacing w:line="480" w:lineRule="auto"/>
        <w:jc w:val="both"/>
        <w:rPr>
          <w:rFonts w:ascii="Calibri" w:hAnsi="Calibri" w:cs="Calibri"/>
          <w:color w:val="000000" w:themeColor="text1"/>
          <w:sz w:val="22"/>
          <w:szCs w:val="22"/>
          <w:lang w:val="en-GB"/>
        </w:rPr>
      </w:pPr>
      <w:r w:rsidRPr="007F23AD">
        <w:rPr>
          <w:rFonts w:ascii="Calibri" w:hAnsi="Calibri" w:cs="Calibri"/>
          <w:color w:val="000000" w:themeColor="text1"/>
          <w:sz w:val="22"/>
          <w:szCs w:val="22"/>
          <w:lang w:val="en-GB"/>
        </w:rPr>
        <w:fldChar w:fldCharType="end"/>
      </w:r>
    </w:p>
    <w:sectPr w:rsidR="00AB65D8" w:rsidRPr="007F23AD" w:rsidSect="002F0FB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83EAF" w14:textId="77777777" w:rsidR="00B8676E" w:rsidRDefault="00B8676E">
      <w:r>
        <w:separator/>
      </w:r>
    </w:p>
  </w:endnote>
  <w:endnote w:type="continuationSeparator" w:id="0">
    <w:p w14:paraId="0BAD1587" w14:textId="77777777" w:rsidR="00B8676E" w:rsidRDefault="00B8676E">
      <w:r>
        <w:continuationSeparator/>
      </w:r>
    </w:p>
  </w:endnote>
  <w:endnote w:type="continuationNotice" w:id="1">
    <w:p w14:paraId="78FCA589" w14:textId="77777777" w:rsidR="00B8676E" w:rsidRDefault="00B86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CBCB61D" w14:paraId="0AFE1CDE" w14:textId="77777777" w:rsidTr="5CBCB61D">
      <w:trPr>
        <w:trHeight w:val="300"/>
      </w:trPr>
      <w:tc>
        <w:tcPr>
          <w:tcW w:w="2765" w:type="dxa"/>
        </w:tcPr>
        <w:p w14:paraId="4E38AFE0" w14:textId="02D78D8D" w:rsidR="5CBCB61D" w:rsidRDefault="5CBCB61D" w:rsidP="5CBCB61D">
          <w:pPr>
            <w:pStyle w:val="ae"/>
            <w:ind w:left="-115"/>
          </w:pPr>
        </w:p>
      </w:tc>
      <w:tc>
        <w:tcPr>
          <w:tcW w:w="2765" w:type="dxa"/>
        </w:tcPr>
        <w:p w14:paraId="757140FD" w14:textId="3260909D" w:rsidR="5CBCB61D" w:rsidRDefault="5CBCB61D" w:rsidP="5CBCB61D">
          <w:pPr>
            <w:pStyle w:val="ae"/>
            <w:jc w:val="center"/>
          </w:pPr>
        </w:p>
      </w:tc>
      <w:tc>
        <w:tcPr>
          <w:tcW w:w="2765" w:type="dxa"/>
        </w:tcPr>
        <w:p w14:paraId="3B45F8F5" w14:textId="02DEDC95" w:rsidR="5CBCB61D" w:rsidRDefault="5CBCB61D" w:rsidP="5CBCB61D">
          <w:pPr>
            <w:pStyle w:val="ae"/>
            <w:ind w:right="-115"/>
            <w:jc w:val="right"/>
          </w:pPr>
        </w:p>
      </w:tc>
    </w:tr>
  </w:tbl>
  <w:p w14:paraId="308BE7B4" w14:textId="33661ED7" w:rsidR="5CBCB61D" w:rsidRDefault="5CBCB61D" w:rsidP="5CBCB61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BF6E0" w14:textId="77777777" w:rsidR="00B8676E" w:rsidRDefault="00B8676E">
      <w:r>
        <w:separator/>
      </w:r>
    </w:p>
  </w:footnote>
  <w:footnote w:type="continuationSeparator" w:id="0">
    <w:p w14:paraId="3A4BF580" w14:textId="77777777" w:rsidR="00B8676E" w:rsidRDefault="00B8676E">
      <w:r>
        <w:continuationSeparator/>
      </w:r>
    </w:p>
  </w:footnote>
  <w:footnote w:type="continuationNotice" w:id="1">
    <w:p w14:paraId="5D038E2C" w14:textId="77777777" w:rsidR="00B8676E" w:rsidRDefault="00B86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CBCB61D" w14:paraId="5B389F1F" w14:textId="77777777" w:rsidTr="5CBCB61D">
      <w:trPr>
        <w:trHeight w:val="300"/>
      </w:trPr>
      <w:tc>
        <w:tcPr>
          <w:tcW w:w="2765" w:type="dxa"/>
        </w:tcPr>
        <w:p w14:paraId="5B146E50" w14:textId="70E4D8E1" w:rsidR="5CBCB61D" w:rsidRDefault="5CBCB61D" w:rsidP="5CBCB61D">
          <w:pPr>
            <w:pStyle w:val="ae"/>
            <w:ind w:left="-115"/>
          </w:pPr>
        </w:p>
      </w:tc>
      <w:tc>
        <w:tcPr>
          <w:tcW w:w="2765" w:type="dxa"/>
        </w:tcPr>
        <w:p w14:paraId="7D3840AA" w14:textId="53D4C5EC" w:rsidR="5CBCB61D" w:rsidRDefault="5CBCB61D" w:rsidP="5CBCB61D">
          <w:pPr>
            <w:pStyle w:val="ae"/>
            <w:jc w:val="center"/>
          </w:pPr>
        </w:p>
      </w:tc>
      <w:tc>
        <w:tcPr>
          <w:tcW w:w="2765" w:type="dxa"/>
        </w:tcPr>
        <w:p w14:paraId="29DAC0ED" w14:textId="68742B9A" w:rsidR="5CBCB61D" w:rsidRDefault="5CBCB61D" w:rsidP="5CBCB61D">
          <w:pPr>
            <w:pStyle w:val="ae"/>
            <w:ind w:right="-115"/>
            <w:jc w:val="right"/>
          </w:pPr>
        </w:p>
      </w:tc>
    </w:tr>
  </w:tbl>
  <w:p w14:paraId="6760B532" w14:textId="50993881" w:rsidR="5CBCB61D" w:rsidRDefault="5CBCB61D" w:rsidP="5CBCB61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6264"/>
    <w:multiLevelType w:val="hybridMultilevel"/>
    <w:tmpl w:val="DED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43107"/>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2673C7"/>
    <w:multiLevelType w:val="hybridMultilevel"/>
    <w:tmpl w:val="C8CE0C70"/>
    <w:lvl w:ilvl="0" w:tplc="2548A2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93423DF"/>
    <w:multiLevelType w:val="hybridMultilevel"/>
    <w:tmpl w:val="CF54696A"/>
    <w:lvl w:ilvl="0" w:tplc="7F80C3B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E957189"/>
    <w:multiLevelType w:val="hybridMultilevel"/>
    <w:tmpl w:val="40243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3930E7"/>
    <w:multiLevelType w:val="multilevel"/>
    <w:tmpl w:val="36002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2D45262"/>
    <w:multiLevelType w:val="hybridMultilevel"/>
    <w:tmpl w:val="A7FE2590"/>
    <w:lvl w:ilvl="0" w:tplc="230CE93E">
      <w:start w:val="4"/>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7E47EBE"/>
    <w:multiLevelType w:val="multilevel"/>
    <w:tmpl w:val="4B52177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CA3C33"/>
    <w:multiLevelType w:val="hybridMultilevel"/>
    <w:tmpl w:val="DE16B6F0"/>
    <w:lvl w:ilvl="0" w:tplc="E01AD9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B243F5E"/>
    <w:multiLevelType w:val="hybridMultilevel"/>
    <w:tmpl w:val="92B479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30755A3"/>
    <w:multiLevelType w:val="hybridMultilevel"/>
    <w:tmpl w:val="286AC8D0"/>
    <w:lvl w:ilvl="0" w:tplc="F716C8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5972067"/>
    <w:multiLevelType w:val="hybridMultilevel"/>
    <w:tmpl w:val="8D5A19C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647727C"/>
    <w:multiLevelType w:val="hybridMultilevel"/>
    <w:tmpl w:val="615A20E4"/>
    <w:lvl w:ilvl="0" w:tplc="81DC53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C216C30"/>
    <w:multiLevelType w:val="hybridMultilevel"/>
    <w:tmpl w:val="CF2C504C"/>
    <w:lvl w:ilvl="0" w:tplc="D8443D62">
      <w:start w:val="6"/>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D6F0FD2"/>
    <w:multiLevelType w:val="hybridMultilevel"/>
    <w:tmpl w:val="22929C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4913738"/>
    <w:multiLevelType w:val="hybridMultilevel"/>
    <w:tmpl w:val="DF5680B2"/>
    <w:lvl w:ilvl="0" w:tplc="FB9AE2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CD605B8"/>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CFA5233"/>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B5B72ED"/>
    <w:multiLevelType w:val="multilevel"/>
    <w:tmpl w:val="8D1E268E"/>
    <w:styleLink w:val="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5E732AB4"/>
    <w:multiLevelType w:val="hybridMultilevel"/>
    <w:tmpl w:val="C8305550"/>
    <w:lvl w:ilvl="0" w:tplc="7902D630">
      <w:start w:val="1"/>
      <w:numFmt w:val="bullet"/>
      <w:lvlText w:val=""/>
      <w:lvlJc w:val="left"/>
      <w:pPr>
        <w:tabs>
          <w:tab w:val="num" w:pos="720"/>
        </w:tabs>
        <w:ind w:left="720" w:hanging="360"/>
      </w:pPr>
      <w:rPr>
        <w:rFonts w:ascii="Symbol" w:hAnsi="Symbol" w:hint="default"/>
      </w:rPr>
    </w:lvl>
    <w:lvl w:ilvl="1" w:tplc="A94C77B8" w:tentative="1">
      <w:start w:val="1"/>
      <w:numFmt w:val="bullet"/>
      <w:lvlText w:val=""/>
      <w:lvlJc w:val="left"/>
      <w:pPr>
        <w:tabs>
          <w:tab w:val="num" w:pos="1440"/>
        </w:tabs>
        <w:ind w:left="1440" w:hanging="360"/>
      </w:pPr>
      <w:rPr>
        <w:rFonts w:ascii="Symbol" w:hAnsi="Symbol" w:hint="default"/>
      </w:rPr>
    </w:lvl>
    <w:lvl w:ilvl="2" w:tplc="58BC9502" w:tentative="1">
      <w:start w:val="1"/>
      <w:numFmt w:val="bullet"/>
      <w:lvlText w:val=""/>
      <w:lvlJc w:val="left"/>
      <w:pPr>
        <w:tabs>
          <w:tab w:val="num" w:pos="2160"/>
        </w:tabs>
        <w:ind w:left="2160" w:hanging="360"/>
      </w:pPr>
      <w:rPr>
        <w:rFonts w:ascii="Symbol" w:hAnsi="Symbol" w:hint="default"/>
      </w:rPr>
    </w:lvl>
    <w:lvl w:ilvl="3" w:tplc="D8EC9234" w:tentative="1">
      <w:start w:val="1"/>
      <w:numFmt w:val="bullet"/>
      <w:lvlText w:val=""/>
      <w:lvlJc w:val="left"/>
      <w:pPr>
        <w:tabs>
          <w:tab w:val="num" w:pos="2880"/>
        </w:tabs>
        <w:ind w:left="2880" w:hanging="360"/>
      </w:pPr>
      <w:rPr>
        <w:rFonts w:ascii="Symbol" w:hAnsi="Symbol" w:hint="default"/>
      </w:rPr>
    </w:lvl>
    <w:lvl w:ilvl="4" w:tplc="5F745A20" w:tentative="1">
      <w:start w:val="1"/>
      <w:numFmt w:val="bullet"/>
      <w:lvlText w:val=""/>
      <w:lvlJc w:val="left"/>
      <w:pPr>
        <w:tabs>
          <w:tab w:val="num" w:pos="3600"/>
        </w:tabs>
        <w:ind w:left="3600" w:hanging="360"/>
      </w:pPr>
      <w:rPr>
        <w:rFonts w:ascii="Symbol" w:hAnsi="Symbol" w:hint="default"/>
      </w:rPr>
    </w:lvl>
    <w:lvl w:ilvl="5" w:tplc="D73C9426" w:tentative="1">
      <w:start w:val="1"/>
      <w:numFmt w:val="bullet"/>
      <w:lvlText w:val=""/>
      <w:lvlJc w:val="left"/>
      <w:pPr>
        <w:tabs>
          <w:tab w:val="num" w:pos="4320"/>
        </w:tabs>
        <w:ind w:left="4320" w:hanging="360"/>
      </w:pPr>
      <w:rPr>
        <w:rFonts w:ascii="Symbol" w:hAnsi="Symbol" w:hint="default"/>
      </w:rPr>
    </w:lvl>
    <w:lvl w:ilvl="6" w:tplc="049C45D6" w:tentative="1">
      <w:start w:val="1"/>
      <w:numFmt w:val="bullet"/>
      <w:lvlText w:val=""/>
      <w:lvlJc w:val="left"/>
      <w:pPr>
        <w:tabs>
          <w:tab w:val="num" w:pos="5040"/>
        </w:tabs>
        <w:ind w:left="5040" w:hanging="360"/>
      </w:pPr>
      <w:rPr>
        <w:rFonts w:ascii="Symbol" w:hAnsi="Symbol" w:hint="default"/>
      </w:rPr>
    </w:lvl>
    <w:lvl w:ilvl="7" w:tplc="98C6557E" w:tentative="1">
      <w:start w:val="1"/>
      <w:numFmt w:val="bullet"/>
      <w:lvlText w:val=""/>
      <w:lvlJc w:val="left"/>
      <w:pPr>
        <w:tabs>
          <w:tab w:val="num" w:pos="5760"/>
        </w:tabs>
        <w:ind w:left="5760" w:hanging="360"/>
      </w:pPr>
      <w:rPr>
        <w:rFonts w:ascii="Symbol" w:hAnsi="Symbol" w:hint="default"/>
      </w:rPr>
    </w:lvl>
    <w:lvl w:ilvl="8" w:tplc="35E4FD3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2F069FB"/>
    <w:multiLevelType w:val="multilevel"/>
    <w:tmpl w:val="DF5680B2"/>
    <w:styleLink w:val="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65152935"/>
    <w:multiLevelType w:val="multilevel"/>
    <w:tmpl w:val="36002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8F131FD"/>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E685CEE"/>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1150B38"/>
    <w:multiLevelType w:val="multilevel"/>
    <w:tmpl w:val="8A8A51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6002109"/>
    <w:multiLevelType w:val="multilevel"/>
    <w:tmpl w:val="3B2C736A"/>
    <w:lvl w:ilvl="0">
      <w:start w:val="4"/>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889739E"/>
    <w:multiLevelType w:val="multilevel"/>
    <w:tmpl w:val="72327F7E"/>
    <w:lvl w:ilvl="0">
      <w:start w:val="4"/>
      <w:numFmt w:val="decimal"/>
      <w:lvlText w:val="%1"/>
      <w:lvlJc w:val="left"/>
      <w:pPr>
        <w:ind w:left="560" w:hanging="560"/>
      </w:pPr>
      <w:rPr>
        <w:rFonts w:eastAsia="DengXian" w:hint="default"/>
        <w:b/>
        <w:color w:val="000000"/>
      </w:rPr>
    </w:lvl>
    <w:lvl w:ilvl="1">
      <w:start w:val="2"/>
      <w:numFmt w:val="decimal"/>
      <w:lvlText w:val="%1.%2"/>
      <w:lvlJc w:val="left"/>
      <w:pPr>
        <w:ind w:left="560" w:hanging="560"/>
      </w:pPr>
      <w:rPr>
        <w:rFonts w:eastAsia="DengXian" w:hint="default"/>
        <w:b/>
        <w:color w:val="000000"/>
      </w:rPr>
    </w:lvl>
    <w:lvl w:ilvl="2">
      <w:start w:val="23"/>
      <w:numFmt w:val="decimal"/>
      <w:lvlText w:val="%1.%2.%3"/>
      <w:lvlJc w:val="left"/>
      <w:pPr>
        <w:ind w:left="720" w:hanging="720"/>
      </w:pPr>
      <w:rPr>
        <w:rFonts w:eastAsia="DengXian" w:hint="default"/>
        <w:b/>
        <w:color w:val="000000"/>
      </w:rPr>
    </w:lvl>
    <w:lvl w:ilvl="3">
      <w:start w:val="1"/>
      <w:numFmt w:val="decimal"/>
      <w:lvlText w:val="%1.%2.%3.%4"/>
      <w:lvlJc w:val="left"/>
      <w:pPr>
        <w:ind w:left="720" w:hanging="720"/>
      </w:pPr>
      <w:rPr>
        <w:rFonts w:eastAsia="DengXian" w:hint="default"/>
        <w:b/>
        <w:color w:val="000000"/>
      </w:rPr>
    </w:lvl>
    <w:lvl w:ilvl="4">
      <w:start w:val="1"/>
      <w:numFmt w:val="decimal"/>
      <w:lvlText w:val="%1.%2.%3.%4.%5"/>
      <w:lvlJc w:val="left"/>
      <w:pPr>
        <w:ind w:left="1080" w:hanging="1080"/>
      </w:pPr>
      <w:rPr>
        <w:rFonts w:eastAsia="DengXian" w:hint="default"/>
        <w:b/>
        <w:color w:val="000000"/>
      </w:rPr>
    </w:lvl>
    <w:lvl w:ilvl="5">
      <w:start w:val="1"/>
      <w:numFmt w:val="decimal"/>
      <w:lvlText w:val="%1.%2.%3.%4.%5.%6"/>
      <w:lvlJc w:val="left"/>
      <w:pPr>
        <w:ind w:left="1080" w:hanging="1080"/>
      </w:pPr>
      <w:rPr>
        <w:rFonts w:eastAsia="DengXian" w:hint="default"/>
        <w:b/>
        <w:color w:val="000000"/>
      </w:rPr>
    </w:lvl>
    <w:lvl w:ilvl="6">
      <w:start w:val="1"/>
      <w:numFmt w:val="decimal"/>
      <w:lvlText w:val="%1.%2.%3.%4.%5.%6.%7"/>
      <w:lvlJc w:val="left"/>
      <w:pPr>
        <w:ind w:left="1440" w:hanging="1440"/>
      </w:pPr>
      <w:rPr>
        <w:rFonts w:eastAsia="DengXian" w:hint="default"/>
        <w:b/>
        <w:color w:val="000000"/>
      </w:rPr>
    </w:lvl>
    <w:lvl w:ilvl="7">
      <w:start w:val="1"/>
      <w:numFmt w:val="decimal"/>
      <w:lvlText w:val="%1.%2.%3.%4.%5.%6.%7.%8"/>
      <w:lvlJc w:val="left"/>
      <w:pPr>
        <w:ind w:left="1440" w:hanging="1440"/>
      </w:pPr>
      <w:rPr>
        <w:rFonts w:eastAsia="DengXian" w:hint="default"/>
        <w:b/>
        <w:color w:val="000000"/>
      </w:rPr>
    </w:lvl>
    <w:lvl w:ilvl="8">
      <w:start w:val="1"/>
      <w:numFmt w:val="decimal"/>
      <w:lvlText w:val="%1.%2.%3.%4.%5.%6.%7.%8.%9"/>
      <w:lvlJc w:val="left"/>
      <w:pPr>
        <w:ind w:left="1440" w:hanging="1440"/>
      </w:pPr>
      <w:rPr>
        <w:rFonts w:eastAsia="DengXian" w:hint="default"/>
        <w:b/>
        <w:color w:val="000000"/>
      </w:rPr>
    </w:lvl>
  </w:abstractNum>
  <w:abstractNum w:abstractNumId="27" w15:restartNumberingAfterBreak="0">
    <w:nsid w:val="78AC27C4"/>
    <w:multiLevelType w:val="multilevel"/>
    <w:tmpl w:val="8ADEE32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9743172"/>
    <w:multiLevelType w:val="hybridMultilevel"/>
    <w:tmpl w:val="674C5FFC"/>
    <w:lvl w:ilvl="0" w:tplc="C0029CD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70889353">
    <w:abstractNumId w:val="0"/>
  </w:num>
  <w:num w:numId="2" w16cid:durableId="1325550541">
    <w:abstractNumId w:val="27"/>
  </w:num>
  <w:num w:numId="3" w16cid:durableId="268128470">
    <w:abstractNumId w:val="19"/>
  </w:num>
  <w:num w:numId="4" w16cid:durableId="2140951142">
    <w:abstractNumId w:val="21"/>
  </w:num>
  <w:num w:numId="5" w16cid:durableId="1014189805">
    <w:abstractNumId w:val="5"/>
  </w:num>
  <w:num w:numId="6" w16cid:durableId="820124197">
    <w:abstractNumId w:val="9"/>
  </w:num>
  <w:num w:numId="7" w16cid:durableId="9190282">
    <w:abstractNumId w:val="23"/>
  </w:num>
  <w:num w:numId="8" w16cid:durableId="973096512">
    <w:abstractNumId w:val="16"/>
  </w:num>
  <w:num w:numId="9" w16cid:durableId="351422226">
    <w:abstractNumId w:val="14"/>
  </w:num>
  <w:num w:numId="10" w16cid:durableId="552738376">
    <w:abstractNumId w:val="24"/>
  </w:num>
  <w:num w:numId="11" w16cid:durableId="349264436">
    <w:abstractNumId w:val="17"/>
  </w:num>
  <w:num w:numId="12" w16cid:durableId="1377856825">
    <w:abstractNumId w:val="22"/>
  </w:num>
  <w:num w:numId="13" w16cid:durableId="1382754196">
    <w:abstractNumId w:val="1"/>
  </w:num>
  <w:num w:numId="14" w16cid:durableId="150216315">
    <w:abstractNumId w:val="7"/>
  </w:num>
  <w:num w:numId="15" w16cid:durableId="1673533538">
    <w:abstractNumId w:val="2"/>
  </w:num>
  <w:num w:numId="16" w16cid:durableId="544365867">
    <w:abstractNumId w:val="15"/>
  </w:num>
  <w:num w:numId="17" w16cid:durableId="526213926">
    <w:abstractNumId w:val="20"/>
  </w:num>
  <w:num w:numId="18" w16cid:durableId="1927034776">
    <w:abstractNumId w:val="13"/>
  </w:num>
  <w:num w:numId="19" w16cid:durableId="372194337">
    <w:abstractNumId w:val="10"/>
  </w:num>
  <w:num w:numId="20" w16cid:durableId="381170883">
    <w:abstractNumId w:val="28"/>
  </w:num>
  <w:num w:numId="21" w16cid:durableId="914245969">
    <w:abstractNumId w:val="18"/>
  </w:num>
  <w:num w:numId="22" w16cid:durableId="1732191088">
    <w:abstractNumId w:val="3"/>
  </w:num>
  <w:num w:numId="23" w16cid:durableId="725182933">
    <w:abstractNumId w:val="8"/>
  </w:num>
  <w:num w:numId="24" w16cid:durableId="65538126">
    <w:abstractNumId w:val="12"/>
  </w:num>
  <w:num w:numId="25" w16cid:durableId="130297265">
    <w:abstractNumId w:val="6"/>
  </w:num>
  <w:num w:numId="26" w16cid:durableId="315035158">
    <w:abstractNumId w:val="25"/>
  </w:num>
  <w:num w:numId="27" w16cid:durableId="1049837532">
    <w:abstractNumId w:val="26"/>
  </w:num>
  <w:num w:numId="28" w16cid:durableId="651522132">
    <w:abstractNumId w:val="4"/>
  </w:num>
  <w:num w:numId="29" w16cid:durableId="16373704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rdiff University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w0ffesn9zzt0ewpdx5r5a3fpw92aep9re9&quot;&gt;My new EndNote Library&lt;record-ids&gt;&lt;item&gt;54&lt;/item&gt;&lt;item&gt;86&lt;/item&gt;&lt;item&gt;95&lt;/item&gt;&lt;item&gt;97&lt;/item&gt;&lt;item&gt;107&lt;/item&gt;&lt;item&gt;125&lt;/item&gt;&lt;item&gt;139&lt;/item&gt;&lt;item&gt;148&lt;/item&gt;&lt;item&gt;160&lt;/item&gt;&lt;item&gt;224&lt;/item&gt;&lt;item&gt;230&lt;/item&gt;&lt;item&gt;236&lt;/item&gt;&lt;item&gt;277&lt;/item&gt;&lt;item&gt;284&lt;/item&gt;&lt;item&gt;304&lt;/item&gt;&lt;item&gt;308&lt;/item&gt;&lt;item&gt;470&lt;/item&gt;&lt;item&gt;661&lt;/item&gt;&lt;item&gt;662&lt;/item&gt;&lt;item&gt;667&lt;/item&gt;&lt;item&gt;669&lt;/item&gt;&lt;item&gt;671&lt;/item&gt;&lt;item&gt;690&lt;/item&gt;&lt;item&gt;692&lt;/item&gt;&lt;item&gt;695&lt;/item&gt;&lt;item&gt;696&lt;/item&gt;&lt;item&gt;720&lt;/item&gt;&lt;item&gt;721&lt;/item&gt;&lt;item&gt;724&lt;/item&gt;&lt;item&gt;727&lt;/item&gt;&lt;item&gt;729&lt;/item&gt;&lt;item&gt;765&lt;/item&gt;&lt;item&gt;783&lt;/item&gt;&lt;item&gt;841&lt;/item&gt;&lt;item&gt;842&lt;/item&gt;&lt;item&gt;843&lt;/item&gt;&lt;item&gt;900&lt;/item&gt;&lt;item&gt;904&lt;/item&gt;&lt;item&gt;918&lt;/item&gt;&lt;item&gt;921&lt;/item&gt;&lt;item&gt;922&lt;/item&gt;&lt;item&gt;927&lt;/item&gt;&lt;item&gt;1150&lt;/item&gt;&lt;item&gt;1161&lt;/item&gt;&lt;item&gt;1191&lt;/item&gt;&lt;item&gt;1198&lt;/item&gt;&lt;item&gt;1200&lt;/item&gt;&lt;item&gt;1455&lt;/item&gt;&lt;item&gt;1457&lt;/item&gt;&lt;item&gt;1458&lt;/item&gt;&lt;item&gt;1460&lt;/item&gt;&lt;item&gt;1462&lt;/item&gt;&lt;item&gt;1463&lt;/item&gt;&lt;item&gt;1505&lt;/item&gt;&lt;item&gt;1506&lt;/item&gt;&lt;item&gt;1507&lt;/item&gt;&lt;item&gt;1552&lt;/item&gt;&lt;item&gt;1555&lt;/item&gt;&lt;item&gt;1561&lt;/item&gt;&lt;item&gt;1613&lt;/item&gt;&lt;item&gt;1615&lt;/item&gt;&lt;item&gt;1616&lt;/item&gt;&lt;item&gt;1619&lt;/item&gt;&lt;item&gt;1699&lt;/item&gt;&lt;item&gt;1718&lt;/item&gt;&lt;item&gt;1721&lt;/item&gt;&lt;item&gt;1722&lt;/item&gt;&lt;item&gt;1723&lt;/item&gt;&lt;item&gt;1724&lt;/item&gt;&lt;item&gt;1725&lt;/item&gt;&lt;item&gt;1726&lt;/item&gt;&lt;item&gt;1727&lt;/item&gt;&lt;item&gt;1728&lt;/item&gt;&lt;item&gt;1729&lt;/item&gt;&lt;item&gt;1730&lt;/item&gt;&lt;item&gt;1732&lt;/item&gt;&lt;item&gt;1733&lt;/item&gt;&lt;item&gt;1734&lt;/item&gt;&lt;item&gt;1735&lt;/item&gt;&lt;item&gt;1736&lt;/item&gt;&lt;item&gt;1797&lt;/item&gt;&lt;item&gt;179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4E4899"/>
    <w:rsid w:val="00000BB9"/>
    <w:rsid w:val="00000F92"/>
    <w:rsid w:val="00001925"/>
    <w:rsid w:val="00001FAA"/>
    <w:rsid w:val="000021AD"/>
    <w:rsid w:val="00002FBC"/>
    <w:rsid w:val="00003078"/>
    <w:rsid w:val="000030D6"/>
    <w:rsid w:val="0000310E"/>
    <w:rsid w:val="000032D9"/>
    <w:rsid w:val="00003623"/>
    <w:rsid w:val="00004405"/>
    <w:rsid w:val="000044CC"/>
    <w:rsid w:val="0000765C"/>
    <w:rsid w:val="0000778F"/>
    <w:rsid w:val="000110D8"/>
    <w:rsid w:val="0001164C"/>
    <w:rsid w:val="00011FA1"/>
    <w:rsid w:val="0001252A"/>
    <w:rsid w:val="0001269F"/>
    <w:rsid w:val="0001297D"/>
    <w:rsid w:val="00012F37"/>
    <w:rsid w:val="00013410"/>
    <w:rsid w:val="00013B5B"/>
    <w:rsid w:val="00014061"/>
    <w:rsid w:val="000143C3"/>
    <w:rsid w:val="00015074"/>
    <w:rsid w:val="00015A4E"/>
    <w:rsid w:val="0001666E"/>
    <w:rsid w:val="00017F27"/>
    <w:rsid w:val="0002030D"/>
    <w:rsid w:val="00020A67"/>
    <w:rsid w:val="00021988"/>
    <w:rsid w:val="00022482"/>
    <w:rsid w:val="00023206"/>
    <w:rsid w:val="000237B6"/>
    <w:rsid w:val="000242CB"/>
    <w:rsid w:val="0002476E"/>
    <w:rsid w:val="00024BD1"/>
    <w:rsid w:val="0002627A"/>
    <w:rsid w:val="00027284"/>
    <w:rsid w:val="0002774B"/>
    <w:rsid w:val="0003040B"/>
    <w:rsid w:val="0003070F"/>
    <w:rsid w:val="000310DF"/>
    <w:rsid w:val="00032B7A"/>
    <w:rsid w:val="0003359F"/>
    <w:rsid w:val="00033749"/>
    <w:rsid w:val="0003423A"/>
    <w:rsid w:val="0003551B"/>
    <w:rsid w:val="00036092"/>
    <w:rsid w:val="00037424"/>
    <w:rsid w:val="000376CF"/>
    <w:rsid w:val="00037778"/>
    <w:rsid w:val="00037794"/>
    <w:rsid w:val="00040211"/>
    <w:rsid w:val="00041F13"/>
    <w:rsid w:val="00042225"/>
    <w:rsid w:val="00042631"/>
    <w:rsid w:val="00042F89"/>
    <w:rsid w:val="00044AB7"/>
    <w:rsid w:val="000451F1"/>
    <w:rsid w:val="000453F1"/>
    <w:rsid w:val="0004554E"/>
    <w:rsid w:val="0004567E"/>
    <w:rsid w:val="00045AC0"/>
    <w:rsid w:val="00045F1C"/>
    <w:rsid w:val="0004619E"/>
    <w:rsid w:val="000462D6"/>
    <w:rsid w:val="00046334"/>
    <w:rsid w:val="00047FE3"/>
    <w:rsid w:val="00050350"/>
    <w:rsid w:val="000504E8"/>
    <w:rsid w:val="000513A9"/>
    <w:rsid w:val="00052215"/>
    <w:rsid w:val="00052778"/>
    <w:rsid w:val="00052B7D"/>
    <w:rsid w:val="00053C73"/>
    <w:rsid w:val="00054036"/>
    <w:rsid w:val="00054F81"/>
    <w:rsid w:val="000553B8"/>
    <w:rsid w:val="00056380"/>
    <w:rsid w:val="000564AA"/>
    <w:rsid w:val="0005728A"/>
    <w:rsid w:val="000576AE"/>
    <w:rsid w:val="00060A7A"/>
    <w:rsid w:val="00060BA0"/>
    <w:rsid w:val="000612A6"/>
    <w:rsid w:val="000624CE"/>
    <w:rsid w:val="00063580"/>
    <w:rsid w:val="00063619"/>
    <w:rsid w:val="00063786"/>
    <w:rsid w:val="000648C9"/>
    <w:rsid w:val="00064953"/>
    <w:rsid w:val="00064969"/>
    <w:rsid w:val="000652B9"/>
    <w:rsid w:val="00065A25"/>
    <w:rsid w:val="00065A69"/>
    <w:rsid w:val="00067880"/>
    <w:rsid w:val="00067D0C"/>
    <w:rsid w:val="00067E98"/>
    <w:rsid w:val="00067F96"/>
    <w:rsid w:val="00070496"/>
    <w:rsid w:val="00070756"/>
    <w:rsid w:val="00071588"/>
    <w:rsid w:val="000716F7"/>
    <w:rsid w:val="00071C89"/>
    <w:rsid w:val="00071F10"/>
    <w:rsid w:val="00072F03"/>
    <w:rsid w:val="00073000"/>
    <w:rsid w:val="0007322B"/>
    <w:rsid w:val="0007398F"/>
    <w:rsid w:val="00073BDC"/>
    <w:rsid w:val="00073D94"/>
    <w:rsid w:val="00074060"/>
    <w:rsid w:val="0007496F"/>
    <w:rsid w:val="00074E07"/>
    <w:rsid w:val="00075B2C"/>
    <w:rsid w:val="000762D0"/>
    <w:rsid w:val="000765AB"/>
    <w:rsid w:val="00076C04"/>
    <w:rsid w:val="00076D8A"/>
    <w:rsid w:val="00076E58"/>
    <w:rsid w:val="00076FB2"/>
    <w:rsid w:val="0007724A"/>
    <w:rsid w:val="00077D30"/>
    <w:rsid w:val="00081445"/>
    <w:rsid w:val="00081B3D"/>
    <w:rsid w:val="00081D95"/>
    <w:rsid w:val="000821DD"/>
    <w:rsid w:val="00082528"/>
    <w:rsid w:val="00082922"/>
    <w:rsid w:val="00082E65"/>
    <w:rsid w:val="00083D07"/>
    <w:rsid w:val="00084147"/>
    <w:rsid w:val="00084391"/>
    <w:rsid w:val="00084712"/>
    <w:rsid w:val="00084B0A"/>
    <w:rsid w:val="00084F99"/>
    <w:rsid w:val="00086729"/>
    <w:rsid w:val="00087378"/>
    <w:rsid w:val="00087D19"/>
    <w:rsid w:val="00087E7F"/>
    <w:rsid w:val="000902E9"/>
    <w:rsid w:val="00090FE8"/>
    <w:rsid w:val="000911B0"/>
    <w:rsid w:val="0009401B"/>
    <w:rsid w:val="000942BE"/>
    <w:rsid w:val="0009499E"/>
    <w:rsid w:val="00094C4B"/>
    <w:rsid w:val="00095282"/>
    <w:rsid w:val="00095972"/>
    <w:rsid w:val="00096154"/>
    <w:rsid w:val="00096425"/>
    <w:rsid w:val="000968DA"/>
    <w:rsid w:val="00096B09"/>
    <w:rsid w:val="0009748D"/>
    <w:rsid w:val="000A06D5"/>
    <w:rsid w:val="000A1267"/>
    <w:rsid w:val="000A2007"/>
    <w:rsid w:val="000A30D4"/>
    <w:rsid w:val="000A319A"/>
    <w:rsid w:val="000A3530"/>
    <w:rsid w:val="000A3571"/>
    <w:rsid w:val="000A35D8"/>
    <w:rsid w:val="000A3E92"/>
    <w:rsid w:val="000A42A7"/>
    <w:rsid w:val="000A4A95"/>
    <w:rsid w:val="000A4F3A"/>
    <w:rsid w:val="000A53C4"/>
    <w:rsid w:val="000A5750"/>
    <w:rsid w:val="000A5990"/>
    <w:rsid w:val="000A5C00"/>
    <w:rsid w:val="000A5F6C"/>
    <w:rsid w:val="000A7616"/>
    <w:rsid w:val="000A7721"/>
    <w:rsid w:val="000B0BBA"/>
    <w:rsid w:val="000B0C64"/>
    <w:rsid w:val="000B0DE5"/>
    <w:rsid w:val="000B0EA8"/>
    <w:rsid w:val="000B1C97"/>
    <w:rsid w:val="000B1CD6"/>
    <w:rsid w:val="000B2662"/>
    <w:rsid w:val="000B38A4"/>
    <w:rsid w:val="000B3980"/>
    <w:rsid w:val="000B4922"/>
    <w:rsid w:val="000B50BA"/>
    <w:rsid w:val="000B6843"/>
    <w:rsid w:val="000B6848"/>
    <w:rsid w:val="000B6BA0"/>
    <w:rsid w:val="000B6C4A"/>
    <w:rsid w:val="000B6D7D"/>
    <w:rsid w:val="000B6FAB"/>
    <w:rsid w:val="000B7211"/>
    <w:rsid w:val="000B7258"/>
    <w:rsid w:val="000B7333"/>
    <w:rsid w:val="000B7EC1"/>
    <w:rsid w:val="000C133C"/>
    <w:rsid w:val="000C31AE"/>
    <w:rsid w:val="000C3CEB"/>
    <w:rsid w:val="000C401D"/>
    <w:rsid w:val="000C486C"/>
    <w:rsid w:val="000C4CAE"/>
    <w:rsid w:val="000C4F22"/>
    <w:rsid w:val="000C5250"/>
    <w:rsid w:val="000C585B"/>
    <w:rsid w:val="000C5D0C"/>
    <w:rsid w:val="000C61D9"/>
    <w:rsid w:val="000C6B51"/>
    <w:rsid w:val="000D0CBC"/>
    <w:rsid w:val="000D1A3D"/>
    <w:rsid w:val="000D2EA1"/>
    <w:rsid w:val="000D34D7"/>
    <w:rsid w:val="000D4365"/>
    <w:rsid w:val="000D461B"/>
    <w:rsid w:val="000D4E7E"/>
    <w:rsid w:val="000D6066"/>
    <w:rsid w:val="000D64B9"/>
    <w:rsid w:val="000D7FED"/>
    <w:rsid w:val="000E019E"/>
    <w:rsid w:val="000E0501"/>
    <w:rsid w:val="000E071F"/>
    <w:rsid w:val="000E154E"/>
    <w:rsid w:val="000E16B4"/>
    <w:rsid w:val="000E1C11"/>
    <w:rsid w:val="000E205D"/>
    <w:rsid w:val="000E2209"/>
    <w:rsid w:val="000E2962"/>
    <w:rsid w:val="000E2BF9"/>
    <w:rsid w:val="000E2F5D"/>
    <w:rsid w:val="000E32E4"/>
    <w:rsid w:val="000E3D50"/>
    <w:rsid w:val="000E43CE"/>
    <w:rsid w:val="000E478C"/>
    <w:rsid w:val="000E4913"/>
    <w:rsid w:val="000E4CEA"/>
    <w:rsid w:val="000E5144"/>
    <w:rsid w:val="000E56F4"/>
    <w:rsid w:val="000E6DF1"/>
    <w:rsid w:val="000E76C8"/>
    <w:rsid w:val="000E76E4"/>
    <w:rsid w:val="000E7722"/>
    <w:rsid w:val="000F08DC"/>
    <w:rsid w:val="000F0CC9"/>
    <w:rsid w:val="000F0E6D"/>
    <w:rsid w:val="000F197D"/>
    <w:rsid w:val="000F203A"/>
    <w:rsid w:val="000F3678"/>
    <w:rsid w:val="000F4B66"/>
    <w:rsid w:val="000F5807"/>
    <w:rsid w:val="000F693D"/>
    <w:rsid w:val="0010045B"/>
    <w:rsid w:val="00100743"/>
    <w:rsid w:val="001018B1"/>
    <w:rsid w:val="001025E6"/>
    <w:rsid w:val="001037CB"/>
    <w:rsid w:val="00103AD0"/>
    <w:rsid w:val="00103FE5"/>
    <w:rsid w:val="00104683"/>
    <w:rsid w:val="0010468A"/>
    <w:rsid w:val="00105FFC"/>
    <w:rsid w:val="001079F9"/>
    <w:rsid w:val="001102A4"/>
    <w:rsid w:val="00110C73"/>
    <w:rsid w:val="00111C19"/>
    <w:rsid w:val="00112851"/>
    <w:rsid w:val="00112D95"/>
    <w:rsid w:val="0011330C"/>
    <w:rsid w:val="00114C01"/>
    <w:rsid w:val="001150D8"/>
    <w:rsid w:val="00116646"/>
    <w:rsid w:val="00116782"/>
    <w:rsid w:val="001170E2"/>
    <w:rsid w:val="0011746F"/>
    <w:rsid w:val="00117E2F"/>
    <w:rsid w:val="00117FF4"/>
    <w:rsid w:val="001200D5"/>
    <w:rsid w:val="00120BF3"/>
    <w:rsid w:val="00120E48"/>
    <w:rsid w:val="001235A1"/>
    <w:rsid w:val="00124999"/>
    <w:rsid w:val="00124A33"/>
    <w:rsid w:val="00124A3B"/>
    <w:rsid w:val="00124D8F"/>
    <w:rsid w:val="001250DF"/>
    <w:rsid w:val="00126489"/>
    <w:rsid w:val="00126568"/>
    <w:rsid w:val="00126E22"/>
    <w:rsid w:val="00126F76"/>
    <w:rsid w:val="001271A8"/>
    <w:rsid w:val="00127DE8"/>
    <w:rsid w:val="00130480"/>
    <w:rsid w:val="00130745"/>
    <w:rsid w:val="00130F8E"/>
    <w:rsid w:val="00131C04"/>
    <w:rsid w:val="00131C86"/>
    <w:rsid w:val="0013200F"/>
    <w:rsid w:val="00132565"/>
    <w:rsid w:val="00132D9C"/>
    <w:rsid w:val="001341CB"/>
    <w:rsid w:val="00134204"/>
    <w:rsid w:val="00135695"/>
    <w:rsid w:val="00136703"/>
    <w:rsid w:val="00137437"/>
    <w:rsid w:val="0014015C"/>
    <w:rsid w:val="00140954"/>
    <w:rsid w:val="0014132D"/>
    <w:rsid w:val="001417E1"/>
    <w:rsid w:val="00141B9B"/>
    <w:rsid w:val="001421BF"/>
    <w:rsid w:val="00142C39"/>
    <w:rsid w:val="0014537C"/>
    <w:rsid w:val="0014541B"/>
    <w:rsid w:val="00145A95"/>
    <w:rsid w:val="00145D52"/>
    <w:rsid w:val="00146D83"/>
    <w:rsid w:val="00146EB8"/>
    <w:rsid w:val="001501AF"/>
    <w:rsid w:val="001505FA"/>
    <w:rsid w:val="00150A6C"/>
    <w:rsid w:val="00151399"/>
    <w:rsid w:val="0015163B"/>
    <w:rsid w:val="001523C9"/>
    <w:rsid w:val="00154163"/>
    <w:rsid w:val="00154331"/>
    <w:rsid w:val="00155026"/>
    <w:rsid w:val="0015576B"/>
    <w:rsid w:val="00155B05"/>
    <w:rsid w:val="00155FDA"/>
    <w:rsid w:val="00156ED9"/>
    <w:rsid w:val="001571D1"/>
    <w:rsid w:val="00157AC0"/>
    <w:rsid w:val="00157C21"/>
    <w:rsid w:val="00157CB5"/>
    <w:rsid w:val="001605E1"/>
    <w:rsid w:val="0016079F"/>
    <w:rsid w:val="001609E5"/>
    <w:rsid w:val="00160CF4"/>
    <w:rsid w:val="00161325"/>
    <w:rsid w:val="0016165A"/>
    <w:rsid w:val="00161738"/>
    <w:rsid w:val="00161BA9"/>
    <w:rsid w:val="00162375"/>
    <w:rsid w:val="0016298A"/>
    <w:rsid w:val="00163304"/>
    <w:rsid w:val="00164518"/>
    <w:rsid w:val="001653CE"/>
    <w:rsid w:val="00166110"/>
    <w:rsid w:val="001676A5"/>
    <w:rsid w:val="00167936"/>
    <w:rsid w:val="00170EEA"/>
    <w:rsid w:val="0017111C"/>
    <w:rsid w:val="0017232F"/>
    <w:rsid w:val="00172F8B"/>
    <w:rsid w:val="00173AAC"/>
    <w:rsid w:val="00173AC7"/>
    <w:rsid w:val="00174295"/>
    <w:rsid w:val="001757EB"/>
    <w:rsid w:val="001758C6"/>
    <w:rsid w:val="001758F5"/>
    <w:rsid w:val="001762B9"/>
    <w:rsid w:val="001768FB"/>
    <w:rsid w:val="0017770D"/>
    <w:rsid w:val="00177B6F"/>
    <w:rsid w:val="00180753"/>
    <w:rsid w:val="001810DD"/>
    <w:rsid w:val="001818FE"/>
    <w:rsid w:val="00181DAB"/>
    <w:rsid w:val="001822A2"/>
    <w:rsid w:val="001827EB"/>
    <w:rsid w:val="00182AB9"/>
    <w:rsid w:val="001837EB"/>
    <w:rsid w:val="00183BBD"/>
    <w:rsid w:val="001865E4"/>
    <w:rsid w:val="00187EAA"/>
    <w:rsid w:val="00191DB9"/>
    <w:rsid w:val="00192080"/>
    <w:rsid w:val="001923A4"/>
    <w:rsid w:val="0019270A"/>
    <w:rsid w:val="00192E9A"/>
    <w:rsid w:val="001940E8"/>
    <w:rsid w:val="00194143"/>
    <w:rsid w:val="00194733"/>
    <w:rsid w:val="0019491B"/>
    <w:rsid w:val="001953A7"/>
    <w:rsid w:val="00196FF9"/>
    <w:rsid w:val="00197520"/>
    <w:rsid w:val="00197C96"/>
    <w:rsid w:val="001A015E"/>
    <w:rsid w:val="001A09B7"/>
    <w:rsid w:val="001A0EA1"/>
    <w:rsid w:val="001A1038"/>
    <w:rsid w:val="001A1A44"/>
    <w:rsid w:val="001A1E8E"/>
    <w:rsid w:val="001A2704"/>
    <w:rsid w:val="001A347C"/>
    <w:rsid w:val="001A39E7"/>
    <w:rsid w:val="001A3FA0"/>
    <w:rsid w:val="001A4703"/>
    <w:rsid w:val="001A58F2"/>
    <w:rsid w:val="001A5B50"/>
    <w:rsid w:val="001A6137"/>
    <w:rsid w:val="001A61B9"/>
    <w:rsid w:val="001A6ED6"/>
    <w:rsid w:val="001A7303"/>
    <w:rsid w:val="001B065F"/>
    <w:rsid w:val="001B0F3F"/>
    <w:rsid w:val="001B1490"/>
    <w:rsid w:val="001B154A"/>
    <w:rsid w:val="001B1A68"/>
    <w:rsid w:val="001B299F"/>
    <w:rsid w:val="001B2BEB"/>
    <w:rsid w:val="001B2EA1"/>
    <w:rsid w:val="001B3011"/>
    <w:rsid w:val="001B3660"/>
    <w:rsid w:val="001B398F"/>
    <w:rsid w:val="001B4111"/>
    <w:rsid w:val="001B436D"/>
    <w:rsid w:val="001B560A"/>
    <w:rsid w:val="001B7525"/>
    <w:rsid w:val="001C10B9"/>
    <w:rsid w:val="001C1ACF"/>
    <w:rsid w:val="001C205E"/>
    <w:rsid w:val="001C270E"/>
    <w:rsid w:val="001C29DF"/>
    <w:rsid w:val="001C4752"/>
    <w:rsid w:val="001C797D"/>
    <w:rsid w:val="001C79AE"/>
    <w:rsid w:val="001D099F"/>
    <w:rsid w:val="001D3811"/>
    <w:rsid w:val="001D418A"/>
    <w:rsid w:val="001D41C1"/>
    <w:rsid w:val="001D641C"/>
    <w:rsid w:val="001D67AC"/>
    <w:rsid w:val="001D70B9"/>
    <w:rsid w:val="001D77BC"/>
    <w:rsid w:val="001E066A"/>
    <w:rsid w:val="001E14DA"/>
    <w:rsid w:val="001E1587"/>
    <w:rsid w:val="001E1BEE"/>
    <w:rsid w:val="001E22E7"/>
    <w:rsid w:val="001E328D"/>
    <w:rsid w:val="001E3434"/>
    <w:rsid w:val="001E363B"/>
    <w:rsid w:val="001E4353"/>
    <w:rsid w:val="001E48A9"/>
    <w:rsid w:val="001E55D1"/>
    <w:rsid w:val="001E5762"/>
    <w:rsid w:val="001E5C8E"/>
    <w:rsid w:val="001E6F26"/>
    <w:rsid w:val="001E7136"/>
    <w:rsid w:val="001F111E"/>
    <w:rsid w:val="001F17F5"/>
    <w:rsid w:val="001F2510"/>
    <w:rsid w:val="001F2EC3"/>
    <w:rsid w:val="001F2FDE"/>
    <w:rsid w:val="001F32D6"/>
    <w:rsid w:val="001F4636"/>
    <w:rsid w:val="001F6F63"/>
    <w:rsid w:val="001F7358"/>
    <w:rsid w:val="001F7694"/>
    <w:rsid w:val="00200274"/>
    <w:rsid w:val="00200671"/>
    <w:rsid w:val="00201D4D"/>
    <w:rsid w:val="00202895"/>
    <w:rsid w:val="00203162"/>
    <w:rsid w:val="00204AA2"/>
    <w:rsid w:val="00204CAB"/>
    <w:rsid w:val="0020536A"/>
    <w:rsid w:val="00205BEA"/>
    <w:rsid w:val="0020749B"/>
    <w:rsid w:val="0020761E"/>
    <w:rsid w:val="00207FD3"/>
    <w:rsid w:val="00211230"/>
    <w:rsid w:val="002122AC"/>
    <w:rsid w:val="002122E6"/>
    <w:rsid w:val="002124A4"/>
    <w:rsid w:val="00212992"/>
    <w:rsid w:val="002131D1"/>
    <w:rsid w:val="002136D8"/>
    <w:rsid w:val="0021473A"/>
    <w:rsid w:val="002150CB"/>
    <w:rsid w:val="0021558C"/>
    <w:rsid w:val="0021638A"/>
    <w:rsid w:val="0021720D"/>
    <w:rsid w:val="0021750D"/>
    <w:rsid w:val="0021779E"/>
    <w:rsid w:val="002179CC"/>
    <w:rsid w:val="00217A2E"/>
    <w:rsid w:val="00217F12"/>
    <w:rsid w:val="0022042F"/>
    <w:rsid w:val="00220D01"/>
    <w:rsid w:val="002216A0"/>
    <w:rsid w:val="00221714"/>
    <w:rsid w:val="0022199D"/>
    <w:rsid w:val="00221F94"/>
    <w:rsid w:val="00222C7E"/>
    <w:rsid w:val="00224425"/>
    <w:rsid w:val="00224454"/>
    <w:rsid w:val="002249BC"/>
    <w:rsid w:val="002264D3"/>
    <w:rsid w:val="0022671A"/>
    <w:rsid w:val="00227181"/>
    <w:rsid w:val="002273FD"/>
    <w:rsid w:val="002277FE"/>
    <w:rsid w:val="00227A2A"/>
    <w:rsid w:val="00227C10"/>
    <w:rsid w:val="00227ED2"/>
    <w:rsid w:val="00231B88"/>
    <w:rsid w:val="00231D47"/>
    <w:rsid w:val="002323B4"/>
    <w:rsid w:val="0023255C"/>
    <w:rsid w:val="00232B03"/>
    <w:rsid w:val="002331EF"/>
    <w:rsid w:val="00233F5C"/>
    <w:rsid w:val="002349F2"/>
    <w:rsid w:val="002352EF"/>
    <w:rsid w:val="00235B4F"/>
    <w:rsid w:val="00235CC4"/>
    <w:rsid w:val="00236996"/>
    <w:rsid w:val="00236B68"/>
    <w:rsid w:val="00236FF7"/>
    <w:rsid w:val="00240C64"/>
    <w:rsid w:val="00240FD1"/>
    <w:rsid w:val="0024205D"/>
    <w:rsid w:val="0024220E"/>
    <w:rsid w:val="00243917"/>
    <w:rsid w:val="00245559"/>
    <w:rsid w:val="00245C93"/>
    <w:rsid w:val="00246529"/>
    <w:rsid w:val="0025006F"/>
    <w:rsid w:val="00250A22"/>
    <w:rsid w:val="00250A34"/>
    <w:rsid w:val="00250B3D"/>
    <w:rsid w:val="0025152F"/>
    <w:rsid w:val="0025230B"/>
    <w:rsid w:val="0025245A"/>
    <w:rsid w:val="002529F0"/>
    <w:rsid w:val="002534F7"/>
    <w:rsid w:val="00253A0C"/>
    <w:rsid w:val="00254B24"/>
    <w:rsid w:val="00254D93"/>
    <w:rsid w:val="00256930"/>
    <w:rsid w:val="00256D0A"/>
    <w:rsid w:val="00257468"/>
    <w:rsid w:val="002577BA"/>
    <w:rsid w:val="002600DE"/>
    <w:rsid w:val="002614A4"/>
    <w:rsid w:val="002615A9"/>
    <w:rsid w:val="002624F0"/>
    <w:rsid w:val="00263136"/>
    <w:rsid w:val="00264032"/>
    <w:rsid w:val="00264764"/>
    <w:rsid w:val="00264965"/>
    <w:rsid w:val="00265104"/>
    <w:rsid w:val="00265319"/>
    <w:rsid w:val="00265C2A"/>
    <w:rsid w:val="00266EA3"/>
    <w:rsid w:val="0026703B"/>
    <w:rsid w:val="002676CD"/>
    <w:rsid w:val="002703C4"/>
    <w:rsid w:val="00270538"/>
    <w:rsid w:val="00271082"/>
    <w:rsid w:val="002714F8"/>
    <w:rsid w:val="002735A0"/>
    <w:rsid w:val="0027366C"/>
    <w:rsid w:val="00273B8D"/>
    <w:rsid w:val="002742DF"/>
    <w:rsid w:val="00275228"/>
    <w:rsid w:val="0027573C"/>
    <w:rsid w:val="00276054"/>
    <w:rsid w:val="0027633E"/>
    <w:rsid w:val="0027642A"/>
    <w:rsid w:val="002764D0"/>
    <w:rsid w:val="00276887"/>
    <w:rsid w:val="00276E01"/>
    <w:rsid w:val="00277E9C"/>
    <w:rsid w:val="002814D0"/>
    <w:rsid w:val="00281774"/>
    <w:rsid w:val="00281C3A"/>
    <w:rsid w:val="002827B4"/>
    <w:rsid w:val="00282B18"/>
    <w:rsid w:val="00283485"/>
    <w:rsid w:val="00283D5B"/>
    <w:rsid w:val="00283ED3"/>
    <w:rsid w:val="00284592"/>
    <w:rsid w:val="0028501A"/>
    <w:rsid w:val="002852E6"/>
    <w:rsid w:val="00285522"/>
    <w:rsid w:val="00285688"/>
    <w:rsid w:val="0028670E"/>
    <w:rsid w:val="00287B85"/>
    <w:rsid w:val="00290053"/>
    <w:rsid w:val="00290DF6"/>
    <w:rsid w:val="00290DFF"/>
    <w:rsid w:val="0029154F"/>
    <w:rsid w:val="002915F4"/>
    <w:rsid w:val="002919A0"/>
    <w:rsid w:val="00291D26"/>
    <w:rsid w:val="002921BF"/>
    <w:rsid w:val="00292D78"/>
    <w:rsid w:val="00292E82"/>
    <w:rsid w:val="0029322F"/>
    <w:rsid w:val="00293420"/>
    <w:rsid w:val="00293D57"/>
    <w:rsid w:val="0029421E"/>
    <w:rsid w:val="00294257"/>
    <w:rsid w:val="002954B5"/>
    <w:rsid w:val="0029570E"/>
    <w:rsid w:val="0029690D"/>
    <w:rsid w:val="00296C82"/>
    <w:rsid w:val="002972FB"/>
    <w:rsid w:val="002A0266"/>
    <w:rsid w:val="002A0F47"/>
    <w:rsid w:val="002A1053"/>
    <w:rsid w:val="002A1358"/>
    <w:rsid w:val="002A1D3F"/>
    <w:rsid w:val="002A27A6"/>
    <w:rsid w:val="002A2861"/>
    <w:rsid w:val="002A52EE"/>
    <w:rsid w:val="002A56EA"/>
    <w:rsid w:val="002A5C92"/>
    <w:rsid w:val="002A62E8"/>
    <w:rsid w:val="002A6A12"/>
    <w:rsid w:val="002A6B55"/>
    <w:rsid w:val="002A6D55"/>
    <w:rsid w:val="002A6F79"/>
    <w:rsid w:val="002A784C"/>
    <w:rsid w:val="002A78F2"/>
    <w:rsid w:val="002A7CFE"/>
    <w:rsid w:val="002B08B3"/>
    <w:rsid w:val="002B0D37"/>
    <w:rsid w:val="002B0D87"/>
    <w:rsid w:val="002B0EBD"/>
    <w:rsid w:val="002B0FA6"/>
    <w:rsid w:val="002B1373"/>
    <w:rsid w:val="002B3720"/>
    <w:rsid w:val="002B3811"/>
    <w:rsid w:val="002B39E0"/>
    <w:rsid w:val="002B599F"/>
    <w:rsid w:val="002B5B89"/>
    <w:rsid w:val="002B5FBC"/>
    <w:rsid w:val="002B63C1"/>
    <w:rsid w:val="002B65D9"/>
    <w:rsid w:val="002B74FA"/>
    <w:rsid w:val="002B7C6A"/>
    <w:rsid w:val="002C09AC"/>
    <w:rsid w:val="002C1694"/>
    <w:rsid w:val="002C2BD8"/>
    <w:rsid w:val="002C4313"/>
    <w:rsid w:val="002C49BC"/>
    <w:rsid w:val="002C4A47"/>
    <w:rsid w:val="002C4E0E"/>
    <w:rsid w:val="002C6371"/>
    <w:rsid w:val="002C68AB"/>
    <w:rsid w:val="002C7067"/>
    <w:rsid w:val="002C794B"/>
    <w:rsid w:val="002C7C12"/>
    <w:rsid w:val="002C7F51"/>
    <w:rsid w:val="002D0128"/>
    <w:rsid w:val="002D08FF"/>
    <w:rsid w:val="002D1006"/>
    <w:rsid w:val="002D2127"/>
    <w:rsid w:val="002D2EC8"/>
    <w:rsid w:val="002D2FB2"/>
    <w:rsid w:val="002D3331"/>
    <w:rsid w:val="002D3353"/>
    <w:rsid w:val="002D389E"/>
    <w:rsid w:val="002D38A8"/>
    <w:rsid w:val="002D3DD6"/>
    <w:rsid w:val="002D43F4"/>
    <w:rsid w:val="002D60EB"/>
    <w:rsid w:val="002E0391"/>
    <w:rsid w:val="002E0F41"/>
    <w:rsid w:val="002E1B8F"/>
    <w:rsid w:val="002E279B"/>
    <w:rsid w:val="002E35A8"/>
    <w:rsid w:val="002E3A59"/>
    <w:rsid w:val="002E3A8A"/>
    <w:rsid w:val="002E3B9B"/>
    <w:rsid w:val="002E45A2"/>
    <w:rsid w:val="002E4A28"/>
    <w:rsid w:val="002E4D8A"/>
    <w:rsid w:val="002E5CE7"/>
    <w:rsid w:val="002E5F7C"/>
    <w:rsid w:val="002F0FBC"/>
    <w:rsid w:val="002F1E60"/>
    <w:rsid w:val="002F2821"/>
    <w:rsid w:val="002F2BD4"/>
    <w:rsid w:val="002F390C"/>
    <w:rsid w:val="002F4153"/>
    <w:rsid w:val="002F4A35"/>
    <w:rsid w:val="002F4AA1"/>
    <w:rsid w:val="002F4B60"/>
    <w:rsid w:val="002F628D"/>
    <w:rsid w:val="002F7D69"/>
    <w:rsid w:val="003002A3"/>
    <w:rsid w:val="003008DE"/>
    <w:rsid w:val="00300AA3"/>
    <w:rsid w:val="00301750"/>
    <w:rsid w:val="00301C81"/>
    <w:rsid w:val="003021B5"/>
    <w:rsid w:val="003021FF"/>
    <w:rsid w:val="00303A48"/>
    <w:rsid w:val="00303DEB"/>
    <w:rsid w:val="003040B7"/>
    <w:rsid w:val="00304596"/>
    <w:rsid w:val="00305D5B"/>
    <w:rsid w:val="0030651F"/>
    <w:rsid w:val="00306789"/>
    <w:rsid w:val="00307877"/>
    <w:rsid w:val="00307CBF"/>
    <w:rsid w:val="003103CB"/>
    <w:rsid w:val="00310AB2"/>
    <w:rsid w:val="00312921"/>
    <w:rsid w:val="003159DC"/>
    <w:rsid w:val="00315DA3"/>
    <w:rsid w:val="00315E8B"/>
    <w:rsid w:val="003168AC"/>
    <w:rsid w:val="00317103"/>
    <w:rsid w:val="0031760F"/>
    <w:rsid w:val="003176AF"/>
    <w:rsid w:val="0032007F"/>
    <w:rsid w:val="003204E5"/>
    <w:rsid w:val="00320544"/>
    <w:rsid w:val="00320629"/>
    <w:rsid w:val="0032064F"/>
    <w:rsid w:val="00320A49"/>
    <w:rsid w:val="00321306"/>
    <w:rsid w:val="0032136D"/>
    <w:rsid w:val="00321FF9"/>
    <w:rsid w:val="00322343"/>
    <w:rsid w:val="00322D70"/>
    <w:rsid w:val="0032352B"/>
    <w:rsid w:val="00323768"/>
    <w:rsid w:val="003240FC"/>
    <w:rsid w:val="003248AD"/>
    <w:rsid w:val="00325660"/>
    <w:rsid w:val="00326261"/>
    <w:rsid w:val="003268E3"/>
    <w:rsid w:val="00326AA4"/>
    <w:rsid w:val="00326F78"/>
    <w:rsid w:val="003276EE"/>
    <w:rsid w:val="00330466"/>
    <w:rsid w:val="003304C9"/>
    <w:rsid w:val="00330653"/>
    <w:rsid w:val="00330F6B"/>
    <w:rsid w:val="00334240"/>
    <w:rsid w:val="0033472F"/>
    <w:rsid w:val="00334AC0"/>
    <w:rsid w:val="00334B3D"/>
    <w:rsid w:val="00335CF0"/>
    <w:rsid w:val="003362A4"/>
    <w:rsid w:val="00336C54"/>
    <w:rsid w:val="0034051E"/>
    <w:rsid w:val="00340851"/>
    <w:rsid w:val="00341534"/>
    <w:rsid w:val="003419C7"/>
    <w:rsid w:val="00341B5D"/>
    <w:rsid w:val="00342B6D"/>
    <w:rsid w:val="00342F6C"/>
    <w:rsid w:val="00344E11"/>
    <w:rsid w:val="0034556F"/>
    <w:rsid w:val="003455CF"/>
    <w:rsid w:val="003460BD"/>
    <w:rsid w:val="0034647C"/>
    <w:rsid w:val="00346B42"/>
    <w:rsid w:val="00346BB8"/>
    <w:rsid w:val="00347323"/>
    <w:rsid w:val="0034794A"/>
    <w:rsid w:val="003504D3"/>
    <w:rsid w:val="003508D3"/>
    <w:rsid w:val="00350F11"/>
    <w:rsid w:val="00351283"/>
    <w:rsid w:val="003516F6"/>
    <w:rsid w:val="00351802"/>
    <w:rsid w:val="00351DFC"/>
    <w:rsid w:val="00353E65"/>
    <w:rsid w:val="003550D6"/>
    <w:rsid w:val="003554E6"/>
    <w:rsid w:val="0035584F"/>
    <w:rsid w:val="00355932"/>
    <w:rsid w:val="00355EE8"/>
    <w:rsid w:val="003561B3"/>
    <w:rsid w:val="003561E0"/>
    <w:rsid w:val="003563BE"/>
    <w:rsid w:val="0035659F"/>
    <w:rsid w:val="0035698D"/>
    <w:rsid w:val="00356D6C"/>
    <w:rsid w:val="003579BF"/>
    <w:rsid w:val="003606AC"/>
    <w:rsid w:val="0036197B"/>
    <w:rsid w:val="00361E92"/>
    <w:rsid w:val="00362128"/>
    <w:rsid w:val="003621FE"/>
    <w:rsid w:val="00363A1D"/>
    <w:rsid w:val="00363E22"/>
    <w:rsid w:val="00365059"/>
    <w:rsid w:val="00366148"/>
    <w:rsid w:val="00366D6A"/>
    <w:rsid w:val="0036746B"/>
    <w:rsid w:val="003676FC"/>
    <w:rsid w:val="00367C8A"/>
    <w:rsid w:val="00367E55"/>
    <w:rsid w:val="00370C9A"/>
    <w:rsid w:val="00371984"/>
    <w:rsid w:val="003722AB"/>
    <w:rsid w:val="003731B7"/>
    <w:rsid w:val="00373ED0"/>
    <w:rsid w:val="00375475"/>
    <w:rsid w:val="003754BB"/>
    <w:rsid w:val="0037623E"/>
    <w:rsid w:val="00376792"/>
    <w:rsid w:val="003773B4"/>
    <w:rsid w:val="003774A2"/>
    <w:rsid w:val="00377E40"/>
    <w:rsid w:val="00380748"/>
    <w:rsid w:val="003816B2"/>
    <w:rsid w:val="00381B49"/>
    <w:rsid w:val="003820F5"/>
    <w:rsid w:val="003821FE"/>
    <w:rsid w:val="003829E5"/>
    <w:rsid w:val="00383280"/>
    <w:rsid w:val="00383FD8"/>
    <w:rsid w:val="00384534"/>
    <w:rsid w:val="00385CEE"/>
    <w:rsid w:val="0038627E"/>
    <w:rsid w:val="00386941"/>
    <w:rsid w:val="003874B2"/>
    <w:rsid w:val="00387E57"/>
    <w:rsid w:val="00390580"/>
    <w:rsid w:val="003905E3"/>
    <w:rsid w:val="0039079E"/>
    <w:rsid w:val="003907E3"/>
    <w:rsid w:val="00390C20"/>
    <w:rsid w:val="0039109D"/>
    <w:rsid w:val="003912A3"/>
    <w:rsid w:val="00392036"/>
    <w:rsid w:val="003923C9"/>
    <w:rsid w:val="00392436"/>
    <w:rsid w:val="00393366"/>
    <w:rsid w:val="00393826"/>
    <w:rsid w:val="00393A6B"/>
    <w:rsid w:val="00394AD2"/>
    <w:rsid w:val="00395B6D"/>
    <w:rsid w:val="00395D5C"/>
    <w:rsid w:val="00395E5D"/>
    <w:rsid w:val="0039735D"/>
    <w:rsid w:val="00397390"/>
    <w:rsid w:val="003976EC"/>
    <w:rsid w:val="0039777C"/>
    <w:rsid w:val="00397806"/>
    <w:rsid w:val="00397DAF"/>
    <w:rsid w:val="00397ECD"/>
    <w:rsid w:val="003A0601"/>
    <w:rsid w:val="003A08D2"/>
    <w:rsid w:val="003A09FE"/>
    <w:rsid w:val="003A1877"/>
    <w:rsid w:val="003A2388"/>
    <w:rsid w:val="003A3348"/>
    <w:rsid w:val="003A3C21"/>
    <w:rsid w:val="003A4287"/>
    <w:rsid w:val="003A46C5"/>
    <w:rsid w:val="003A4BCF"/>
    <w:rsid w:val="003A4C68"/>
    <w:rsid w:val="003A5274"/>
    <w:rsid w:val="003A53A2"/>
    <w:rsid w:val="003B0163"/>
    <w:rsid w:val="003B01F2"/>
    <w:rsid w:val="003B07BD"/>
    <w:rsid w:val="003B0AEA"/>
    <w:rsid w:val="003B1BE3"/>
    <w:rsid w:val="003B2C86"/>
    <w:rsid w:val="003B2CFD"/>
    <w:rsid w:val="003B2D54"/>
    <w:rsid w:val="003B3151"/>
    <w:rsid w:val="003B4D03"/>
    <w:rsid w:val="003B5285"/>
    <w:rsid w:val="003B6373"/>
    <w:rsid w:val="003B663C"/>
    <w:rsid w:val="003B6E5B"/>
    <w:rsid w:val="003B7038"/>
    <w:rsid w:val="003B71EB"/>
    <w:rsid w:val="003B7355"/>
    <w:rsid w:val="003B74E3"/>
    <w:rsid w:val="003C08B2"/>
    <w:rsid w:val="003C0B52"/>
    <w:rsid w:val="003C116A"/>
    <w:rsid w:val="003C2737"/>
    <w:rsid w:val="003C3113"/>
    <w:rsid w:val="003C31E3"/>
    <w:rsid w:val="003C41D4"/>
    <w:rsid w:val="003C4BB8"/>
    <w:rsid w:val="003C6540"/>
    <w:rsid w:val="003C6842"/>
    <w:rsid w:val="003D0320"/>
    <w:rsid w:val="003D15AE"/>
    <w:rsid w:val="003D1BB8"/>
    <w:rsid w:val="003D1DC4"/>
    <w:rsid w:val="003D20A5"/>
    <w:rsid w:val="003D2776"/>
    <w:rsid w:val="003D3DCD"/>
    <w:rsid w:val="003D4B1D"/>
    <w:rsid w:val="003D5A9B"/>
    <w:rsid w:val="003D7A26"/>
    <w:rsid w:val="003E0231"/>
    <w:rsid w:val="003E0524"/>
    <w:rsid w:val="003E0702"/>
    <w:rsid w:val="003E0D6F"/>
    <w:rsid w:val="003E107B"/>
    <w:rsid w:val="003E130B"/>
    <w:rsid w:val="003E169A"/>
    <w:rsid w:val="003E2459"/>
    <w:rsid w:val="003E2692"/>
    <w:rsid w:val="003E2B72"/>
    <w:rsid w:val="003E2B7A"/>
    <w:rsid w:val="003E2DD6"/>
    <w:rsid w:val="003E2F7D"/>
    <w:rsid w:val="003E354C"/>
    <w:rsid w:val="003E3E7B"/>
    <w:rsid w:val="003E45AB"/>
    <w:rsid w:val="003E4910"/>
    <w:rsid w:val="003E5B20"/>
    <w:rsid w:val="003E5B44"/>
    <w:rsid w:val="003E5E7A"/>
    <w:rsid w:val="003E60DC"/>
    <w:rsid w:val="003E6564"/>
    <w:rsid w:val="003E6608"/>
    <w:rsid w:val="003E6CC1"/>
    <w:rsid w:val="003E6D0C"/>
    <w:rsid w:val="003E6EF8"/>
    <w:rsid w:val="003E7089"/>
    <w:rsid w:val="003E7572"/>
    <w:rsid w:val="003E7895"/>
    <w:rsid w:val="003E7B12"/>
    <w:rsid w:val="003E7F88"/>
    <w:rsid w:val="003F0565"/>
    <w:rsid w:val="003F14F8"/>
    <w:rsid w:val="003F1BA2"/>
    <w:rsid w:val="003F2505"/>
    <w:rsid w:val="003F2F0D"/>
    <w:rsid w:val="003F5902"/>
    <w:rsid w:val="003F6FA4"/>
    <w:rsid w:val="003F7337"/>
    <w:rsid w:val="003F7D2A"/>
    <w:rsid w:val="00401990"/>
    <w:rsid w:val="0040273C"/>
    <w:rsid w:val="00403253"/>
    <w:rsid w:val="0040341A"/>
    <w:rsid w:val="004041EF"/>
    <w:rsid w:val="00404B91"/>
    <w:rsid w:val="00405246"/>
    <w:rsid w:val="004057D7"/>
    <w:rsid w:val="00406B98"/>
    <w:rsid w:val="00406CA8"/>
    <w:rsid w:val="00406F0B"/>
    <w:rsid w:val="004077C6"/>
    <w:rsid w:val="00411268"/>
    <w:rsid w:val="00411380"/>
    <w:rsid w:val="004117D5"/>
    <w:rsid w:val="0041193A"/>
    <w:rsid w:val="00412F05"/>
    <w:rsid w:val="00413639"/>
    <w:rsid w:val="00414A05"/>
    <w:rsid w:val="00414ABE"/>
    <w:rsid w:val="00414CB0"/>
    <w:rsid w:val="00414DA1"/>
    <w:rsid w:val="004157D4"/>
    <w:rsid w:val="004157EF"/>
    <w:rsid w:val="00415BD9"/>
    <w:rsid w:val="00415E08"/>
    <w:rsid w:val="0041660D"/>
    <w:rsid w:val="00416CDA"/>
    <w:rsid w:val="0041794D"/>
    <w:rsid w:val="00417BC7"/>
    <w:rsid w:val="0042188D"/>
    <w:rsid w:val="004224FB"/>
    <w:rsid w:val="004228A3"/>
    <w:rsid w:val="0042305F"/>
    <w:rsid w:val="004236AD"/>
    <w:rsid w:val="00423F36"/>
    <w:rsid w:val="00426EDF"/>
    <w:rsid w:val="00427C45"/>
    <w:rsid w:val="00430170"/>
    <w:rsid w:val="00430573"/>
    <w:rsid w:val="004311A1"/>
    <w:rsid w:val="0043229E"/>
    <w:rsid w:val="00432718"/>
    <w:rsid w:val="00432CBF"/>
    <w:rsid w:val="004333E7"/>
    <w:rsid w:val="00433A62"/>
    <w:rsid w:val="00433F1E"/>
    <w:rsid w:val="004341B3"/>
    <w:rsid w:val="004345AE"/>
    <w:rsid w:val="00434726"/>
    <w:rsid w:val="00434BAD"/>
    <w:rsid w:val="004351A1"/>
    <w:rsid w:val="0043581E"/>
    <w:rsid w:val="00436148"/>
    <w:rsid w:val="00437C0A"/>
    <w:rsid w:val="004401E4"/>
    <w:rsid w:val="004403E6"/>
    <w:rsid w:val="00440856"/>
    <w:rsid w:val="0044125E"/>
    <w:rsid w:val="00443550"/>
    <w:rsid w:val="00443EA2"/>
    <w:rsid w:val="004446E7"/>
    <w:rsid w:val="00444BEE"/>
    <w:rsid w:val="00444F95"/>
    <w:rsid w:val="0044500F"/>
    <w:rsid w:val="00445092"/>
    <w:rsid w:val="00445095"/>
    <w:rsid w:val="004460DD"/>
    <w:rsid w:val="00447036"/>
    <w:rsid w:val="00450EC1"/>
    <w:rsid w:val="004513F3"/>
    <w:rsid w:val="00452EB4"/>
    <w:rsid w:val="00453295"/>
    <w:rsid w:val="0045345F"/>
    <w:rsid w:val="00453512"/>
    <w:rsid w:val="004536A2"/>
    <w:rsid w:val="0045379F"/>
    <w:rsid w:val="004538DA"/>
    <w:rsid w:val="004538F6"/>
    <w:rsid w:val="004541D9"/>
    <w:rsid w:val="00455147"/>
    <w:rsid w:val="00456130"/>
    <w:rsid w:val="00457E53"/>
    <w:rsid w:val="00460345"/>
    <w:rsid w:val="004608A6"/>
    <w:rsid w:val="0046140C"/>
    <w:rsid w:val="004616F2"/>
    <w:rsid w:val="0046179F"/>
    <w:rsid w:val="00461B21"/>
    <w:rsid w:val="0046266F"/>
    <w:rsid w:val="004628B3"/>
    <w:rsid w:val="0046351E"/>
    <w:rsid w:val="004638A4"/>
    <w:rsid w:val="00463A06"/>
    <w:rsid w:val="00464BBC"/>
    <w:rsid w:val="00465E44"/>
    <w:rsid w:val="0046650C"/>
    <w:rsid w:val="00467833"/>
    <w:rsid w:val="00470430"/>
    <w:rsid w:val="00471195"/>
    <w:rsid w:val="00471340"/>
    <w:rsid w:val="00472FAA"/>
    <w:rsid w:val="00473127"/>
    <w:rsid w:val="004738E7"/>
    <w:rsid w:val="00474AA8"/>
    <w:rsid w:val="00474CB8"/>
    <w:rsid w:val="00475526"/>
    <w:rsid w:val="00476059"/>
    <w:rsid w:val="0047645F"/>
    <w:rsid w:val="004767B6"/>
    <w:rsid w:val="00476C2C"/>
    <w:rsid w:val="00477235"/>
    <w:rsid w:val="00477528"/>
    <w:rsid w:val="004779A7"/>
    <w:rsid w:val="00477F14"/>
    <w:rsid w:val="00480058"/>
    <w:rsid w:val="00480A66"/>
    <w:rsid w:val="00481C3B"/>
    <w:rsid w:val="0048221F"/>
    <w:rsid w:val="004830FD"/>
    <w:rsid w:val="00483BF5"/>
    <w:rsid w:val="00483D41"/>
    <w:rsid w:val="00483E34"/>
    <w:rsid w:val="004859FF"/>
    <w:rsid w:val="00486114"/>
    <w:rsid w:val="0048683A"/>
    <w:rsid w:val="0048765D"/>
    <w:rsid w:val="0048793B"/>
    <w:rsid w:val="00487959"/>
    <w:rsid w:val="0049066A"/>
    <w:rsid w:val="00490DEA"/>
    <w:rsid w:val="0049239D"/>
    <w:rsid w:val="004926A5"/>
    <w:rsid w:val="004937CC"/>
    <w:rsid w:val="004944E9"/>
    <w:rsid w:val="00495BCD"/>
    <w:rsid w:val="00496B52"/>
    <w:rsid w:val="00496ED9"/>
    <w:rsid w:val="004978B6"/>
    <w:rsid w:val="00497B5A"/>
    <w:rsid w:val="004A00FB"/>
    <w:rsid w:val="004A0D81"/>
    <w:rsid w:val="004A1F26"/>
    <w:rsid w:val="004A1FC9"/>
    <w:rsid w:val="004A266C"/>
    <w:rsid w:val="004A285A"/>
    <w:rsid w:val="004A293F"/>
    <w:rsid w:val="004A2EA9"/>
    <w:rsid w:val="004A2F7F"/>
    <w:rsid w:val="004A36C3"/>
    <w:rsid w:val="004A3B13"/>
    <w:rsid w:val="004A4038"/>
    <w:rsid w:val="004A42EE"/>
    <w:rsid w:val="004A4564"/>
    <w:rsid w:val="004A4B45"/>
    <w:rsid w:val="004A4EE4"/>
    <w:rsid w:val="004A582D"/>
    <w:rsid w:val="004A644F"/>
    <w:rsid w:val="004A7281"/>
    <w:rsid w:val="004A76B1"/>
    <w:rsid w:val="004A76E8"/>
    <w:rsid w:val="004B0361"/>
    <w:rsid w:val="004B0754"/>
    <w:rsid w:val="004B07EF"/>
    <w:rsid w:val="004B0C56"/>
    <w:rsid w:val="004B0F02"/>
    <w:rsid w:val="004B1046"/>
    <w:rsid w:val="004B1547"/>
    <w:rsid w:val="004B1AF2"/>
    <w:rsid w:val="004B1FF3"/>
    <w:rsid w:val="004B24AB"/>
    <w:rsid w:val="004B27E1"/>
    <w:rsid w:val="004B2A69"/>
    <w:rsid w:val="004B2AA5"/>
    <w:rsid w:val="004B2B1A"/>
    <w:rsid w:val="004B2FED"/>
    <w:rsid w:val="004B6113"/>
    <w:rsid w:val="004B66A6"/>
    <w:rsid w:val="004B6803"/>
    <w:rsid w:val="004B7625"/>
    <w:rsid w:val="004B7BB0"/>
    <w:rsid w:val="004C1379"/>
    <w:rsid w:val="004C192F"/>
    <w:rsid w:val="004C1F68"/>
    <w:rsid w:val="004C3178"/>
    <w:rsid w:val="004C405A"/>
    <w:rsid w:val="004C4D87"/>
    <w:rsid w:val="004C4F39"/>
    <w:rsid w:val="004C5C64"/>
    <w:rsid w:val="004C5DE7"/>
    <w:rsid w:val="004C613F"/>
    <w:rsid w:val="004C724C"/>
    <w:rsid w:val="004C7515"/>
    <w:rsid w:val="004C7755"/>
    <w:rsid w:val="004C7875"/>
    <w:rsid w:val="004D06E9"/>
    <w:rsid w:val="004D0788"/>
    <w:rsid w:val="004D08A8"/>
    <w:rsid w:val="004D1788"/>
    <w:rsid w:val="004D182A"/>
    <w:rsid w:val="004D2433"/>
    <w:rsid w:val="004D2453"/>
    <w:rsid w:val="004D2695"/>
    <w:rsid w:val="004D3F76"/>
    <w:rsid w:val="004D41D0"/>
    <w:rsid w:val="004D4321"/>
    <w:rsid w:val="004D4B20"/>
    <w:rsid w:val="004D4E0F"/>
    <w:rsid w:val="004D53B0"/>
    <w:rsid w:val="004D5605"/>
    <w:rsid w:val="004D5643"/>
    <w:rsid w:val="004D597A"/>
    <w:rsid w:val="004D5C97"/>
    <w:rsid w:val="004D688B"/>
    <w:rsid w:val="004D6F11"/>
    <w:rsid w:val="004D73F9"/>
    <w:rsid w:val="004D7B39"/>
    <w:rsid w:val="004D7C3C"/>
    <w:rsid w:val="004E1F34"/>
    <w:rsid w:val="004E288A"/>
    <w:rsid w:val="004E2B30"/>
    <w:rsid w:val="004E3C10"/>
    <w:rsid w:val="004E4899"/>
    <w:rsid w:val="004E4F30"/>
    <w:rsid w:val="004E553C"/>
    <w:rsid w:val="004E5652"/>
    <w:rsid w:val="004E7290"/>
    <w:rsid w:val="004E78E3"/>
    <w:rsid w:val="004E7D83"/>
    <w:rsid w:val="004F0C1F"/>
    <w:rsid w:val="004F1FE0"/>
    <w:rsid w:val="004F2100"/>
    <w:rsid w:val="004F24C8"/>
    <w:rsid w:val="004F269E"/>
    <w:rsid w:val="004F26AF"/>
    <w:rsid w:val="004F2BED"/>
    <w:rsid w:val="004F3257"/>
    <w:rsid w:val="004F3DE9"/>
    <w:rsid w:val="004F554E"/>
    <w:rsid w:val="004F55B8"/>
    <w:rsid w:val="004F55C6"/>
    <w:rsid w:val="004F5F91"/>
    <w:rsid w:val="004F684F"/>
    <w:rsid w:val="004F6976"/>
    <w:rsid w:val="004F6B65"/>
    <w:rsid w:val="004F6BBA"/>
    <w:rsid w:val="004F6C7F"/>
    <w:rsid w:val="004F7ED2"/>
    <w:rsid w:val="00500320"/>
    <w:rsid w:val="00500B1E"/>
    <w:rsid w:val="0050106C"/>
    <w:rsid w:val="005015EB"/>
    <w:rsid w:val="00501AAB"/>
    <w:rsid w:val="0050200D"/>
    <w:rsid w:val="005021A4"/>
    <w:rsid w:val="00502567"/>
    <w:rsid w:val="00502925"/>
    <w:rsid w:val="005029DD"/>
    <w:rsid w:val="00502D6D"/>
    <w:rsid w:val="00502E4E"/>
    <w:rsid w:val="005032A6"/>
    <w:rsid w:val="00503899"/>
    <w:rsid w:val="00503A63"/>
    <w:rsid w:val="00503EA6"/>
    <w:rsid w:val="00503FA3"/>
    <w:rsid w:val="00504418"/>
    <w:rsid w:val="00504A54"/>
    <w:rsid w:val="00504CA0"/>
    <w:rsid w:val="005056BF"/>
    <w:rsid w:val="00505726"/>
    <w:rsid w:val="00505A6A"/>
    <w:rsid w:val="005066DF"/>
    <w:rsid w:val="0050687A"/>
    <w:rsid w:val="0050718E"/>
    <w:rsid w:val="0051002C"/>
    <w:rsid w:val="005102DB"/>
    <w:rsid w:val="005104B4"/>
    <w:rsid w:val="00510A3A"/>
    <w:rsid w:val="00511039"/>
    <w:rsid w:val="005118F0"/>
    <w:rsid w:val="00512632"/>
    <w:rsid w:val="005155D7"/>
    <w:rsid w:val="00515665"/>
    <w:rsid w:val="00515AA5"/>
    <w:rsid w:val="0051661A"/>
    <w:rsid w:val="00516784"/>
    <w:rsid w:val="00516F0B"/>
    <w:rsid w:val="0051703C"/>
    <w:rsid w:val="00517151"/>
    <w:rsid w:val="0051741D"/>
    <w:rsid w:val="00517EE5"/>
    <w:rsid w:val="00520190"/>
    <w:rsid w:val="00520337"/>
    <w:rsid w:val="00520712"/>
    <w:rsid w:val="00521BC9"/>
    <w:rsid w:val="005228B2"/>
    <w:rsid w:val="00522D08"/>
    <w:rsid w:val="005235C5"/>
    <w:rsid w:val="00523C45"/>
    <w:rsid w:val="00523D29"/>
    <w:rsid w:val="005243AC"/>
    <w:rsid w:val="005245DA"/>
    <w:rsid w:val="005269CD"/>
    <w:rsid w:val="00527539"/>
    <w:rsid w:val="00527E4F"/>
    <w:rsid w:val="00530A4B"/>
    <w:rsid w:val="00530AE0"/>
    <w:rsid w:val="005317AE"/>
    <w:rsid w:val="00532215"/>
    <w:rsid w:val="00533430"/>
    <w:rsid w:val="00533C41"/>
    <w:rsid w:val="005346B5"/>
    <w:rsid w:val="0053530D"/>
    <w:rsid w:val="00536318"/>
    <w:rsid w:val="00536BD6"/>
    <w:rsid w:val="00536F24"/>
    <w:rsid w:val="00540426"/>
    <w:rsid w:val="005409A4"/>
    <w:rsid w:val="00541665"/>
    <w:rsid w:val="00541A4F"/>
    <w:rsid w:val="00541AF5"/>
    <w:rsid w:val="00541CFB"/>
    <w:rsid w:val="00541E40"/>
    <w:rsid w:val="005424D6"/>
    <w:rsid w:val="005424EA"/>
    <w:rsid w:val="0054291B"/>
    <w:rsid w:val="00542CA3"/>
    <w:rsid w:val="00544519"/>
    <w:rsid w:val="0054494F"/>
    <w:rsid w:val="00545169"/>
    <w:rsid w:val="00546148"/>
    <w:rsid w:val="005462CC"/>
    <w:rsid w:val="00546A4A"/>
    <w:rsid w:val="0054733E"/>
    <w:rsid w:val="00547A60"/>
    <w:rsid w:val="00547D2D"/>
    <w:rsid w:val="0055102A"/>
    <w:rsid w:val="00551358"/>
    <w:rsid w:val="00551A38"/>
    <w:rsid w:val="00551CC4"/>
    <w:rsid w:val="005537C6"/>
    <w:rsid w:val="00553BF4"/>
    <w:rsid w:val="00553FEF"/>
    <w:rsid w:val="0055410D"/>
    <w:rsid w:val="005545B0"/>
    <w:rsid w:val="00554FE4"/>
    <w:rsid w:val="005561E6"/>
    <w:rsid w:val="005574BC"/>
    <w:rsid w:val="005574CB"/>
    <w:rsid w:val="005577E8"/>
    <w:rsid w:val="005605FD"/>
    <w:rsid w:val="00561AC4"/>
    <w:rsid w:val="00561E4A"/>
    <w:rsid w:val="00563282"/>
    <w:rsid w:val="00563E92"/>
    <w:rsid w:val="00565CCC"/>
    <w:rsid w:val="005660AF"/>
    <w:rsid w:val="00566A0D"/>
    <w:rsid w:val="00566E7B"/>
    <w:rsid w:val="00571047"/>
    <w:rsid w:val="0057128A"/>
    <w:rsid w:val="005727DB"/>
    <w:rsid w:val="00572A0E"/>
    <w:rsid w:val="00573D35"/>
    <w:rsid w:val="00574FBC"/>
    <w:rsid w:val="005759D0"/>
    <w:rsid w:val="00576397"/>
    <w:rsid w:val="00576A14"/>
    <w:rsid w:val="0058203A"/>
    <w:rsid w:val="005826BA"/>
    <w:rsid w:val="00582E58"/>
    <w:rsid w:val="0058364C"/>
    <w:rsid w:val="0058553F"/>
    <w:rsid w:val="00586CB9"/>
    <w:rsid w:val="0058766D"/>
    <w:rsid w:val="0059041F"/>
    <w:rsid w:val="00590D60"/>
    <w:rsid w:val="005914DF"/>
    <w:rsid w:val="00591C51"/>
    <w:rsid w:val="00592723"/>
    <w:rsid w:val="005927AB"/>
    <w:rsid w:val="005927B2"/>
    <w:rsid w:val="00592878"/>
    <w:rsid w:val="00592BD7"/>
    <w:rsid w:val="0059326F"/>
    <w:rsid w:val="00593A6F"/>
    <w:rsid w:val="00593FA4"/>
    <w:rsid w:val="00594053"/>
    <w:rsid w:val="005943F9"/>
    <w:rsid w:val="00594F84"/>
    <w:rsid w:val="0059553D"/>
    <w:rsid w:val="0059603D"/>
    <w:rsid w:val="00596345"/>
    <w:rsid w:val="005965EC"/>
    <w:rsid w:val="0059786E"/>
    <w:rsid w:val="005A0901"/>
    <w:rsid w:val="005A1045"/>
    <w:rsid w:val="005A18E4"/>
    <w:rsid w:val="005A2B79"/>
    <w:rsid w:val="005A34D6"/>
    <w:rsid w:val="005A36D3"/>
    <w:rsid w:val="005A3B6F"/>
    <w:rsid w:val="005A42AF"/>
    <w:rsid w:val="005A47AF"/>
    <w:rsid w:val="005A5012"/>
    <w:rsid w:val="005A5406"/>
    <w:rsid w:val="005A5831"/>
    <w:rsid w:val="005A6073"/>
    <w:rsid w:val="005A6AC3"/>
    <w:rsid w:val="005A7860"/>
    <w:rsid w:val="005A7869"/>
    <w:rsid w:val="005A78B6"/>
    <w:rsid w:val="005A7BEE"/>
    <w:rsid w:val="005B0403"/>
    <w:rsid w:val="005B0FF8"/>
    <w:rsid w:val="005B106B"/>
    <w:rsid w:val="005B2C61"/>
    <w:rsid w:val="005B2DED"/>
    <w:rsid w:val="005B2EEE"/>
    <w:rsid w:val="005B3768"/>
    <w:rsid w:val="005B4079"/>
    <w:rsid w:val="005B463B"/>
    <w:rsid w:val="005B5B61"/>
    <w:rsid w:val="005B5E81"/>
    <w:rsid w:val="005B6059"/>
    <w:rsid w:val="005B671F"/>
    <w:rsid w:val="005B718B"/>
    <w:rsid w:val="005B7965"/>
    <w:rsid w:val="005C1103"/>
    <w:rsid w:val="005C27CC"/>
    <w:rsid w:val="005C2D10"/>
    <w:rsid w:val="005C37DD"/>
    <w:rsid w:val="005C3820"/>
    <w:rsid w:val="005C4822"/>
    <w:rsid w:val="005C5076"/>
    <w:rsid w:val="005C6A30"/>
    <w:rsid w:val="005C71C4"/>
    <w:rsid w:val="005C7E41"/>
    <w:rsid w:val="005C7E68"/>
    <w:rsid w:val="005D024F"/>
    <w:rsid w:val="005D054C"/>
    <w:rsid w:val="005D16B9"/>
    <w:rsid w:val="005D1811"/>
    <w:rsid w:val="005D234C"/>
    <w:rsid w:val="005D2AA5"/>
    <w:rsid w:val="005D3467"/>
    <w:rsid w:val="005D497B"/>
    <w:rsid w:val="005D5996"/>
    <w:rsid w:val="005D719C"/>
    <w:rsid w:val="005D7994"/>
    <w:rsid w:val="005E15D1"/>
    <w:rsid w:val="005E1B82"/>
    <w:rsid w:val="005E216F"/>
    <w:rsid w:val="005E26DA"/>
    <w:rsid w:val="005E2AD1"/>
    <w:rsid w:val="005E2C1E"/>
    <w:rsid w:val="005E2FA2"/>
    <w:rsid w:val="005E36B9"/>
    <w:rsid w:val="005E385B"/>
    <w:rsid w:val="005E5A8D"/>
    <w:rsid w:val="005E5CA7"/>
    <w:rsid w:val="005E62FB"/>
    <w:rsid w:val="005E6911"/>
    <w:rsid w:val="005E6E5C"/>
    <w:rsid w:val="005E72CB"/>
    <w:rsid w:val="005E7DDA"/>
    <w:rsid w:val="005E7EFA"/>
    <w:rsid w:val="005F04FB"/>
    <w:rsid w:val="005F0620"/>
    <w:rsid w:val="005F0781"/>
    <w:rsid w:val="005F08A1"/>
    <w:rsid w:val="005F0E88"/>
    <w:rsid w:val="005F1979"/>
    <w:rsid w:val="005F258B"/>
    <w:rsid w:val="005F2657"/>
    <w:rsid w:val="005F2C39"/>
    <w:rsid w:val="005F2DD1"/>
    <w:rsid w:val="005F2F89"/>
    <w:rsid w:val="005F3629"/>
    <w:rsid w:val="005F50B7"/>
    <w:rsid w:val="005F51B6"/>
    <w:rsid w:val="005F539C"/>
    <w:rsid w:val="005F5A1B"/>
    <w:rsid w:val="005F69BB"/>
    <w:rsid w:val="005F7D20"/>
    <w:rsid w:val="006004D9"/>
    <w:rsid w:val="0060065E"/>
    <w:rsid w:val="006015E7"/>
    <w:rsid w:val="0060344D"/>
    <w:rsid w:val="006034F7"/>
    <w:rsid w:val="006045CE"/>
    <w:rsid w:val="006059E8"/>
    <w:rsid w:val="00607B72"/>
    <w:rsid w:val="00610AF9"/>
    <w:rsid w:val="0061113F"/>
    <w:rsid w:val="00611EF3"/>
    <w:rsid w:val="0061270B"/>
    <w:rsid w:val="0061278B"/>
    <w:rsid w:val="006131D7"/>
    <w:rsid w:val="00615945"/>
    <w:rsid w:val="00615BED"/>
    <w:rsid w:val="00616370"/>
    <w:rsid w:val="006164CC"/>
    <w:rsid w:val="00616BDD"/>
    <w:rsid w:val="00616E99"/>
    <w:rsid w:val="00617252"/>
    <w:rsid w:val="00617262"/>
    <w:rsid w:val="0062035D"/>
    <w:rsid w:val="006204B3"/>
    <w:rsid w:val="00621158"/>
    <w:rsid w:val="00621CA2"/>
    <w:rsid w:val="00621E5E"/>
    <w:rsid w:val="00621F56"/>
    <w:rsid w:val="00623C94"/>
    <w:rsid w:val="006241CD"/>
    <w:rsid w:val="00624248"/>
    <w:rsid w:val="00624751"/>
    <w:rsid w:val="00624F7A"/>
    <w:rsid w:val="00626581"/>
    <w:rsid w:val="00626588"/>
    <w:rsid w:val="00626FEC"/>
    <w:rsid w:val="006324CD"/>
    <w:rsid w:val="00632529"/>
    <w:rsid w:val="00632D51"/>
    <w:rsid w:val="00632F33"/>
    <w:rsid w:val="00632FEF"/>
    <w:rsid w:val="006331A7"/>
    <w:rsid w:val="0063372F"/>
    <w:rsid w:val="00633C44"/>
    <w:rsid w:val="006340ED"/>
    <w:rsid w:val="006347E4"/>
    <w:rsid w:val="006348DE"/>
    <w:rsid w:val="00636FB3"/>
    <w:rsid w:val="00637E9B"/>
    <w:rsid w:val="0064164C"/>
    <w:rsid w:val="00641B02"/>
    <w:rsid w:val="00641DF5"/>
    <w:rsid w:val="006425BF"/>
    <w:rsid w:val="00642A6E"/>
    <w:rsid w:val="00643596"/>
    <w:rsid w:val="0064472D"/>
    <w:rsid w:val="00644774"/>
    <w:rsid w:val="0064482F"/>
    <w:rsid w:val="00645270"/>
    <w:rsid w:val="00645304"/>
    <w:rsid w:val="00645D60"/>
    <w:rsid w:val="00645E37"/>
    <w:rsid w:val="00646619"/>
    <w:rsid w:val="00646BDD"/>
    <w:rsid w:val="0064718C"/>
    <w:rsid w:val="006474A8"/>
    <w:rsid w:val="006478B8"/>
    <w:rsid w:val="00647F56"/>
    <w:rsid w:val="0065013B"/>
    <w:rsid w:val="006503AF"/>
    <w:rsid w:val="00651497"/>
    <w:rsid w:val="00651842"/>
    <w:rsid w:val="00651E25"/>
    <w:rsid w:val="00652551"/>
    <w:rsid w:val="00652688"/>
    <w:rsid w:val="00652B76"/>
    <w:rsid w:val="00653164"/>
    <w:rsid w:val="006557BF"/>
    <w:rsid w:val="00656B19"/>
    <w:rsid w:val="00656B6D"/>
    <w:rsid w:val="00656D0C"/>
    <w:rsid w:val="00656DD9"/>
    <w:rsid w:val="00657080"/>
    <w:rsid w:val="00657700"/>
    <w:rsid w:val="00657D1E"/>
    <w:rsid w:val="00661CE3"/>
    <w:rsid w:val="0066222A"/>
    <w:rsid w:val="0066246F"/>
    <w:rsid w:val="006629F9"/>
    <w:rsid w:val="00663249"/>
    <w:rsid w:val="0066361D"/>
    <w:rsid w:val="00663F46"/>
    <w:rsid w:val="00664227"/>
    <w:rsid w:val="006645D4"/>
    <w:rsid w:val="00666404"/>
    <w:rsid w:val="00666A4C"/>
    <w:rsid w:val="006675BD"/>
    <w:rsid w:val="006700EA"/>
    <w:rsid w:val="00670861"/>
    <w:rsid w:val="00670E07"/>
    <w:rsid w:val="00671555"/>
    <w:rsid w:val="00671F3A"/>
    <w:rsid w:val="006724B1"/>
    <w:rsid w:val="006724E9"/>
    <w:rsid w:val="00672536"/>
    <w:rsid w:val="00673E57"/>
    <w:rsid w:val="00674018"/>
    <w:rsid w:val="0067463A"/>
    <w:rsid w:val="006747E0"/>
    <w:rsid w:val="00674CB8"/>
    <w:rsid w:val="00677D00"/>
    <w:rsid w:val="00677E8A"/>
    <w:rsid w:val="00680930"/>
    <w:rsid w:val="00680E42"/>
    <w:rsid w:val="00681142"/>
    <w:rsid w:val="00681C41"/>
    <w:rsid w:val="00681E32"/>
    <w:rsid w:val="006822F2"/>
    <w:rsid w:val="00682478"/>
    <w:rsid w:val="00682739"/>
    <w:rsid w:val="006831FB"/>
    <w:rsid w:val="006837D7"/>
    <w:rsid w:val="00683C05"/>
    <w:rsid w:val="0068405B"/>
    <w:rsid w:val="006849E9"/>
    <w:rsid w:val="0068575F"/>
    <w:rsid w:val="0068592A"/>
    <w:rsid w:val="006859E7"/>
    <w:rsid w:val="006866C8"/>
    <w:rsid w:val="00686CB5"/>
    <w:rsid w:val="00687314"/>
    <w:rsid w:val="0068742D"/>
    <w:rsid w:val="00687695"/>
    <w:rsid w:val="00690484"/>
    <w:rsid w:val="00690764"/>
    <w:rsid w:val="00690B04"/>
    <w:rsid w:val="00690D45"/>
    <w:rsid w:val="00690D5F"/>
    <w:rsid w:val="0069124E"/>
    <w:rsid w:val="0069334D"/>
    <w:rsid w:val="006944B7"/>
    <w:rsid w:val="00694A6D"/>
    <w:rsid w:val="006953E8"/>
    <w:rsid w:val="006956B6"/>
    <w:rsid w:val="00696656"/>
    <w:rsid w:val="00696AD2"/>
    <w:rsid w:val="006A005B"/>
    <w:rsid w:val="006A0FF6"/>
    <w:rsid w:val="006A1576"/>
    <w:rsid w:val="006A214B"/>
    <w:rsid w:val="006A22DA"/>
    <w:rsid w:val="006A31E6"/>
    <w:rsid w:val="006A3361"/>
    <w:rsid w:val="006A504D"/>
    <w:rsid w:val="006A5C64"/>
    <w:rsid w:val="006A5DA2"/>
    <w:rsid w:val="006A5E8E"/>
    <w:rsid w:val="006A648A"/>
    <w:rsid w:val="006B13C8"/>
    <w:rsid w:val="006B1451"/>
    <w:rsid w:val="006B16CD"/>
    <w:rsid w:val="006B21BF"/>
    <w:rsid w:val="006B25D9"/>
    <w:rsid w:val="006B294D"/>
    <w:rsid w:val="006B2A39"/>
    <w:rsid w:val="006B2CB9"/>
    <w:rsid w:val="006B2E3E"/>
    <w:rsid w:val="006B30A6"/>
    <w:rsid w:val="006B3C5B"/>
    <w:rsid w:val="006B5419"/>
    <w:rsid w:val="006B566D"/>
    <w:rsid w:val="006B620F"/>
    <w:rsid w:val="006B6364"/>
    <w:rsid w:val="006B66F6"/>
    <w:rsid w:val="006B77A3"/>
    <w:rsid w:val="006B7C14"/>
    <w:rsid w:val="006B7DA0"/>
    <w:rsid w:val="006B7F0B"/>
    <w:rsid w:val="006C0319"/>
    <w:rsid w:val="006C0C8E"/>
    <w:rsid w:val="006C0EAF"/>
    <w:rsid w:val="006C1402"/>
    <w:rsid w:val="006C15D0"/>
    <w:rsid w:val="006C1B2D"/>
    <w:rsid w:val="006C1D11"/>
    <w:rsid w:val="006C1F4E"/>
    <w:rsid w:val="006C2014"/>
    <w:rsid w:val="006C20ED"/>
    <w:rsid w:val="006C2774"/>
    <w:rsid w:val="006C28D0"/>
    <w:rsid w:val="006C3DE7"/>
    <w:rsid w:val="006C46C7"/>
    <w:rsid w:val="006C5109"/>
    <w:rsid w:val="006C511F"/>
    <w:rsid w:val="006C7094"/>
    <w:rsid w:val="006C792F"/>
    <w:rsid w:val="006C7BCC"/>
    <w:rsid w:val="006D1A17"/>
    <w:rsid w:val="006D25D7"/>
    <w:rsid w:val="006D3B63"/>
    <w:rsid w:val="006D437C"/>
    <w:rsid w:val="006D45F6"/>
    <w:rsid w:val="006D4D4F"/>
    <w:rsid w:val="006D5B08"/>
    <w:rsid w:val="006D5CC4"/>
    <w:rsid w:val="006D63EC"/>
    <w:rsid w:val="006E1031"/>
    <w:rsid w:val="006E17F9"/>
    <w:rsid w:val="006E24C0"/>
    <w:rsid w:val="006E2619"/>
    <w:rsid w:val="006E28B0"/>
    <w:rsid w:val="006E2E8B"/>
    <w:rsid w:val="006E31F0"/>
    <w:rsid w:val="006E3F55"/>
    <w:rsid w:val="006E45BB"/>
    <w:rsid w:val="006E4724"/>
    <w:rsid w:val="006E5F02"/>
    <w:rsid w:val="006E5FE3"/>
    <w:rsid w:val="006E683A"/>
    <w:rsid w:val="006E6956"/>
    <w:rsid w:val="006F0220"/>
    <w:rsid w:val="006F02C7"/>
    <w:rsid w:val="006F10A0"/>
    <w:rsid w:val="006F13A2"/>
    <w:rsid w:val="006F15DA"/>
    <w:rsid w:val="006F1ACD"/>
    <w:rsid w:val="006F3201"/>
    <w:rsid w:val="006F35DD"/>
    <w:rsid w:val="006F3C22"/>
    <w:rsid w:val="006F4003"/>
    <w:rsid w:val="006F445A"/>
    <w:rsid w:val="006F5C28"/>
    <w:rsid w:val="006F62C4"/>
    <w:rsid w:val="006F652D"/>
    <w:rsid w:val="006F7A9A"/>
    <w:rsid w:val="0070090C"/>
    <w:rsid w:val="00700FFA"/>
    <w:rsid w:val="00702256"/>
    <w:rsid w:val="00702A8A"/>
    <w:rsid w:val="00705008"/>
    <w:rsid w:val="00705B69"/>
    <w:rsid w:val="00706824"/>
    <w:rsid w:val="007069B2"/>
    <w:rsid w:val="00710B38"/>
    <w:rsid w:val="00710DDF"/>
    <w:rsid w:val="00712176"/>
    <w:rsid w:val="00712196"/>
    <w:rsid w:val="00713C8E"/>
    <w:rsid w:val="007140C7"/>
    <w:rsid w:val="0071419B"/>
    <w:rsid w:val="00714AFB"/>
    <w:rsid w:val="00714DD6"/>
    <w:rsid w:val="00714EF4"/>
    <w:rsid w:val="007150E3"/>
    <w:rsid w:val="00715509"/>
    <w:rsid w:val="00715D3B"/>
    <w:rsid w:val="0071688A"/>
    <w:rsid w:val="00717367"/>
    <w:rsid w:val="0071749B"/>
    <w:rsid w:val="00717D07"/>
    <w:rsid w:val="007204E9"/>
    <w:rsid w:val="00720905"/>
    <w:rsid w:val="0072095A"/>
    <w:rsid w:val="00722E6D"/>
    <w:rsid w:val="00722E9D"/>
    <w:rsid w:val="00723166"/>
    <w:rsid w:val="007231B3"/>
    <w:rsid w:val="00723204"/>
    <w:rsid w:val="007238A2"/>
    <w:rsid w:val="0072402C"/>
    <w:rsid w:val="007241AD"/>
    <w:rsid w:val="00724281"/>
    <w:rsid w:val="0072520D"/>
    <w:rsid w:val="00725374"/>
    <w:rsid w:val="0072588E"/>
    <w:rsid w:val="00725C20"/>
    <w:rsid w:val="00726588"/>
    <w:rsid w:val="00726B10"/>
    <w:rsid w:val="00726D30"/>
    <w:rsid w:val="00726EDF"/>
    <w:rsid w:val="00727A91"/>
    <w:rsid w:val="00727B44"/>
    <w:rsid w:val="00730162"/>
    <w:rsid w:val="0073020A"/>
    <w:rsid w:val="007309D5"/>
    <w:rsid w:val="00731235"/>
    <w:rsid w:val="007322A6"/>
    <w:rsid w:val="00732333"/>
    <w:rsid w:val="007333C7"/>
    <w:rsid w:val="007336E7"/>
    <w:rsid w:val="007337D2"/>
    <w:rsid w:val="00733843"/>
    <w:rsid w:val="00734D47"/>
    <w:rsid w:val="00734EC1"/>
    <w:rsid w:val="00735E97"/>
    <w:rsid w:val="00736398"/>
    <w:rsid w:val="00736FC3"/>
    <w:rsid w:val="00737085"/>
    <w:rsid w:val="00737663"/>
    <w:rsid w:val="0073778F"/>
    <w:rsid w:val="00737872"/>
    <w:rsid w:val="0073790D"/>
    <w:rsid w:val="00737B98"/>
    <w:rsid w:val="00737FCD"/>
    <w:rsid w:val="00740206"/>
    <w:rsid w:val="00741926"/>
    <w:rsid w:val="00741A3C"/>
    <w:rsid w:val="00741A75"/>
    <w:rsid w:val="00742056"/>
    <w:rsid w:val="00742F43"/>
    <w:rsid w:val="0074350A"/>
    <w:rsid w:val="00743891"/>
    <w:rsid w:val="00743CA5"/>
    <w:rsid w:val="00744575"/>
    <w:rsid w:val="007447AB"/>
    <w:rsid w:val="00744D09"/>
    <w:rsid w:val="007450F9"/>
    <w:rsid w:val="0074520D"/>
    <w:rsid w:val="00745F00"/>
    <w:rsid w:val="00746045"/>
    <w:rsid w:val="007463B6"/>
    <w:rsid w:val="0074736B"/>
    <w:rsid w:val="007475EB"/>
    <w:rsid w:val="00747667"/>
    <w:rsid w:val="00747B23"/>
    <w:rsid w:val="0075120D"/>
    <w:rsid w:val="00751453"/>
    <w:rsid w:val="00751AFD"/>
    <w:rsid w:val="00751CEF"/>
    <w:rsid w:val="007525C0"/>
    <w:rsid w:val="00753169"/>
    <w:rsid w:val="00753DBE"/>
    <w:rsid w:val="00754665"/>
    <w:rsid w:val="00754A53"/>
    <w:rsid w:val="007553E5"/>
    <w:rsid w:val="00755452"/>
    <w:rsid w:val="00755B3A"/>
    <w:rsid w:val="00755D8F"/>
    <w:rsid w:val="00756B1A"/>
    <w:rsid w:val="00757111"/>
    <w:rsid w:val="00757E39"/>
    <w:rsid w:val="00757F5E"/>
    <w:rsid w:val="007602E8"/>
    <w:rsid w:val="00760941"/>
    <w:rsid w:val="007612D2"/>
    <w:rsid w:val="00761606"/>
    <w:rsid w:val="007618A8"/>
    <w:rsid w:val="0076212D"/>
    <w:rsid w:val="00762634"/>
    <w:rsid w:val="00762813"/>
    <w:rsid w:val="00762C89"/>
    <w:rsid w:val="00762DAF"/>
    <w:rsid w:val="007639B4"/>
    <w:rsid w:val="00763B79"/>
    <w:rsid w:val="00763FB0"/>
    <w:rsid w:val="0076403A"/>
    <w:rsid w:val="00764E80"/>
    <w:rsid w:val="007666A5"/>
    <w:rsid w:val="00766C82"/>
    <w:rsid w:val="00766FFF"/>
    <w:rsid w:val="007674C3"/>
    <w:rsid w:val="007704B9"/>
    <w:rsid w:val="00770890"/>
    <w:rsid w:val="0077103F"/>
    <w:rsid w:val="0077222A"/>
    <w:rsid w:val="0077234F"/>
    <w:rsid w:val="007723B9"/>
    <w:rsid w:val="00772869"/>
    <w:rsid w:val="00773425"/>
    <w:rsid w:val="007736C3"/>
    <w:rsid w:val="00773E79"/>
    <w:rsid w:val="007746EC"/>
    <w:rsid w:val="00775012"/>
    <w:rsid w:val="00775FB5"/>
    <w:rsid w:val="00776C96"/>
    <w:rsid w:val="007778D1"/>
    <w:rsid w:val="00780360"/>
    <w:rsid w:val="00780CCF"/>
    <w:rsid w:val="00782272"/>
    <w:rsid w:val="00782762"/>
    <w:rsid w:val="00782F70"/>
    <w:rsid w:val="0078349C"/>
    <w:rsid w:val="007839CA"/>
    <w:rsid w:val="00783A16"/>
    <w:rsid w:val="00783E4F"/>
    <w:rsid w:val="00784E46"/>
    <w:rsid w:val="0078527C"/>
    <w:rsid w:val="00786190"/>
    <w:rsid w:val="0078631D"/>
    <w:rsid w:val="00786377"/>
    <w:rsid w:val="007870C7"/>
    <w:rsid w:val="00787301"/>
    <w:rsid w:val="0078748F"/>
    <w:rsid w:val="00787645"/>
    <w:rsid w:val="007879FE"/>
    <w:rsid w:val="00787F09"/>
    <w:rsid w:val="00790ACD"/>
    <w:rsid w:val="0079178C"/>
    <w:rsid w:val="00791EC9"/>
    <w:rsid w:val="00792404"/>
    <w:rsid w:val="00792428"/>
    <w:rsid w:val="0079337B"/>
    <w:rsid w:val="00796AC8"/>
    <w:rsid w:val="00797F80"/>
    <w:rsid w:val="007A038F"/>
    <w:rsid w:val="007A074D"/>
    <w:rsid w:val="007A1189"/>
    <w:rsid w:val="007A13A5"/>
    <w:rsid w:val="007A1F55"/>
    <w:rsid w:val="007A26F2"/>
    <w:rsid w:val="007A2899"/>
    <w:rsid w:val="007A2A75"/>
    <w:rsid w:val="007A2F4A"/>
    <w:rsid w:val="007A2FE3"/>
    <w:rsid w:val="007A3647"/>
    <w:rsid w:val="007A36A9"/>
    <w:rsid w:val="007A3BB5"/>
    <w:rsid w:val="007A3C97"/>
    <w:rsid w:val="007A3FC6"/>
    <w:rsid w:val="007A494C"/>
    <w:rsid w:val="007A4B8A"/>
    <w:rsid w:val="007A57FA"/>
    <w:rsid w:val="007A61BE"/>
    <w:rsid w:val="007A6B4F"/>
    <w:rsid w:val="007A6BD4"/>
    <w:rsid w:val="007A75F9"/>
    <w:rsid w:val="007A7C1E"/>
    <w:rsid w:val="007B07A1"/>
    <w:rsid w:val="007B1365"/>
    <w:rsid w:val="007B1533"/>
    <w:rsid w:val="007B2367"/>
    <w:rsid w:val="007B3685"/>
    <w:rsid w:val="007B4403"/>
    <w:rsid w:val="007B5F15"/>
    <w:rsid w:val="007B60F1"/>
    <w:rsid w:val="007B6F97"/>
    <w:rsid w:val="007B74A4"/>
    <w:rsid w:val="007C03C5"/>
    <w:rsid w:val="007C0B2F"/>
    <w:rsid w:val="007C1489"/>
    <w:rsid w:val="007C1661"/>
    <w:rsid w:val="007C196A"/>
    <w:rsid w:val="007C1E5B"/>
    <w:rsid w:val="007C27AE"/>
    <w:rsid w:val="007C29A8"/>
    <w:rsid w:val="007C2B44"/>
    <w:rsid w:val="007C2DDF"/>
    <w:rsid w:val="007C2FF4"/>
    <w:rsid w:val="007C3917"/>
    <w:rsid w:val="007C4236"/>
    <w:rsid w:val="007C5D65"/>
    <w:rsid w:val="007C675E"/>
    <w:rsid w:val="007C7684"/>
    <w:rsid w:val="007C7CA7"/>
    <w:rsid w:val="007D1302"/>
    <w:rsid w:val="007D157F"/>
    <w:rsid w:val="007D2160"/>
    <w:rsid w:val="007D26E5"/>
    <w:rsid w:val="007D27F2"/>
    <w:rsid w:val="007D41B2"/>
    <w:rsid w:val="007D48A5"/>
    <w:rsid w:val="007D4C31"/>
    <w:rsid w:val="007D50EC"/>
    <w:rsid w:val="007D55FD"/>
    <w:rsid w:val="007D5A00"/>
    <w:rsid w:val="007D632E"/>
    <w:rsid w:val="007D7FD8"/>
    <w:rsid w:val="007D7FE6"/>
    <w:rsid w:val="007E0340"/>
    <w:rsid w:val="007E03B4"/>
    <w:rsid w:val="007E0D6D"/>
    <w:rsid w:val="007E103F"/>
    <w:rsid w:val="007E2FEF"/>
    <w:rsid w:val="007E3038"/>
    <w:rsid w:val="007E5307"/>
    <w:rsid w:val="007E53A4"/>
    <w:rsid w:val="007E55C3"/>
    <w:rsid w:val="007E59CC"/>
    <w:rsid w:val="007E5B81"/>
    <w:rsid w:val="007E61C0"/>
    <w:rsid w:val="007E67A0"/>
    <w:rsid w:val="007E6E03"/>
    <w:rsid w:val="007E6E73"/>
    <w:rsid w:val="007E7667"/>
    <w:rsid w:val="007E7762"/>
    <w:rsid w:val="007F0D33"/>
    <w:rsid w:val="007F1080"/>
    <w:rsid w:val="007F1457"/>
    <w:rsid w:val="007F145C"/>
    <w:rsid w:val="007F19BB"/>
    <w:rsid w:val="007F1E74"/>
    <w:rsid w:val="007F23AD"/>
    <w:rsid w:val="007F285C"/>
    <w:rsid w:val="007F3594"/>
    <w:rsid w:val="007F3CF5"/>
    <w:rsid w:val="007F5519"/>
    <w:rsid w:val="007F7CB1"/>
    <w:rsid w:val="007F7EF2"/>
    <w:rsid w:val="008006E8"/>
    <w:rsid w:val="00800ACE"/>
    <w:rsid w:val="00801706"/>
    <w:rsid w:val="00802089"/>
    <w:rsid w:val="008022D1"/>
    <w:rsid w:val="00802540"/>
    <w:rsid w:val="008032D5"/>
    <w:rsid w:val="00803CEA"/>
    <w:rsid w:val="0080486C"/>
    <w:rsid w:val="00805A1B"/>
    <w:rsid w:val="00805B79"/>
    <w:rsid w:val="0080644F"/>
    <w:rsid w:val="0080661B"/>
    <w:rsid w:val="008069D7"/>
    <w:rsid w:val="00806AE1"/>
    <w:rsid w:val="00810545"/>
    <w:rsid w:val="00810B33"/>
    <w:rsid w:val="00811004"/>
    <w:rsid w:val="0081249A"/>
    <w:rsid w:val="0081260B"/>
    <w:rsid w:val="00812865"/>
    <w:rsid w:val="00813B24"/>
    <w:rsid w:val="00814363"/>
    <w:rsid w:val="00814FA3"/>
    <w:rsid w:val="00815927"/>
    <w:rsid w:val="0081644C"/>
    <w:rsid w:val="00817E42"/>
    <w:rsid w:val="00817F46"/>
    <w:rsid w:val="0082116B"/>
    <w:rsid w:val="00821923"/>
    <w:rsid w:val="00821BA7"/>
    <w:rsid w:val="008235AD"/>
    <w:rsid w:val="00823F99"/>
    <w:rsid w:val="00824B77"/>
    <w:rsid w:val="00824EE4"/>
    <w:rsid w:val="008260DC"/>
    <w:rsid w:val="008305BE"/>
    <w:rsid w:val="0083097E"/>
    <w:rsid w:val="00831227"/>
    <w:rsid w:val="00831284"/>
    <w:rsid w:val="008317D9"/>
    <w:rsid w:val="00831968"/>
    <w:rsid w:val="00831C1F"/>
    <w:rsid w:val="00831C6C"/>
    <w:rsid w:val="00832ADB"/>
    <w:rsid w:val="008334B9"/>
    <w:rsid w:val="008339FA"/>
    <w:rsid w:val="00833CE7"/>
    <w:rsid w:val="00834F56"/>
    <w:rsid w:val="00835076"/>
    <w:rsid w:val="00835BB3"/>
    <w:rsid w:val="00835BF7"/>
    <w:rsid w:val="008362E0"/>
    <w:rsid w:val="008366C7"/>
    <w:rsid w:val="00836714"/>
    <w:rsid w:val="0084030F"/>
    <w:rsid w:val="00840471"/>
    <w:rsid w:val="00842842"/>
    <w:rsid w:val="00842E39"/>
    <w:rsid w:val="0084335C"/>
    <w:rsid w:val="008434B3"/>
    <w:rsid w:val="00843DC1"/>
    <w:rsid w:val="00843E29"/>
    <w:rsid w:val="008442E3"/>
    <w:rsid w:val="00846D14"/>
    <w:rsid w:val="00846EB1"/>
    <w:rsid w:val="008478F7"/>
    <w:rsid w:val="00847A07"/>
    <w:rsid w:val="00850AEA"/>
    <w:rsid w:val="0085138D"/>
    <w:rsid w:val="00852932"/>
    <w:rsid w:val="00852D41"/>
    <w:rsid w:val="00855871"/>
    <w:rsid w:val="00855B01"/>
    <w:rsid w:val="00855CE7"/>
    <w:rsid w:val="008560A9"/>
    <w:rsid w:val="0085643E"/>
    <w:rsid w:val="0085793D"/>
    <w:rsid w:val="00860374"/>
    <w:rsid w:val="0086077B"/>
    <w:rsid w:val="0086126D"/>
    <w:rsid w:val="00861730"/>
    <w:rsid w:val="00862835"/>
    <w:rsid w:val="00863019"/>
    <w:rsid w:val="00863FCF"/>
    <w:rsid w:val="00864C5C"/>
    <w:rsid w:val="00865483"/>
    <w:rsid w:val="00865523"/>
    <w:rsid w:val="00865546"/>
    <w:rsid w:val="00865691"/>
    <w:rsid w:val="00865AC5"/>
    <w:rsid w:val="00866976"/>
    <w:rsid w:val="00867063"/>
    <w:rsid w:val="00867EEB"/>
    <w:rsid w:val="00867F43"/>
    <w:rsid w:val="0087094E"/>
    <w:rsid w:val="00870B33"/>
    <w:rsid w:val="00871DB6"/>
    <w:rsid w:val="00875988"/>
    <w:rsid w:val="00875A10"/>
    <w:rsid w:val="00875DB7"/>
    <w:rsid w:val="008767A6"/>
    <w:rsid w:val="008769EF"/>
    <w:rsid w:val="008777F7"/>
    <w:rsid w:val="00880D5D"/>
    <w:rsid w:val="008818B7"/>
    <w:rsid w:val="00881931"/>
    <w:rsid w:val="008824E4"/>
    <w:rsid w:val="00883972"/>
    <w:rsid w:val="00883F15"/>
    <w:rsid w:val="00884879"/>
    <w:rsid w:val="008850A8"/>
    <w:rsid w:val="0088514C"/>
    <w:rsid w:val="00887307"/>
    <w:rsid w:val="00887984"/>
    <w:rsid w:val="00887FA8"/>
    <w:rsid w:val="00890374"/>
    <w:rsid w:val="00890541"/>
    <w:rsid w:val="0089097C"/>
    <w:rsid w:val="0089153B"/>
    <w:rsid w:val="00891945"/>
    <w:rsid w:val="00892A9B"/>
    <w:rsid w:val="008933B0"/>
    <w:rsid w:val="008939C1"/>
    <w:rsid w:val="00893B5C"/>
    <w:rsid w:val="008947C4"/>
    <w:rsid w:val="00894CA5"/>
    <w:rsid w:val="00895F54"/>
    <w:rsid w:val="00896427"/>
    <w:rsid w:val="008969BD"/>
    <w:rsid w:val="00896E85"/>
    <w:rsid w:val="0089727F"/>
    <w:rsid w:val="0089746A"/>
    <w:rsid w:val="00897E53"/>
    <w:rsid w:val="008A0022"/>
    <w:rsid w:val="008A08FA"/>
    <w:rsid w:val="008A17F7"/>
    <w:rsid w:val="008A1CA6"/>
    <w:rsid w:val="008A25FE"/>
    <w:rsid w:val="008A2E11"/>
    <w:rsid w:val="008A33E5"/>
    <w:rsid w:val="008A34B7"/>
    <w:rsid w:val="008A5076"/>
    <w:rsid w:val="008A6ADC"/>
    <w:rsid w:val="008A72E2"/>
    <w:rsid w:val="008B0224"/>
    <w:rsid w:val="008B02E2"/>
    <w:rsid w:val="008B07AD"/>
    <w:rsid w:val="008B2859"/>
    <w:rsid w:val="008B2FC8"/>
    <w:rsid w:val="008B3127"/>
    <w:rsid w:val="008B5DA2"/>
    <w:rsid w:val="008B72DF"/>
    <w:rsid w:val="008B7DDE"/>
    <w:rsid w:val="008B7F27"/>
    <w:rsid w:val="008C034C"/>
    <w:rsid w:val="008C03F0"/>
    <w:rsid w:val="008C2016"/>
    <w:rsid w:val="008C275A"/>
    <w:rsid w:val="008C3231"/>
    <w:rsid w:val="008C4A16"/>
    <w:rsid w:val="008C54CA"/>
    <w:rsid w:val="008C55F4"/>
    <w:rsid w:val="008C6903"/>
    <w:rsid w:val="008D0AC1"/>
    <w:rsid w:val="008D1067"/>
    <w:rsid w:val="008D1222"/>
    <w:rsid w:val="008D1EDA"/>
    <w:rsid w:val="008D24D4"/>
    <w:rsid w:val="008D3201"/>
    <w:rsid w:val="008D3DBB"/>
    <w:rsid w:val="008D4549"/>
    <w:rsid w:val="008D4621"/>
    <w:rsid w:val="008D5983"/>
    <w:rsid w:val="008D59AB"/>
    <w:rsid w:val="008D63A1"/>
    <w:rsid w:val="008D7843"/>
    <w:rsid w:val="008E0297"/>
    <w:rsid w:val="008E10B9"/>
    <w:rsid w:val="008E15E7"/>
    <w:rsid w:val="008E1918"/>
    <w:rsid w:val="008E3200"/>
    <w:rsid w:val="008E3235"/>
    <w:rsid w:val="008E3692"/>
    <w:rsid w:val="008E4010"/>
    <w:rsid w:val="008E4516"/>
    <w:rsid w:val="008E4C4D"/>
    <w:rsid w:val="008E4D57"/>
    <w:rsid w:val="008E4F2E"/>
    <w:rsid w:val="008E53F7"/>
    <w:rsid w:val="008E5D56"/>
    <w:rsid w:val="008E6CEA"/>
    <w:rsid w:val="008E72E9"/>
    <w:rsid w:val="008E742F"/>
    <w:rsid w:val="008E7472"/>
    <w:rsid w:val="008F016C"/>
    <w:rsid w:val="008F17C9"/>
    <w:rsid w:val="008F1F87"/>
    <w:rsid w:val="008F2A08"/>
    <w:rsid w:val="008F2C5F"/>
    <w:rsid w:val="008F312C"/>
    <w:rsid w:val="008F36AB"/>
    <w:rsid w:val="008F3765"/>
    <w:rsid w:val="008F399A"/>
    <w:rsid w:val="008F4022"/>
    <w:rsid w:val="008F428F"/>
    <w:rsid w:val="008F5019"/>
    <w:rsid w:val="008F6F70"/>
    <w:rsid w:val="008F7DDD"/>
    <w:rsid w:val="009004A5"/>
    <w:rsid w:val="00900638"/>
    <w:rsid w:val="00900749"/>
    <w:rsid w:val="00901388"/>
    <w:rsid w:val="00901471"/>
    <w:rsid w:val="009017ED"/>
    <w:rsid w:val="00902193"/>
    <w:rsid w:val="00902859"/>
    <w:rsid w:val="00903159"/>
    <w:rsid w:val="00904D44"/>
    <w:rsid w:val="00905BE0"/>
    <w:rsid w:val="00910848"/>
    <w:rsid w:val="009109BB"/>
    <w:rsid w:val="00911B35"/>
    <w:rsid w:val="00911EF9"/>
    <w:rsid w:val="0091298B"/>
    <w:rsid w:val="009134F8"/>
    <w:rsid w:val="00913615"/>
    <w:rsid w:val="009143A0"/>
    <w:rsid w:val="00915405"/>
    <w:rsid w:val="009159A6"/>
    <w:rsid w:val="00915D73"/>
    <w:rsid w:val="00915ED7"/>
    <w:rsid w:val="00916D14"/>
    <w:rsid w:val="00917E38"/>
    <w:rsid w:val="0092087D"/>
    <w:rsid w:val="009228C5"/>
    <w:rsid w:val="00922C2B"/>
    <w:rsid w:val="00923707"/>
    <w:rsid w:val="0092412C"/>
    <w:rsid w:val="009249A9"/>
    <w:rsid w:val="00924ACF"/>
    <w:rsid w:val="00926245"/>
    <w:rsid w:val="00927A29"/>
    <w:rsid w:val="00927E73"/>
    <w:rsid w:val="009304CB"/>
    <w:rsid w:val="009315CE"/>
    <w:rsid w:val="00931ACC"/>
    <w:rsid w:val="0093279A"/>
    <w:rsid w:val="009329E6"/>
    <w:rsid w:val="00932A95"/>
    <w:rsid w:val="00932FB1"/>
    <w:rsid w:val="0093314A"/>
    <w:rsid w:val="009352D8"/>
    <w:rsid w:val="00935748"/>
    <w:rsid w:val="00935B96"/>
    <w:rsid w:val="0093626D"/>
    <w:rsid w:val="00936FA4"/>
    <w:rsid w:val="009371F4"/>
    <w:rsid w:val="009376D1"/>
    <w:rsid w:val="009378FB"/>
    <w:rsid w:val="00937E06"/>
    <w:rsid w:val="00940698"/>
    <w:rsid w:val="00940D20"/>
    <w:rsid w:val="00942123"/>
    <w:rsid w:val="009421BC"/>
    <w:rsid w:val="00942CC1"/>
    <w:rsid w:val="0094315C"/>
    <w:rsid w:val="00943B4A"/>
    <w:rsid w:val="00943C9C"/>
    <w:rsid w:val="0094432E"/>
    <w:rsid w:val="009450A3"/>
    <w:rsid w:val="00945652"/>
    <w:rsid w:val="0094588B"/>
    <w:rsid w:val="009459AD"/>
    <w:rsid w:val="00945B30"/>
    <w:rsid w:val="00945BB9"/>
    <w:rsid w:val="00946001"/>
    <w:rsid w:val="00946755"/>
    <w:rsid w:val="00947175"/>
    <w:rsid w:val="00947931"/>
    <w:rsid w:val="009506DA"/>
    <w:rsid w:val="00950AE8"/>
    <w:rsid w:val="00950CE3"/>
    <w:rsid w:val="009513FA"/>
    <w:rsid w:val="0095287C"/>
    <w:rsid w:val="00952DFA"/>
    <w:rsid w:val="009531E5"/>
    <w:rsid w:val="009537A3"/>
    <w:rsid w:val="0095447E"/>
    <w:rsid w:val="00954EDB"/>
    <w:rsid w:val="00955057"/>
    <w:rsid w:val="00955607"/>
    <w:rsid w:val="00956E97"/>
    <w:rsid w:val="009575C2"/>
    <w:rsid w:val="00957BBA"/>
    <w:rsid w:val="009614E1"/>
    <w:rsid w:val="00961EC5"/>
    <w:rsid w:val="0096210D"/>
    <w:rsid w:val="009626DC"/>
    <w:rsid w:val="009632B7"/>
    <w:rsid w:val="009633F8"/>
    <w:rsid w:val="00963E0C"/>
    <w:rsid w:val="009643A8"/>
    <w:rsid w:val="00964510"/>
    <w:rsid w:val="00965A7C"/>
    <w:rsid w:val="0096671D"/>
    <w:rsid w:val="00966FBF"/>
    <w:rsid w:val="00970C1D"/>
    <w:rsid w:val="00972783"/>
    <w:rsid w:val="0097397E"/>
    <w:rsid w:val="00974C4C"/>
    <w:rsid w:val="00975023"/>
    <w:rsid w:val="009763F9"/>
    <w:rsid w:val="00976DFE"/>
    <w:rsid w:val="00977B6A"/>
    <w:rsid w:val="00977EE2"/>
    <w:rsid w:val="00982184"/>
    <w:rsid w:val="009825B4"/>
    <w:rsid w:val="00982DC6"/>
    <w:rsid w:val="00983E08"/>
    <w:rsid w:val="00983E7D"/>
    <w:rsid w:val="00984555"/>
    <w:rsid w:val="0098581B"/>
    <w:rsid w:val="009858B9"/>
    <w:rsid w:val="00987AE2"/>
    <w:rsid w:val="009906D0"/>
    <w:rsid w:val="00990773"/>
    <w:rsid w:val="00990984"/>
    <w:rsid w:val="0099100D"/>
    <w:rsid w:val="00991993"/>
    <w:rsid w:val="00991A62"/>
    <w:rsid w:val="00991CAD"/>
    <w:rsid w:val="00991E5D"/>
    <w:rsid w:val="00991E94"/>
    <w:rsid w:val="00992ADD"/>
    <w:rsid w:val="00992BCD"/>
    <w:rsid w:val="00993085"/>
    <w:rsid w:val="00993158"/>
    <w:rsid w:val="009933B9"/>
    <w:rsid w:val="009946D3"/>
    <w:rsid w:val="0099549A"/>
    <w:rsid w:val="009954F7"/>
    <w:rsid w:val="00996CD4"/>
    <w:rsid w:val="00996D0C"/>
    <w:rsid w:val="00996FAE"/>
    <w:rsid w:val="009971E2"/>
    <w:rsid w:val="0099747C"/>
    <w:rsid w:val="0099758B"/>
    <w:rsid w:val="00997F60"/>
    <w:rsid w:val="009A0AD4"/>
    <w:rsid w:val="009A1A3F"/>
    <w:rsid w:val="009A2249"/>
    <w:rsid w:val="009A2287"/>
    <w:rsid w:val="009A2D4B"/>
    <w:rsid w:val="009A3077"/>
    <w:rsid w:val="009A630D"/>
    <w:rsid w:val="009A6909"/>
    <w:rsid w:val="009B1395"/>
    <w:rsid w:val="009B1450"/>
    <w:rsid w:val="009B1BEF"/>
    <w:rsid w:val="009B227E"/>
    <w:rsid w:val="009B2735"/>
    <w:rsid w:val="009B324B"/>
    <w:rsid w:val="009B3448"/>
    <w:rsid w:val="009B359D"/>
    <w:rsid w:val="009B3B12"/>
    <w:rsid w:val="009B3E65"/>
    <w:rsid w:val="009B46AB"/>
    <w:rsid w:val="009B4ABF"/>
    <w:rsid w:val="009B4B46"/>
    <w:rsid w:val="009B50FE"/>
    <w:rsid w:val="009B5B90"/>
    <w:rsid w:val="009B6250"/>
    <w:rsid w:val="009B6B3C"/>
    <w:rsid w:val="009C0BE8"/>
    <w:rsid w:val="009C1CEF"/>
    <w:rsid w:val="009C1E1C"/>
    <w:rsid w:val="009C24B3"/>
    <w:rsid w:val="009C262B"/>
    <w:rsid w:val="009C29EE"/>
    <w:rsid w:val="009C326A"/>
    <w:rsid w:val="009C428B"/>
    <w:rsid w:val="009C44C7"/>
    <w:rsid w:val="009C496D"/>
    <w:rsid w:val="009C51C8"/>
    <w:rsid w:val="009C5A2F"/>
    <w:rsid w:val="009C5BDC"/>
    <w:rsid w:val="009C65B0"/>
    <w:rsid w:val="009C7878"/>
    <w:rsid w:val="009C79C5"/>
    <w:rsid w:val="009C7BD4"/>
    <w:rsid w:val="009C7DA3"/>
    <w:rsid w:val="009D08A7"/>
    <w:rsid w:val="009D0C1D"/>
    <w:rsid w:val="009D0FEA"/>
    <w:rsid w:val="009D1ACB"/>
    <w:rsid w:val="009D1F3C"/>
    <w:rsid w:val="009D247B"/>
    <w:rsid w:val="009D26EF"/>
    <w:rsid w:val="009D3355"/>
    <w:rsid w:val="009D364E"/>
    <w:rsid w:val="009D468A"/>
    <w:rsid w:val="009D4B54"/>
    <w:rsid w:val="009D4B9B"/>
    <w:rsid w:val="009D5E95"/>
    <w:rsid w:val="009D6391"/>
    <w:rsid w:val="009D6F05"/>
    <w:rsid w:val="009D7D3B"/>
    <w:rsid w:val="009E010D"/>
    <w:rsid w:val="009E1632"/>
    <w:rsid w:val="009E215D"/>
    <w:rsid w:val="009E34D7"/>
    <w:rsid w:val="009E38DB"/>
    <w:rsid w:val="009E4237"/>
    <w:rsid w:val="009E431F"/>
    <w:rsid w:val="009E523A"/>
    <w:rsid w:val="009E5269"/>
    <w:rsid w:val="009E55FD"/>
    <w:rsid w:val="009E5AA1"/>
    <w:rsid w:val="009F04C9"/>
    <w:rsid w:val="009F0897"/>
    <w:rsid w:val="009F14B1"/>
    <w:rsid w:val="009F1969"/>
    <w:rsid w:val="009F2650"/>
    <w:rsid w:val="009F3C68"/>
    <w:rsid w:val="009F409C"/>
    <w:rsid w:val="009F4CC5"/>
    <w:rsid w:val="009F4F31"/>
    <w:rsid w:val="009F5831"/>
    <w:rsid w:val="009F600D"/>
    <w:rsid w:val="009F6880"/>
    <w:rsid w:val="00A0001F"/>
    <w:rsid w:val="00A0038C"/>
    <w:rsid w:val="00A009F9"/>
    <w:rsid w:val="00A0221E"/>
    <w:rsid w:val="00A0308B"/>
    <w:rsid w:val="00A03737"/>
    <w:rsid w:val="00A03C76"/>
    <w:rsid w:val="00A03F4E"/>
    <w:rsid w:val="00A0551A"/>
    <w:rsid w:val="00A05A62"/>
    <w:rsid w:val="00A05B17"/>
    <w:rsid w:val="00A05BBE"/>
    <w:rsid w:val="00A06CA5"/>
    <w:rsid w:val="00A075AD"/>
    <w:rsid w:val="00A079B8"/>
    <w:rsid w:val="00A07C41"/>
    <w:rsid w:val="00A1048F"/>
    <w:rsid w:val="00A10532"/>
    <w:rsid w:val="00A1068D"/>
    <w:rsid w:val="00A10C9B"/>
    <w:rsid w:val="00A12DDC"/>
    <w:rsid w:val="00A13075"/>
    <w:rsid w:val="00A134B9"/>
    <w:rsid w:val="00A136EB"/>
    <w:rsid w:val="00A13C92"/>
    <w:rsid w:val="00A148BF"/>
    <w:rsid w:val="00A14AEA"/>
    <w:rsid w:val="00A14FC8"/>
    <w:rsid w:val="00A157D9"/>
    <w:rsid w:val="00A15C58"/>
    <w:rsid w:val="00A16264"/>
    <w:rsid w:val="00A21377"/>
    <w:rsid w:val="00A21590"/>
    <w:rsid w:val="00A215F5"/>
    <w:rsid w:val="00A227BE"/>
    <w:rsid w:val="00A23D4E"/>
    <w:rsid w:val="00A24924"/>
    <w:rsid w:val="00A255E5"/>
    <w:rsid w:val="00A25AFF"/>
    <w:rsid w:val="00A25CBA"/>
    <w:rsid w:val="00A25ECF"/>
    <w:rsid w:val="00A26115"/>
    <w:rsid w:val="00A2658B"/>
    <w:rsid w:val="00A26695"/>
    <w:rsid w:val="00A26C6E"/>
    <w:rsid w:val="00A27227"/>
    <w:rsid w:val="00A27F2C"/>
    <w:rsid w:val="00A30166"/>
    <w:rsid w:val="00A30A8A"/>
    <w:rsid w:val="00A315DC"/>
    <w:rsid w:val="00A32B21"/>
    <w:rsid w:val="00A33B3C"/>
    <w:rsid w:val="00A3499A"/>
    <w:rsid w:val="00A356B1"/>
    <w:rsid w:val="00A357E2"/>
    <w:rsid w:val="00A359CD"/>
    <w:rsid w:val="00A370AF"/>
    <w:rsid w:val="00A4013C"/>
    <w:rsid w:val="00A417A2"/>
    <w:rsid w:val="00A41924"/>
    <w:rsid w:val="00A42720"/>
    <w:rsid w:val="00A427DA"/>
    <w:rsid w:val="00A42AA5"/>
    <w:rsid w:val="00A42CC6"/>
    <w:rsid w:val="00A434C4"/>
    <w:rsid w:val="00A43656"/>
    <w:rsid w:val="00A44363"/>
    <w:rsid w:val="00A446A1"/>
    <w:rsid w:val="00A44F3F"/>
    <w:rsid w:val="00A452F0"/>
    <w:rsid w:val="00A457B4"/>
    <w:rsid w:val="00A45C4A"/>
    <w:rsid w:val="00A46070"/>
    <w:rsid w:val="00A505C4"/>
    <w:rsid w:val="00A5096F"/>
    <w:rsid w:val="00A50E3A"/>
    <w:rsid w:val="00A51464"/>
    <w:rsid w:val="00A52BD1"/>
    <w:rsid w:val="00A53729"/>
    <w:rsid w:val="00A53E2B"/>
    <w:rsid w:val="00A55514"/>
    <w:rsid w:val="00A557A7"/>
    <w:rsid w:val="00A55F73"/>
    <w:rsid w:val="00A567CF"/>
    <w:rsid w:val="00A567DD"/>
    <w:rsid w:val="00A568C2"/>
    <w:rsid w:val="00A568CB"/>
    <w:rsid w:val="00A56CA9"/>
    <w:rsid w:val="00A57201"/>
    <w:rsid w:val="00A57C56"/>
    <w:rsid w:val="00A60E6D"/>
    <w:rsid w:val="00A614FE"/>
    <w:rsid w:val="00A61935"/>
    <w:rsid w:val="00A61E5B"/>
    <w:rsid w:val="00A62710"/>
    <w:rsid w:val="00A63929"/>
    <w:rsid w:val="00A63E33"/>
    <w:rsid w:val="00A642F4"/>
    <w:rsid w:val="00A646C0"/>
    <w:rsid w:val="00A64742"/>
    <w:rsid w:val="00A64C04"/>
    <w:rsid w:val="00A65597"/>
    <w:rsid w:val="00A65B5B"/>
    <w:rsid w:val="00A664D5"/>
    <w:rsid w:val="00A66FC9"/>
    <w:rsid w:val="00A677B9"/>
    <w:rsid w:val="00A679D8"/>
    <w:rsid w:val="00A67BEE"/>
    <w:rsid w:val="00A67EC3"/>
    <w:rsid w:val="00A67FBF"/>
    <w:rsid w:val="00A70016"/>
    <w:rsid w:val="00A70136"/>
    <w:rsid w:val="00A70E5A"/>
    <w:rsid w:val="00A72448"/>
    <w:rsid w:val="00A73023"/>
    <w:rsid w:val="00A73D51"/>
    <w:rsid w:val="00A7494E"/>
    <w:rsid w:val="00A74BF7"/>
    <w:rsid w:val="00A7558E"/>
    <w:rsid w:val="00A768B7"/>
    <w:rsid w:val="00A76C1C"/>
    <w:rsid w:val="00A7701E"/>
    <w:rsid w:val="00A826B1"/>
    <w:rsid w:val="00A83632"/>
    <w:rsid w:val="00A83B32"/>
    <w:rsid w:val="00A84D17"/>
    <w:rsid w:val="00A84FB4"/>
    <w:rsid w:val="00A85DB0"/>
    <w:rsid w:val="00A85ECF"/>
    <w:rsid w:val="00A8611A"/>
    <w:rsid w:val="00A86344"/>
    <w:rsid w:val="00A8653E"/>
    <w:rsid w:val="00A86B03"/>
    <w:rsid w:val="00A903A0"/>
    <w:rsid w:val="00A90560"/>
    <w:rsid w:val="00A9073E"/>
    <w:rsid w:val="00A90AF7"/>
    <w:rsid w:val="00A9215F"/>
    <w:rsid w:val="00A922BF"/>
    <w:rsid w:val="00A9250C"/>
    <w:rsid w:val="00A92E84"/>
    <w:rsid w:val="00A93DE6"/>
    <w:rsid w:val="00A946D6"/>
    <w:rsid w:val="00A94873"/>
    <w:rsid w:val="00A94ECD"/>
    <w:rsid w:val="00A95412"/>
    <w:rsid w:val="00A971D6"/>
    <w:rsid w:val="00AA0714"/>
    <w:rsid w:val="00AA0F65"/>
    <w:rsid w:val="00AA157C"/>
    <w:rsid w:val="00AA1D13"/>
    <w:rsid w:val="00AA1FEE"/>
    <w:rsid w:val="00AA2188"/>
    <w:rsid w:val="00AA25A8"/>
    <w:rsid w:val="00AA3A1C"/>
    <w:rsid w:val="00AA3A5C"/>
    <w:rsid w:val="00AA578D"/>
    <w:rsid w:val="00AA5DEB"/>
    <w:rsid w:val="00AA69F2"/>
    <w:rsid w:val="00AA73C2"/>
    <w:rsid w:val="00AB062D"/>
    <w:rsid w:val="00AB1AAF"/>
    <w:rsid w:val="00AB1B55"/>
    <w:rsid w:val="00AB1C2C"/>
    <w:rsid w:val="00AB2001"/>
    <w:rsid w:val="00AB31BF"/>
    <w:rsid w:val="00AB32D7"/>
    <w:rsid w:val="00AB362A"/>
    <w:rsid w:val="00AB4538"/>
    <w:rsid w:val="00AB4F3E"/>
    <w:rsid w:val="00AB520B"/>
    <w:rsid w:val="00AB5C1C"/>
    <w:rsid w:val="00AB6363"/>
    <w:rsid w:val="00AB65D8"/>
    <w:rsid w:val="00AB73DA"/>
    <w:rsid w:val="00AC0483"/>
    <w:rsid w:val="00AC097A"/>
    <w:rsid w:val="00AC1727"/>
    <w:rsid w:val="00AC1DB1"/>
    <w:rsid w:val="00AC4876"/>
    <w:rsid w:val="00AC4D2B"/>
    <w:rsid w:val="00AC4DDC"/>
    <w:rsid w:val="00AC575C"/>
    <w:rsid w:val="00AC738F"/>
    <w:rsid w:val="00AC74D7"/>
    <w:rsid w:val="00AC78D9"/>
    <w:rsid w:val="00AD0995"/>
    <w:rsid w:val="00AD0CE3"/>
    <w:rsid w:val="00AD132F"/>
    <w:rsid w:val="00AD1651"/>
    <w:rsid w:val="00AD187A"/>
    <w:rsid w:val="00AD4143"/>
    <w:rsid w:val="00AD41E0"/>
    <w:rsid w:val="00AD4597"/>
    <w:rsid w:val="00AD48E0"/>
    <w:rsid w:val="00AD525D"/>
    <w:rsid w:val="00AD569B"/>
    <w:rsid w:val="00AD6520"/>
    <w:rsid w:val="00AD6BF2"/>
    <w:rsid w:val="00AD6E2C"/>
    <w:rsid w:val="00AD74A1"/>
    <w:rsid w:val="00AD7CD5"/>
    <w:rsid w:val="00AE0428"/>
    <w:rsid w:val="00AE0EB0"/>
    <w:rsid w:val="00AE0F00"/>
    <w:rsid w:val="00AE3299"/>
    <w:rsid w:val="00AE367C"/>
    <w:rsid w:val="00AE3BF1"/>
    <w:rsid w:val="00AE3E79"/>
    <w:rsid w:val="00AE44FF"/>
    <w:rsid w:val="00AE4F70"/>
    <w:rsid w:val="00AE5146"/>
    <w:rsid w:val="00AE53DD"/>
    <w:rsid w:val="00AE5913"/>
    <w:rsid w:val="00AE5BCE"/>
    <w:rsid w:val="00AE69CE"/>
    <w:rsid w:val="00AE71B4"/>
    <w:rsid w:val="00AE7894"/>
    <w:rsid w:val="00AF0441"/>
    <w:rsid w:val="00AF0782"/>
    <w:rsid w:val="00AF0AC9"/>
    <w:rsid w:val="00AF0C63"/>
    <w:rsid w:val="00AF1099"/>
    <w:rsid w:val="00AF2641"/>
    <w:rsid w:val="00AF2715"/>
    <w:rsid w:val="00AF2AC1"/>
    <w:rsid w:val="00AF2D73"/>
    <w:rsid w:val="00AF3128"/>
    <w:rsid w:val="00AF33FF"/>
    <w:rsid w:val="00AF3B0B"/>
    <w:rsid w:val="00AF4E5C"/>
    <w:rsid w:val="00AF55B0"/>
    <w:rsid w:val="00AF5B5F"/>
    <w:rsid w:val="00AF5CF9"/>
    <w:rsid w:val="00AF5FEA"/>
    <w:rsid w:val="00AF6406"/>
    <w:rsid w:val="00AF6D39"/>
    <w:rsid w:val="00AF70AF"/>
    <w:rsid w:val="00AF785C"/>
    <w:rsid w:val="00AF7A4E"/>
    <w:rsid w:val="00AF7DEF"/>
    <w:rsid w:val="00AF7DF3"/>
    <w:rsid w:val="00B00EAA"/>
    <w:rsid w:val="00B0106E"/>
    <w:rsid w:val="00B01283"/>
    <w:rsid w:val="00B035E3"/>
    <w:rsid w:val="00B053D3"/>
    <w:rsid w:val="00B054A3"/>
    <w:rsid w:val="00B0639E"/>
    <w:rsid w:val="00B06417"/>
    <w:rsid w:val="00B06921"/>
    <w:rsid w:val="00B06FC6"/>
    <w:rsid w:val="00B07FED"/>
    <w:rsid w:val="00B106D1"/>
    <w:rsid w:val="00B10A3B"/>
    <w:rsid w:val="00B10D41"/>
    <w:rsid w:val="00B10ED6"/>
    <w:rsid w:val="00B11126"/>
    <w:rsid w:val="00B11A7E"/>
    <w:rsid w:val="00B11C5B"/>
    <w:rsid w:val="00B11F1B"/>
    <w:rsid w:val="00B131ED"/>
    <w:rsid w:val="00B14460"/>
    <w:rsid w:val="00B158E0"/>
    <w:rsid w:val="00B158F6"/>
    <w:rsid w:val="00B16893"/>
    <w:rsid w:val="00B16B56"/>
    <w:rsid w:val="00B16C85"/>
    <w:rsid w:val="00B1711A"/>
    <w:rsid w:val="00B202D5"/>
    <w:rsid w:val="00B20DB2"/>
    <w:rsid w:val="00B21668"/>
    <w:rsid w:val="00B21813"/>
    <w:rsid w:val="00B23D6C"/>
    <w:rsid w:val="00B2441E"/>
    <w:rsid w:val="00B24EB8"/>
    <w:rsid w:val="00B25B39"/>
    <w:rsid w:val="00B270ED"/>
    <w:rsid w:val="00B27AD6"/>
    <w:rsid w:val="00B3251C"/>
    <w:rsid w:val="00B32963"/>
    <w:rsid w:val="00B331B2"/>
    <w:rsid w:val="00B33679"/>
    <w:rsid w:val="00B33C37"/>
    <w:rsid w:val="00B34015"/>
    <w:rsid w:val="00B35226"/>
    <w:rsid w:val="00B356C1"/>
    <w:rsid w:val="00B356CA"/>
    <w:rsid w:val="00B35AAB"/>
    <w:rsid w:val="00B35CF5"/>
    <w:rsid w:val="00B3699D"/>
    <w:rsid w:val="00B36EFB"/>
    <w:rsid w:val="00B36FFB"/>
    <w:rsid w:val="00B37978"/>
    <w:rsid w:val="00B37FF2"/>
    <w:rsid w:val="00B40316"/>
    <w:rsid w:val="00B4047E"/>
    <w:rsid w:val="00B40CB2"/>
    <w:rsid w:val="00B41CE9"/>
    <w:rsid w:val="00B4248E"/>
    <w:rsid w:val="00B42525"/>
    <w:rsid w:val="00B42BD0"/>
    <w:rsid w:val="00B43955"/>
    <w:rsid w:val="00B44023"/>
    <w:rsid w:val="00B449DD"/>
    <w:rsid w:val="00B4536D"/>
    <w:rsid w:val="00B45599"/>
    <w:rsid w:val="00B456E5"/>
    <w:rsid w:val="00B45D36"/>
    <w:rsid w:val="00B47FF2"/>
    <w:rsid w:val="00B5018D"/>
    <w:rsid w:val="00B50622"/>
    <w:rsid w:val="00B508C0"/>
    <w:rsid w:val="00B50D30"/>
    <w:rsid w:val="00B51268"/>
    <w:rsid w:val="00B524C1"/>
    <w:rsid w:val="00B532AB"/>
    <w:rsid w:val="00B54269"/>
    <w:rsid w:val="00B5481F"/>
    <w:rsid w:val="00B54A1E"/>
    <w:rsid w:val="00B55495"/>
    <w:rsid w:val="00B55DA4"/>
    <w:rsid w:val="00B570D6"/>
    <w:rsid w:val="00B57E4E"/>
    <w:rsid w:val="00B6007F"/>
    <w:rsid w:val="00B60A55"/>
    <w:rsid w:val="00B6144C"/>
    <w:rsid w:val="00B61489"/>
    <w:rsid w:val="00B61F66"/>
    <w:rsid w:val="00B62063"/>
    <w:rsid w:val="00B623DD"/>
    <w:rsid w:val="00B62B5E"/>
    <w:rsid w:val="00B62B81"/>
    <w:rsid w:val="00B62CED"/>
    <w:rsid w:val="00B63BE8"/>
    <w:rsid w:val="00B6593D"/>
    <w:rsid w:val="00B660C4"/>
    <w:rsid w:val="00B6667A"/>
    <w:rsid w:val="00B66B1E"/>
    <w:rsid w:val="00B66F5D"/>
    <w:rsid w:val="00B67517"/>
    <w:rsid w:val="00B67B54"/>
    <w:rsid w:val="00B7057A"/>
    <w:rsid w:val="00B707BE"/>
    <w:rsid w:val="00B70893"/>
    <w:rsid w:val="00B70CCE"/>
    <w:rsid w:val="00B70F51"/>
    <w:rsid w:val="00B712A4"/>
    <w:rsid w:val="00B7178F"/>
    <w:rsid w:val="00B72307"/>
    <w:rsid w:val="00B72C44"/>
    <w:rsid w:val="00B72FB5"/>
    <w:rsid w:val="00B7403E"/>
    <w:rsid w:val="00B7410E"/>
    <w:rsid w:val="00B74689"/>
    <w:rsid w:val="00B76814"/>
    <w:rsid w:val="00B800D2"/>
    <w:rsid w:val="00B80B57"/>
    <w:rsid w:val="00B818C1"/>
    <w:rsid w:val="00B8256C"/>
    <w:rsid w:val="00B82733"/>
    <w:rsid w:val="00B82E80"/>
    <w:rsid w:val="00B83666"/>
    <w:rsid w:val="00B837B6"/>
    <w:rsid w:val="00B83C0D"/>
    <w:rsid w:val="00B842E7"/>
    <w:rsid w:val="00B858EF"/>
    <w:rsid w:val="00B85C3E"/>
    <w:rsid w:val="00B86218"/>
    <w:rsid w:val="00B8676E"/>
    <w:rsid w:val="00B87BB1"/>
    <w:rsid w:val="00B903A4"/>
    <w:rsid w:val="00B90532"/>
    <w:rsid w:val="00B929F6"/>
    <w:rsid w:val="00B93903"/>
    <w:rsid w:val="00B93ADC"/>
    <w:rsid w:val="00B941DD"/>
    <w:rsid w:val="00B94550"/>
    <w:rsid w:val="00B9455F"/>
    <w:rsid w:val="00B95458"/>
    <w:rsid w:val="00B956D2"/>
    <w:rsid w:val="00B95F68"/>
    <w:rsid w:val="00B9606A"/>
    <w:rsid w:val="00B9609E"/>
    <w:rsid w:val="00B961C4"/>
    <w:rsid w:val="00B9629A"/>
    <w:rsid w:val="00BA0489"/>
    <w:rsid w:val="00BA080B"/>
    <w:rsid w:val="00BA087E"/>
    <w:rsid w:val="00BA1F43"/>
    <w:rsid w:val="00BA272C"/>
    <w:rsid w:val="00BA4152"/>
    <w:rsid w:val="00BA4400"/>
    <w:rsid w:val="00BA4871"/>
    <w:rsid w:val="00BA4B9A"/>
    <w:rsid w:val="00BA4BE1"/>
    <w:rsid w:val="00BA6445"/>
    <w:rsid w:val="00BA7074"/>
    <w:rsid w:val="00BA7B68"/>
    <w:rsid w:val="00BA7E22"/>
    <w:rsid w:val="00BB0131"/>
    <w:rsid w:val="00BB0994"/>
    <w:rsid w:val="00BB09F7"/>
    <w:rsid w:val="00BB0EC7"/>
    <w:rsid w:val="00BB177D"/>
    <w:rsid w:val="00BB4B7A"/>
    <w:rsid w:val="00BB4C29"/>
    <w:rsid w:val="00BB5178"/>
    <w:rsid w:val="00BB56EF"/>
    <w:rsid w:val="00BB5D45"/>
    <w:rsid w:val="00BB5E4B"/>
    <w:rsid w:val="00BB6050"/>
    <w:rsid w:val="00BB60F8"/>
    <w:rsid w:val="00BB6DA9"/>
    <w:rsid w:val="00BB7A93"/>
    <w:rsid w:val="00BC005C"/>
    <w:rsid w:val="00BC044C"/>
    <w:rsid w:val="00BC0572"/>
    <w:rsid w:val="00BC0A09"/>
    <w:rsid w:val="00BC0D82"/>
    <w:rsid w:val="00BC0E27"/>
    <w:rsid w:val="00BC1C6D"/>
    <w:rsid w:val="00BC43F9"/>
    <w:rsid w:val="00BC4652"/>
    <w:rsid w:val="00BC5067"/>
    <w:rsid w:val="00BC537C"/>
    <w:rsid w:val="00BC5736"/>
    <w:rsid w:val="00BC65AE"/>
    <w:rsid w:val="00BC6613"/>
    <w:rsid w:val="00BC70CE"/>
    <w:rsid w:val="00BC7141"/>
    <w:rsid w:val="00BC729D"/>
    <w:rsid w:val="00BD1399"/>
    <w:rsid w:val="00BD1EA2"/>
    <w:rsid w:val="00BD24F7"/>
    <w:rsid w:val="00BD2CA5"/>
    <w:rsid w:val="00BD2D45"/>
    <w:rsid w:val="00BD38A3"/>
    <w:rsid w:val="00BD3B52"/>
    <w:rsid w:val="00BD3C5C"/>
    <w:rsid w:val="00BD43B1"/>
    <w:rsid w:val="00BD518E"/>
    <w:rsid w:val="00BD63F3"/>
    <w:rsid w:val="00BD6482"/>
    <w:rsid w:val="00BD69EB"/>
    <w:rsid w:val="00BD704C"/>
    <w:rsid w:val="00BD7E11"/>
    <w:rsid w:val="00BE038E"/>
    <w:rsid w:val="00BE060B"/>
    <w:rsid w:val="00BE099A"/>
    <w:rsid w:val="00BE142C"/>
    <w:rsid w:val="00BE1929"/>
    <w:rsid w:val="00BE3C46"/>
    <w:rsid w:val="00BE533B"/>
    <w:rsid w:val="00BE5EA8"/>
    <w:rsid w:val="00BE5F45"/>
    <w:rsid w:val="00BE62D3"/>
    <w:rsid w:val="00BE6EC1"/>
    <w:rsid w:val="00BE739A"/>
    <w:rsid w:val="00BE74FB"/>
    <w:rsid w:val="00BE75E9"/>
    <w:rsid w:val="00BE7F1A"/>
    <w:rsid w:val="00BE7FC6"/>
    <w:rsid w:val="00BF0677"/>
    <w:rsid w:val="00BF0C89"/>
    <w:rsid w:val="00BF0CB3"/>
    <w:rsid w:val="00BF0E24"/>
    <w:rsid w:val="00BF211C"/>
    <w:rsid w:val="00BF2661"/>
    <w:rsid w:val="00BF2828"/>
    <w:rsid w:val="00BF28F9"/>
    <w:rsid w:val="00BF2C4D"/>
    <w:rsid w:val="00BF2CCC"/>
    <w:rsid w:val="00BF3086"/>
    <w:rsid w:val="00BF3BF5"/>
    <w:rsid w:val="00BF40D5"/>
    <w:rsid w:val="00BF413E"/>
    <w:rsid w:val="00BF6D3E"/>
    <w:rsid w:val="00BF7093"/>
    <w:rsid w:val="00BF78B4"/>
    <w:rsid w:val="00C003DF"/>
    <w:rsid w:val="00C010F8"/>
    <w:rsid w:val="00C01A09"/>
    <w:rsid w:val="00C02704"/>
    <w:rsid w:val="00C02A8F"/>
    <w:rsid w:val="00C032C8"/>
    <w:rsid w:val="00C03322"/>
    <w:rsid w:val="00C035B7"/>
    <w:rsid w:val="00C04207"/>
    <w:rsid w:val="00C05234"/>
    <w:rsid w:val="00C05ABB"/>
    <w:rsid w:val="00C07933"/>
    <w:rsid w:val="00C10A19"/>
    <w:rsid w:val="00C11078"/>
    <w:rsid w:val="00C12FB6"/>
    <w:rsid w:val="00C140A9"/>
    <w:rsid w:val="00C140C9"/>
    <w:rsid w:val="00C142FD"/>
    <w:rsid w:val="00C14DBA"/>
    <w:rsid w:val="00C1529B"/>
    <w:rsid w:val="00C1547D"/>
    <w:rsid w:val="00C1672A"/>
    <w:rsid w:val="00C202BA"/>
    <w:rsid w:val="00C20333"/>
    <w:rsid w:val="00C205B9"/>
    <w:rsid w:val="00C20B3F"/>
    <w:rsid w:val="00C20B52"/>
    <w:rsid w:val="00C20E60"/>
    <w:rsid w:val="00C21EB8"/>
    <w:rsid w:val="00C22757"/>
    <w:rsid w:val="00C23F81"/>
    <w:rsid w:val="00C247A1"/>
    <w:rsid w:val="00C24887"/>
    <w:rsid w:val="00C25288"/>
    <w:rsid w:val="00C25329"/>
    <w:rsid w:val="00C258D1"/>
    <w:rsid w:val="00C26894"/>
    <w:rsid w:val="00C269CD"/>
    <w:rsid w:val="00C270C7"/>
    <w:rsid w:val="00C272BF"/>
    <w:rsid w:val="00C3010B"/>
    <w:rsid w:val="00C3142D"/>
    <w:rsid w:val="00C31658"/>
    <w:rsid w:val="00C3186F"/>
    <w:rsid w:val="00C3226C"/>
    <w:rsid w:val="00C32875"/>
    <w:rsid w:val="00C329ED"/>
    <w:rsid w:val="00C33250"/>
    <w:rsid w:val="00C332B5"/>
    <w:rsid w:val="00C33C1B"/>
    <w:rsid w:val="00C34040"/>
    <w:rsid w:val="00C3445D"/>
    <w:rsid w:val="00C360BA"/>
    <w:rsid w:val="00C365BC"/>
    <w:rsid w:val="00C37CCE"/>
    <w:rsid w:val="00C404CF"/>
    <w:rsid w:val="00C406AD"/>
    <w:rsid w:val="00C40879"/>
    <w:rsid w:val="00C40CDD"/>
    <w:rsid w:val="00C41980"/>
    <w:rsid w:val="00C42271"/>
    <w:rsid w:val="00C435FD"/>
    <w:rsid w:val="00C43BDC"/>
    <w:rsid w:val="00C44AF4"/>
    <w:rsid w:val="00C44FE5"/>
    <w:rsid w:val="00C450DC"/>
    <w:rsid w:val="00C45FF3"/>
    <w:rsid w:val="00C4655A"/>
    <w:rsid w:val="00C46B10"/>
    <w:rsid w:val="00C47421"/>
    <w:rsid w:val="00C474AC"/>
    <w:rsid w:val="00C50369"/>
    <w:rsid w:val="00C512D7"/>
    <w:rsid w:val="00C51455"/>
    <w:rsid w:val="00C51663"/>
    <w:rsid w:val="00C51797"/>
    <w:rsid w:val="00C51B3A"/>
    <w:rsid w:val="00C520B4"/>
    <w:rsid w:val="00C53B3D"/>
    <w:rsid w:val="00C53F97"/>
    <w:rsid w:val="00C54643"/>
    <w:rsid w:val="00C5562D"/>
    <w:rsid w:val="00C56303"/>
    <w:rsid w:val="00C56541"/>
    <w:rsid w:val="00C56D95"/>
    <w:rsid w:val="00C57545"/>
    <w:rsid w:val="00C57E10"/>
    <w:rsid w:val="00C606F5"/>
    <w:rsid w:val="00C6092C"/>
    <w:rsid w:val="00C6106B"/>
    <w:rsid w:val="00C621F7"/>
    <w:rsid w:val="00C627F8"/>
    <w:rsid w:val="00C62F9C"/>
    <w:rsid w:val="00C6388C"/>
    <w:rsid w:val="00C63AD8"/>
    <w:rsid w:val="00C64330"/>
    <w:rsid w:val="00C66605"/>
    <w:rsid w:val="00C667B8"/>
    <w:rsid w:val="00C67653"/>
    <w:rsid w:val="00C70EB0"/>
    <w:rsid w:val="00C71C40"/>
    <w:rsid w:val="00C71CE8"/>
    <w:rsid w:val="00C72ACC"/>
    <w:rsid w:val="00C72EDB"/>
    <w:rsid w:val="00C73011"/>
    <w:rsid w:val="00C73429"/>
    <w:rsid w:val="00C74192"/>
    <w:rsid w:val="00C753C0"/>
    <w:rsid w:val="00C7695B"/>
    <w:rsid w:val="00C76A3F"/>
    <w:rsid w:val="00C77569"/>
    <w:rsid w:val="00C77725"/>
    <w:rsid w:val="00C777C0"/>
    <w:rsid w:val="00C8031A"/>
    <w:rsid w:val="00C808BC"/>
    <w:rsid w:val="00C80B61"/>
    <w:rsid w:val="00C80C15"/>
    <w:rsid w:val="00C815A6"/>
    <w:rsid w:val="00C81668"/>
    <w:rsid w:val="00C82612"/>
    <w:rsid w:val="00C82F0E"/>
    <w:rsid w:val="00C84222"/>
    <w:rsid w:val="00C84A78"/>
    <w:rsid w:val="00C84F6D"/>
    <w:rsid w:val="00C8518B"/>
    <w:rsid w:val="00C857ED"/>
    <w:rsid w:val="00C858D6"/>
    <w:rsid w:val="00C859D6"/>
    <w:rsid w:val="00C8670B"/>
    <w:rsid w:val="00C873F5"/>
    <w:rsid w:val="00C87ACE"/>
    <w:rsid w:val="00C9034D"/>
    <w:rsid w:val="00C9076A"/>
    <w:rsid w:val="00C90E4E"/>
    <w:rsid w:val="00C915AA"/>
    <w:rsid w:val="00C92EC5"/>
    <w:rsid w:val="00C9356B"/>
    <w:rsid w:val="00C94681"/>
    <w:rsid w:val="00C9540C"/>
    <w:rsid w:val="00C954AD"/>
    <w:rsid w:val="00C96D9A"/>
    <w:rsid w:val="00C971B0"/>
    <w:rsid w:val="00C97460"/>
    <w:rsid w:val="00C97CC5"/>
    <w:rsid w:val="00CA0383"/>
    <w:rsid w:val="00CA03B7"/>
    <w:rsid w:val="00CA0BA1"/>
    <w:rsid w:val="00CA2B54"/>
    <w:rsid w:val="00CA42A3"/>
    <w:rsid w:val="00CA4961"/>
    <w:rsid w:val="00CA5AAA"/>
    <w:rsid w:val="00CA74EC"/>
    <w:rsid w:val="00CB01C2"/>
    <w:rsid w:val="00CB0A7B"/>
    <w:rsid w:val="00CB1536"/>
    <w:rsid w:val="00CB2BF5"/>
    <w:rsid w:val="00CB3CD2"/>
    <w:rsid w:val="00CB437A"/>
    <w:rsid w:val="00CB4968"/>
    <w:rsid w:val="00CB4F3C"/>
    <w:rsid w:val="00CB5468"/>
    <w:rsid w:val="00CB5A76"/>
    <w:rsid w:val="00CB64BC"/>
    <w:rsid w:val="00CB6A39"/>
    <w:rsid w:val="00CB7623"/>
    <w:rsid w:val="00CB7B35"/>
    <w:rsid w:val="00CC05FC"/>
    <w:rsid w:val="00CC0E23"/>
    <w:rsid w:val="00CC1597"/>
    <w:rsid w:val="00CC24C6"/>
    <w:rsid w:val="00CC2ADC"/>
    <w:rsid w:val="00CC2D97"/>
    <w:rsid w:val="00CC4364"/>
    <w:rsid w:val="00CC44ED"/>
    <w:rsid w:val="00CC4FFF"/>
    <w:rsid w:val="00CC60DE"/>
    <w:rsid w:val="00CC67B2"/>
    <w:rsid w:val="00CC6E00"/>
    <w:rsid w:val="00CC788E"/>
    <w:rsid w:val="00CD006D"/>
    <w:rsid w:val="00CD0F81"/>
    <w:rsid w:val="00CD1265"/>
    <w:rsid w:val="00CD18ED"/>
    <w:rsid w:val="00CD2228"/>
    <w:rsid w:val="00CD32E1"/>
    <w:rsid w:val="00CD3877"/>
    <w:rsid w:val="00CD400C"/>
    <w:rsid w:val="00CD4014"/>
    <w:rsid w:val="00CD5397"/>
    <w:rsid w:val="00CD6083"/>
    <w:rsid w:val="00CD63CE"/>
    <w:rsid w:val="00CD7216"/>
    <w:rsid w:val="00CD724D"/>
    <w:rsid w:val="00CD739F"/>
    <w:rsid w:val="00CE0DF7"/>
    <w:rsid w:val="00CE14FF"/>
    <w:rsid w:val="00CE2C39"/>
    <w:rsid w:val="00CE3FEB"/>
    <w:rsid w:val="00CE41D5"/>
    <w:rsid w:val="00CE4F47"/>
    <w:rsid w:val="00CE5042"/>
    <w:rsid w:val="00CE5219"/>
    <w:rsid w:val="00CE5706"/>
    <w:rsid w:val="00CE5A38"/>
    <w:rsid w:val="00CE648C"/>
    <w:rsid w:val="00CE68FD"/>
    <w:rsid w:val="00CE7F90"/>
    <w:rsid w:val="00CF19ED"/>
    <w:rsid w:val="00CF1DAD"/>
    <w:rsid w:val="00CF23CB"/>
    <w:rsid w:val="00CF5A18"/>
    <w:rsid w:val="00CF5CCF"/>
    <w:rsid w:val="00CF759C"/>
    <w:rsid w:val="00CF7BBF"/>
    <w:rsid w:val="00D0016C"/>
    <w:rsid w:val="00D0060A"/>
    <w:rsid w:val="00D0072D"/>
    <w:rsid w:val="00D020D4"/>
    <w:rsid w:val="00D02121"/>
    <w:rsid w:val="00D02327"/>
    <w:rsid w:val="00D02601"/>
    <w:rsid w:val="00D02ECC"/>
    <w:rsid w:val="00D0475B"/>
    <w:rsid w:val="00D0521F"/>
    <w:rsid w:val="00D05229"/>
    <w:rsid w:val="00D057E9"/>
    <w:rsid w:val="00D059DC"/>
    <w:rsid w:val="00D066F2"/>
    <w:rsid w:val="00D06CEC"/>
    <w:rsid w:val="00D07025"/>
    <w:rsid w:val="00D07F8C"/>
    <w:rsid w:val="00D10FC1"/>
    <w:rsid w:val="00D11A05"/>
    <w:rsid w:val="00D124DF"/>
    <w:rsid w:val="00D141F9"/>
    <w:rsid w:val="00D1474F"/>
    <w:rsid w:val="00D154D8"/>
    <w:rsid w:val="00D15F98"/>
    <w:rsid w:val="00D1614B"/>
    <w:rsid w:val="00D20374"/>
    <w:rsid w:val="00D21517"/>
    <w:rsid w:val="00D21A22"/>
    <w:rsid w:val="00D2228A"/>
    <w:rsid w:val="00D22724"/>
    <w:rsid w:val="00D2308A"/>
    <w:rsid w:val="00D231A7"/>
    <w:rsid w:val="00D25240"/>
    <w:rsid w:val="00D25FF5"/>
    <w:rsid w:val="00D261C4"/>
    <w:rsid w:val="00D26B4C"/>
    <w:rsid w:val="00D27250"/>
    <w:rsid w:val="00D30164"/>
    <w:rsid w:val="00D31025"/>
    <w:rsid w:val="00D32164"/>
    <w:rsid w:val="00D32564"/>
    <w:rsid w:val="00D34656"/>
    <w:rsid w:val="00D3511B"/>
    <w:rsid w:val="00D36162"/>
    <w:rsid w:val="00D3681F"/>
    <w:rsid w:val="00D36CC8"/>
    <w:rsid w:val="00D36D69"/>
    <w:rsid w:val="00D371AD"/>
    <w:rsid w:val="00D372C0"/>
    <w:rsid w:val="00D3746D"/>
    <w:rsid w:val="00D40FFC"/>
    <w:rsid w:val="00D41DC7"/>
    <w:rsid w:val="00D427B6"/>
    <w:rsid w:val="00D42921"/>
    <w:rsid w:val="00D42DE0"/>
    <w:rsid w:val="00D42E38"/>
    <w:rsid w:val="00D42FF8"/>
    <w:rsid w:val="00D435B5"/>
    <w:rsid w:val="00D43873"/>
    <w:rsid w:val="00D438A8"/>
    <w:rsid w:val="00D43B4B"/>
    <w:rsid w:val="00D43F2F"/>
    <w:rsid w:val="00D43F36"/>
    <w:rsid w:val="00D4425D"/>
    <w:rsid w:val="00D444B7"/>
    <w:rsid w:val="00D4469E"/>
    <w:rsid w:val="00D4511E"/>
    <w:rsid w:val="00D457F5"/>
    <w:rsid w:val="00D46B91"/>
    <w:rsid w:val="00D471FF"/>
    <w:rsid w:val="00D475FD"/>
    <w:rsid w:val="00D4763B"/>
    <w:rsid w:val="00D479BF"/>
    <w:rsid w:val="00D5019E"/>
    <w:rsid w:val="00D5040C"/>
    <w:rsid w:val="00D50638"/>
    <w:rsid w:val="00D50E4A"/>
    <w:rsid w:val="00D50F31"/>
    <w:rsid w:val="00D5155A"/>
    <w:rsid w:val="00D51912"/>
    <w:rsid w:val="00D51F07"/>
    <w:rsid w:val="00D53D99"/>
    <w:rsid w:val="00D54BD9"/>
    <w:rsid w:val="00D54F1E"/>
    <w:rsid w:val="00D5503E"/>
    <w:rsid w:val="00D552D8"/>
    <w:rsid w:val="00D5541D"/>
    <w:rsid w:val="00D55F18"/>
    <w:rsid w:val="00D5666E"/>
    <w:rsid w:val="00D57794"/>
    <w:rsid w:val="00D57AEE"/>
    <w:rsid w:val="00D60008"/>
    <w:rsid w:val="00D60B00"/>
    <w:rsid w:val="00D63290"/>
    <w:rsid w:val="00D64655"/>
    <w:rsid w:val="00D6557B"/>
    <w:rsid w:val="00D65817"/>
    <w:rsid w:val="00D65822"/>
    <w:rsid w:val="00D703D8"/>
    <w:rsid w:val="00D70568"/>
    <w:rsid w:val="00D70632"/>
    <w:rsid w:val="00D72074"/>
    <w:rsid w:val="00D720B1"/>
    <w:rsid w:val="00D7220C"/>
    <w:rsid w:val="00D7250B"/>
    <w:rsid w:val="00D72586"/>
    <w:rsid w:val="00D73657"/>
    <w:rsid w:val="00D73AF3"/>
    <w:rsid w:val="00D74512"/>
    <w:rsid w:val="00D7628A"/>
    <w:rsid w:val="00D77637"/>
    <w:rsid w:val="00D80647"/>
    <w:rsid w:val="00D80751"/>
    <w:rsid w:val="00D81EC1"/>
    <w:rsid w:val="00D82569"/>
    <w:rsid w:val="00D82EB3"/>
    <w:rsid w:val="00D83D23"/>
    <w:rsid w:val="00D84205"/>
    <w:rsid w:val="00D84B46"/>
    <w:rsid w:val="00D84DFF"/>
    <w:rsid w:val="00D8506B"/>
    <w:rsid w:val="00D85632"/>
    <w:rsid w:val="00D858C7"/>
    <w:rsid w:val="00D8636D"/>
    <w:rsid w:val="00D8662E"/>
    <w:rsid w:val="00D87DC4"/>
    <w:rsid w:val="00D90396"/>
    <w:rsid w:val="00D90720"/>
    <w:rsid w:val="00D90A74"/>
    <w:rsid w:val="00D90E39"/>
    <w:rsid w:val="00D932B9"/>
    <w:rsid w:val="00D938D6"/>
    <w:rsid w:val="00D946D9"/>
    <w:rsid w:val="00D949D2"/>
    <w:rsid w:val="00D95510"/>
    <w:rsid w:val="00D9579C"/>
    <w:rsid w:val="00D95995"/>
    <w:rsid w:val="00D95E17"/>
    <w:rsid w:val="00D9612F"/>
    <w:rsid w:val="00D96B16"/>
    <w:rsid w:val="00D9770F"/>
    <w:rsid w:val="00D97780"/>
    <w:rsid w:val="00D97E6B"/>
    <w:rsid w:val="00DA0C54"/>
    <w:rsid w:val="00DA0CC0"/>
    <w:rsid w:val="00DA0EF2"/>
    <w:rsid w:val="00DA1666"/>
    <w:rsid w:val="00DA1CAE"/>
    <w:rsid w:val="00DA389A"/>
    <w:rsid w:val="00DA3918"/>
    <w:rsid w:val="00DA3C63"/>
    <w:rsid w:val="00DA461A"/>
    <w:rsid w:val="00DA54A5"/>
    <w:rsid w:val="00DA5C9F"/>
    <w:rsid w:val="00DA5E46"/>
    <w:rsid w:val="00DA5FBB"/>
    <w:rsid w:val="00DA6107"/>
    <w:rsid w:val="00DA6EA5"/>
    <w:rsid w:val="00DA6ED3"/>
    <w:rsid w:val="00DA6F22"/>
    <w:rsid w:val="00DB0C3A"/>
    <w:rsid w:val="00DB0F37"/>
    <w:rsid w:val="00DB1221"/>
    <w:rsid w:val="00DB15FA"/>
    <w:rsid w:val="00DB1890"/>
    <w:rsid w:val="00DB18DE"/>
    <w:rsid w:val="00DB2724"/>
    <w:rsid w:val="00DB2E4B"/>
    <w:rsid w:val="00DB3A14"/>
    <w:rsid w:val="00DB3BA3"/>
    <w:rsid w:val="00DB3D9B"/>
    <w:rsid w:val="00DB476A"/>
    <w:rsid w:val="00DB478F"/>
    <w:rsid w:val="00DB48E6"/>
    <w:rsid w:val="00DB4E2F"/>
    <w:rsid w:val="00DB51E1"/>
    <w:rsid w:val="00DB5CAB"/>
    <w:rsid w:val="00DB70EF"/>
    <w:rsid w:val="00DB71FF"/>
    <w:rsid w:val="00DB7E4C"/>
    <w:rsid w:val="00DC0372"/>
    <w:rsid w:val="00DC045F"/>
    <w:rsid w:val="00DC0A02"/>
    <w:rsid w:val="00DC1052"/>
    <w:rsid w:val="00DC1199"/>
    <w:rsid w:val="00DC162E"/>
    <w:rsid w:val="00DC36AC"/>
    <w:rsid w:val="00DC3E60"/>
    <w:rsid w:val="00DC4386"/>
    <w:rsid w:val="00DC55E8"/>
    <w:rsid w:val="00DC66CD"/>
    <w:rsid w:val="00DC6794"/>
    <w:rsid w:val="00DC6902"/>
    <w:rsid w:val="00DC691C"/>
    <w:rsid w:val="00DC692F"/>
    <w:rsid w:val="00DD023C"/>
    <w:rsid w:val="00DD091A"/>
    <w:rsid w:val="00DD1993"/>
    <w:rsid w:val="00DD2076"/>
    <w:rsid w:val="00DD233D"/>
    <w:rsid w:val="00DD25F7"/>
    <w:rsid w:val="00DD279D"/>
    <w:rsid w:val="00DD2BCD"/>
    <w:rsid w:val="00DD51F2"/>
    <w:rsid w:val="00DD6A46"/>
    <w:rsid w:val="00DD6A4F"/>
    <w:rsid w:val="00DD7AB1"/>
    <w:rsid w:val="00DE02C4"/>
    <w:rsid w:val="00DE0B8C"/>
    <w:rsid w:val="00DE0D08"/>
    <w:rsid w:val="00DE0F62"/>
    <w:rsid w:val="00DE2FBC"/>
    <w:rsid w:val="00DE3A7E"/>
    <w:rsid w:val="00DE44FE"/>
    <w:rsid w:val="00DE46DD"/>
    <w:rsid w:val="00DE47D3"/>
    <w:rsid w:val="00DE51AC"/>
    <w:rsid w:val="00DE5AEC"/>
    <w:rsid w:val="00DE66FE"/>
    <w:rsid w:val="00DE670A"/>
    <w:rsid w:val="00DE6C0D"/>
    <w:rsid w:val="00DE6CC9"/>
    <w:rsid w:val="00DF0060"/>
    <w:rsid w:val="00DF0A8C"/>
    <w:rsid w:val="00DF175B"/>
    <w:rsid w:val="00DF2682"/>
    <w:rsid w:val="00DF2F13"/>
    <w:rsid w:val="00DF3059"/>
    <w:rsid w:val="00DF3291"/>
    <w:rsid w:val="00DF33A0"/>
    <w:rsid w:val="00DF4249"/>
    <w:rsid w:val="00DF4437"/>
    <w:rsid w:val="00DF451D"/>
    <w:rsid w:val="00DF4659"/>
    <w:rsid w:val="00DF55D3"/>
    <w:rsid w:val="00DF74A4"/>
    <w:rsid w:val="00DF799E"/>
    <w:rsid w:val="00DF7C15"/>
    <w:rsid w:val="00DF7E1C"/>
    <w:rsid w:val="00E0004A"/>
    <w:rsid w:val="00E00D61"/>
    <w:rsid w:val="00E00DBB"/>
    <w:rsid w:val="00E00E1B"/>
    <w:rsid w:val="00E0152D"/>
    <w:rsid w:val="00E01A65"/>
    <w:rsid w:val="00E02ADF"/>
    <w:rsid w:val="00E02B7A"/>
    <w:rsid w:val="00E02DB6"/>
    <w:rsid w:val="00E03110"/>
    <w:rsid w:val="00E03277"/>
    <w:rsid w:val="00E03FF5"/>
    <w:rsid w:val="00E058B7"/>
    <w:rsid w:val="00E05995"/>
    <w:rsid w:val="00E05DED"/>
    <w:rsid w:val="00E065EA"/>
    <w:rsid w:val="00E06CA8"/>
    <w:rsid w:val="00E06F76"/>
    <w:rsid w:val="00E07938"/>
    <w:rsid w:val="00E104FF"/>
    <w:rsid w:val="00E105AE"/>
    <w:rsid w:val="00E107D2"/>
    <w:rsid w:val="00E11D1D"/>
    <w:rsid w:val="00E121DE"/>
    <w:rsid w:val="00E1228F"/>
    <w:rsid w:val="00E1241E"/>
    <w:rsid w:val="00E1283F"/>
    <w:rsid w:val="00E13CA3"/>
    <w:rsid w:val="00E14995"/>
    <w:rsid w:val="00E14AB3"/>
    <w:rsid w:val="00E14B29"/>
    <w:rsid w:val="00E1639B"/>
    <w:rsid w:val="00E16A48"/>
    <w:rsid w:val="00E17DC2"/>
    <w:rsid w:val="00E20CA9"/>
    <w:rsid w:val="00E21618"/>
    <w:rsid w:val="00E21806"/>
    <w:rsid w:val="00E21A01"/>
    <w:rsid w:val="00E21FDC"/>
    <w:rsid w:val="00E22151"/>
    <w:rsid w:val="00E22DFD"/>
    <w:rsid w:val="00E23622"/>
    <w:rsid w:val="00E23A58"/>
    <w:rsid w:val="00E2692F"/>
    <w:rsid w:val="00E26B2B"/>
    <w:rsid w:val="00E26DF3"/>
    <w:rsid w:val="00E3056E"/>
    <w:rsid w:val="00E3064D"/>
    <w:rsid w:val="00E30975"/>
    <w:rsid w:val="00E30BA1"/>
    <w:rsid w:val="00E32075"/>
    <w:rsid w:val="00E3293B"/>
    <w:rsid w:val="00E33DB2"/>
    <w:rsid w:val="00E33F88"/>
    <w:rsid w:val="00E342F5"/>
    <w:rsid w:val="00E356C8"/>
    <w:rsid w:val="00E35853"/>
    <w:rsid w:val="00E36194"/>
    <w:rsid w:val="00E368FF"/>
    <w:rsid w:val="00E36ED2"/>
    <w:rsid w:val="00E36F5E"/>
    <w:rsid w:val="00E37546"/>
    <w:rsid w:val="00E3780C"/>
    <w:rsid w:val="00E40F3A"/>
    <w:rsid w:val="00E41C78"/>
    <w:rsid w:val="00E41D2C"/>
    <w:rsid w:val="00E429BD"/>
    <w:rsid w:val="00E435A9"/>
    <w:rsid w:val="00E4393D"/>
    <w:rsid w:val="00E43C31"/>
    <w:rsid w:val="00E449C8"/>
    <w:rsid w:val="00E44BA7"/>
    <w:rsid w:val="00E45909"/>
    <w:rsid w:val="00E4737D"/>
    <w:rsid w:val="00E47487"/>
    <w:rsid w:val="00E477D1"/>
    <w:rsid w:val="00E50358"/>
    <w:rsid w:val="00E50868"/>
    <w:rsid w:val="00E50B1D"/>
    <w:rsid w:val="00E5173B"/>
    <w:rsid w:val="00E520D8"/>
    <w:rsid w:val="00E527AE"/>
    <w:rsid w:val="00E52B39"/>
    <w:rsid w:val="00E53574"/>
    <w:rsid w:val="00E54C6A"/>
    <w:rsid w:val="00E55BB0"/>
    <w:rsid w:val="00E5645B"/>
    <w:rsid w:val="00E568E5"/>
    <w:rsid w:val="00E56BC0"/>
    <w:rsid w:val="00E56E27"/>
    <w:rsid w:val="00E57299"/>
    <w:rsid w:val="00E578E2"/>
    <w:rsid w:val="00E57987"/>
    <w:rsid w:val="00E60061"/>
    <w:rsid w:val="00E608B7"/>
    <w:rsid w:val="00E61623"/>
    <w:rsid w:val="00E61950"/>
    <w:rsid w:val="00E61957"/>
    <w:rsid w:val="00E61D77"/>
    <w:rsid w:val="00E6216C"/>
    <w:rsid w:val="00E6333F"/>
    <w:rsid w:val="00E635B5"/>
    <w:rsid w:val="00E639AF"/>
    <w:rsid w:val="00E64BF6"/>
    <w:rsid w:val="00E653AB"/>
    <w:rsid w:val="00E65C21"/>
    <w:rsid w:val="00E65F15"/>
    <w:rsid w:val="00E6604E"/>
    <w:rsid w:val="00E66BEB"/>
    <w:rsid w:val="00E66E23"/>
    <w:rsid w:val="00E673B4"/>
    <w:rsid w:val="00E67991"/>
    <w:rsid w:val="00E67AC1"/>
    <w:rsid w:val="00E70374"/>
    <w:rsid w:val="00E706B6"/>
    <w:rsid w:val="00E70E63"/>
    <w:rsid w:val="00E7119B"/>
    <w:rsid w:val="00E71CDE"/>
    <w:rsid w:val="00E724DC"/>
    <w:rsid w:val="00E72F73"/>
    <w:rsid w:val="00E73FE2"/>
    <w:rsid w:val="00E74811"/>
    <w:rsid w:val="00E74AC8"/>
    <w:rsid w:val="00E74FB5"/>
    <w:rsid w:val="00E76F6C"/>
    <w:rsid w:val="00E774F7"/>
    <w:rsid w:val="00E775FE"/>
    <w:rsid w:val="00E7775C"/>
    <w:rsid w:val="00E779A2"/>
    <w:rsid w:val="00E779E9"/>
    <w:rsid w:val="00E80426"/>
    <w:rsid w:val="00E80D6B"/>
    <w:rsid w:val="00E814C7"/>
    <w:rsid w:val="00E81D81"/>
    <w:rsid w:val="00E81ECF"/>
    <w:rsid w:val="00E82DC4"/>
    <w:rsid w:val="00E8451A"/>
    <w:rsid w:val="00E84580"/>
    <w:rsid w:val="00E84964"/>
    <w:rsid w:val="00E84A67"/>
    <w:rsid w:val="00E859A9"/>
    <w:rsid w:val="00E85DD1"/>
    <w:rsid w:val="00E87571"/>
    <w:rsid w:val="00E90145"/>
    <w:rsid w:val="00E90B94"/>
    <w:rsid w:val="00E931AA"/>
    <w:rsid w:val="00E93B70"/>
    <w:rsid w:val="00E941C6"/>
    <w:rsid w:val="00E9478A"/>
    <w:rsid w:val="00E94796"/>
    <w:rsid w:val="00E94A2E"/>
    <w:rsid w:val="00E95489"/>
    <w:rsid w:val="00E95760"/>
    <w:rsid w:val="00E9608A"/>
    <w:rsid w:val="00E96F5F"/>
    <w:rsid w:val="00E9701F"/>
    <w:rsid w:val="00EA1E07"/>
    <w:rsid w:val="00EA220B"/>
    <w:rsid w:val="00EA232F"/>
    <w:rsid w:val="00EA4CD7"/>
    <w:rsid w:val="00EA5513"/>
    <w:rsid w:val="00EA57A9"/>
    <w:rsid w:val="00EA5C25"/>
    <w:rsid w:val="00EA6486"/>
    <w:rsid w:val="00EA77CF"/>
    <w:rsid w:val="00EA7FB3"/>
    <w:rsid w:val="00EB0F6A"/>
    <w:rsid w:val="00EB1A82"/>
    <w:rsid w:val="00EB27D0"/>
    <w:rsid w:val="00EB31DD"/>
    <w:rsid w:val="00EB4280"/>
    <w:rsid w:val="00EB42A9"/>
    <w:rsid w:val="00EB44F7"/>
    <w:rsid w:val="00EB4F1C"/>
    <w:rsid w:val="00EB5857"/>
    <w:rsid w:val="00EB6350"/>
    <w:rsid w:val="00EB7D19"/>
    <w:rsid w:val="00EC1B12"/>
    <w:rsid w:val="00EC42CC"/>
    <w:rsid w:val="00EC4A85"/>
    <w:rsid w:val="00EC50A5"/>
    <w:rsid w:val="00EC51B2"/>
    <w:rsid w:val="00EC51F2"/>
    <w:rsid w:val="00EC567A"/>
    <w:rsid w:val="00EC6D61"/>
    <w:rsid w:val="00EC796B"/>
    <w:rsid w:val="00ED094B"/>
    <w:rsid w:val="00ED185A"/>
    <w:rsid w:val="00ED1BBB"/>
    <w:rsid w:val="00ED245A"/>
    <w:rsid w:val="00ED3FB5"/>
    <w:rsid w:val="00ED400A"/>
    <w:rsid w:val="00ED4461"/>
    <w:rsid w:val="00ED4DA4"/>
    <w:rsid w:val="00ED50E8"/>
    <w:rsid w:val="00ED6594"/>
    <w:rsid w:val="00ED73F5"/>
    <w:rsid w:val="00EE0764"/>
    <w:rsid w:val="00EE1C18"/>
    <w:rsid w:val="00EE2671"/>
    <w:rsid w:val="00EE2961"/>
    <w:rsid w:val="00EE2CD6"/>
    <w:rsid w:val="00EE34F1"/>
    <w:rsid w:val="00EE37AD"/>
    <w:rsid w:val="00EE42EB"/>
    <w:rsid w:val="00EE43CC"/>
    <w:rsid w:val="00EE5E2E"/>
    <w:rsid w:val="00EE6DED"/>
    <w:rsid w:val="00EE74D7"/>
    <w:rsid w:val="00EF0633"/>
    <w:rsid w:val="00EF0BB1"/>
    <w:rsid w:val="00EF2245"/>
    <w:rsid w:val="00EF284A"/>
    <w:rsid w:val="00EF2C2F"/>
    <w:rsid w:val="00EF310A"/>
    <w:rsid w:val="00EF3953"/>
    <w:rsid w:val="00EF4388"/>
    <w:rsid w:val="00EF47BE"/>
    <w:rsid w:val="00EF4B59"/>
    <w:rsid w:val="00EF4EB0"/>
    <w:rsid w:val="00EF5B11"/>
    <w:rsid w:val="00EF5E1F"/>
    <w:rsid w:val="00EF6B1E"/>
    <w:rsid w:val="00EF7048"/>
    <w:rsid w:val="00EF74ED"/>
    <w:rsid w:val="00EF7A15"/>
    <w:rsid w:val="00F00362"/>
    <w:rsid w:val="00F005D7"/>
    <w:rsid w:val="00F0088C"/>
    <w:rsid w:val="00F01338"/>
    <w:rsid w:val="00F01C67"/>
    <w:rsid w:val="00F01F33"/>
    <w:rsid w:val="00F026B4"/>
    <w:rsid w:val="00F041E2"/>
    <w:rsid w:val="00F05027"/>
    <w:rsid w:val="00F05216"/>
    <w:rsid w:val="00F0576F"/>
    <w:rsid w:val="00F05CF7"/>
    <w:rsid w:val="00F062E2"/>
    <w:rsid w:val="00F06981"/>
    <w:rsid w:val="00F06F93"/>
    <w:rsid w:val="00F102D2"/>
    <w:rsid w:val="00F10694"/>
    <w:rsid w:val="00F108FA"/>
    <w:rsid w:val="00F10B5B"/>
    <w:rsid w:val="00F10C0B"/>
    <w:rsid w:val="00F10D1E"/>
    <w:rsid w:val="00F10ED4"/>
    <w:rsid w:val="00F11570"/>
    <w:rsid w:val="00F11F37"/>
    <w:rsid w:val="00F13758"/>
    <w:rsid w:val="00F13E69"/>
    <w:rsid w:val="00F13F2F"/>
    <w:rsid w:val="00F140BA"/>
    <w:rsid w:val="00F142E7"/>
    <w:rsid w:val="00F16A04"/>
    <w:rsid w:val="00F16CE6"/>
    <w:rsid w:val="00F16D44"/>
    <w:rsid w:val="00F16EC0"/>
    <w:rsid w:val="00F2058B"/>
    <w:rsid w:val="00F2062E"/>
    <w:rsid w:val="00F20931"/>
    <w:rsid w:val="00F210ED"/>
    <w:rsid w:val="00F2134C"/>
    <w:rsid w:val="00F217BA"/>
    <w:rsid w:val="00F2189E"/>
    <w:rsid w:val="00F21ECF"/>
    <w:rsid w:val="00F2252B"/>
    <w:rsid w:val="00F22F66"/>
    <w:rsid w:val="00F260C1"/>
    <w:rsid w:val="00F26338"/>
    <w:rsid w:val="00F268B8"/>
    <w:rsid w:val="00F26976"/>
    <w:rsid w:val="00F26E9D"/>
    <w:rsid w:val="00F26EE0"/>
    <w:rsid w:val="00F270A5"/>
    <w:rsid w:val="00F27563"/>
    <w:rsid w:val="00F27B09"/>
    <w:rsid w:val="00F30045"/>
    <w:rsid w:val="00F30496"/>
    <w:rsid w:val="00F305D4"/>
    <w:rsid w:val="00F305EA"/>
    <w:rsid w:val="00F318C3"/>
    <w:rsid w:val="00F31BCD"/>
    <w:rsid w:val="00F31D65"/>
    <w:rsid w:val="00F323E6"/>
    <w:rsid w:val="00F32C76"/>
    <w:rsid w:val="00F32FE3"/>
    <w:rsid w:val="00F33375"/>
    <w:rsid w:val="00F34798"/>
    <w:rsid w:val="00F347B0"/>
    <w:rsid w:val="00F355AB"/>
    <w:rsid w:val="00F35BD7"/>
    <w:rsid w:val="00F362EB"/>
    <w:rsid w:val="00F36675"/>
    <w:rsid w:val="00F36892"/>
    <w:rsid w:val="00F3697F"/>
    <w:rsid w:val="00F372DD"/>
    <w:rsid w:val="00F37734"/>
    <w:rsid w:val="00F37ED2"/>
    <w:rsid w:val="00F417E9"/>
    <w:rsid w:val="00F41A17"/>
    <w:rsid w:val="00F428E4"/>
    <w:rsid w:val="00F42FFD"/>
    <w:rsid w:val="00F441F6"/>
    <w:rsid w:val="00F44205"/>
    <w:rsid w:val="00F45755"/>
    <w:rsid w:val="00F45F4F"/>
    <w:rsid w:val="00F46939"/>
    <w:rsid w:val="00F46D29"/>
    <w:rsid w:val="00F473AF"/>
    <w:rsid w:val="00F505B4"/>
    <w:rsid w:val="00F5076E"/>
    <w:rsid w:val="00F51914"/>
    <w:rsid w:val="00F51BBA"/>
    <w:rsid w:val="00F522FF"/>
    <w:rsid w:val="00F525ED"/>
    <w:rsid w:val="00F531B6"/>
    <w:rsid w:val="00F5422A"/>
    <w:rsid w:val="00F542CC"/>
    <w:rsid w:val="00F5527D"/>
    <w:rsid w:val="00F56560"/>
    <w:rsid w:val="00F574E2"/>
    <w:rsid w:val="00F57A87"/>
    <w:rsid w:val="00F60CA5"/>
    <w:rsid w:val="00F610C8"/>
    <w:rsid w:val="00F61B30"/>
    <w:rsid w:val="00F61B6C"/>
    <w:rsid w:val="00F62F2C"/>
    <w:rsid w:val="00F632D6"/>
    <w:rsid w:val="00F63613"/>
    <w:rsid w:val="00F6369D"/>
    <w:rsid w:val="00F638A2"/>
    <w:rsid w:val="00F65475"/>
    <w:rsid w:val="00F65B6C"/>
    <w:rsid w:val="00F66190"/>
    <w:rsid w:val="00F664F3"/>
    <w:rsid w:val="00F6661C"/>
    <w:rsid w:val="00F7015F"/>
    <w:rsid w:val="00F70711"/>
    <w:rsid w:val="00F70D87"/>
    <w:rsid w:val="00F70F54"/>
    <w:rsid w:val="00F70F63"/>
    <w:rsid w:val="00F7110D"/>
    <w:rsid w:val="00F713C5"/>
    <w:rsid w:val="00F71E3F"/>
    <w:rsid w:val="00F72233"/>
    <w:rsid w:val="00F72892"/>
    <w:rsid w:val="00F737E3"/>
    <w:rsid w:val="00F7386A"/>
    <w:rsid w:val="00F73A6A"/>
    <w:rsid w:val="00F73AA5"/>
    <w:rsid w:val="00F73AE3"/>
    <w:rsid w:val="00F75336"/>
    <w:rsid w:val="00F7543A"/>
    <w:rsid w:val="00F75D93"/>
    <w:rsid w:val="00F76ECE"/>
    <w:rsid w:val="00F77385"/>
    <w:rsid w:val="00F77DE3"/>
    <w:rsid w:val="00F77FAA"/>
    <w:rsid w:val="00F805FE"/>
    <w:rsid w:val="00F806A9"/>
    <w:rsid w:val="00F80869"/>
    <w:rsid w:val="00F80D04"/>
    <w:rsid w:val="00F81B3B"/>
    <w:rsid w:val="00F8288F"/>
    <w:rsid w:val="00F82FAE"/>
    <w:rsid w:val="00F83283"/>
    <w:rsid w:val="00F832EB"/>
    <w:rsid w:val="00F83351"/>
    <w:rsid w:val="00F83636"/>
    <w:rsid w:val="00F83E06"/>
    <w:rsid w:val="00F8603F"/>
    <w:rsid w:val="00F8615C"/>
    <w:rsid w:val="00F863A4"/>
    <w:rsid w:val="00F86C9F"/>
    <w:rsid w:val="00F86FBF"/>
    <w:rsid w:val="00F87128"/>
    <w:rsid w:val="00F876AA"/>
    <w:rsid w:val="00F87BD1"/>
    <w:rsid w:val="00F91152"/>
    <w:rsid w:val="00F91521"/>
    <w:rsid w:val="00F916DB"/>
    <w:rsid w:val="00F91768"/>
    <w:rsid w:val="00F918C5"/>
    <w:rsid w:val="00F92386"/>
    <w:rsid w:val="00F92AA9"/>
    <w:rsid w:val="00F93148"/>
    <w:rsid w:val="00F93677"/>
    <w:rsid w:val="00F9658C"/>
    <w:rsid w:val="00F96878"/>
    <w:rsid w:val="00F973BB"/>
    <w:rsid w:val="00F97F19"/>
    <w:rsid w:val="00FA06F5"/>
    <w:rsid w:val="00FA1489"/>
    <w:rsid w:val="00FA14C1"/>
    <w:rsid w:val="00FA1A37"/>
    <w:rsid w:val="00FA2019"/>
    <w:rsid w:val="00FA29D8"/>
    <w:rsid w:val="00FA3178"/>
    <w:rsid w:val="00FA39FB"/>
    <w:rsid w:val="00FA4379"/>
    <w:rsid w:val="00FA5D23"/>
    <w:rsid w:val="00FA6AD2"/>
    <w:rsid w:val="00FA6B78"/>
    <w:rsid w:val="00FA74A3"/>
    <w:rsid w:val="00FA7BA9"/>
    <w:rsid w:val="00FA7D0D"/>
    <w:rsid w:val="00FB097C"/>
    <w:rsid w:val="00FB0BE3"/>
    <w:rsid w:val="00FB1718"/>
    <w:rsid w:val="00FB1C60"/>
    <w:rsid w:val="00FB3330"/>
    <w:rsid w:val="00FB3D90"/>
    <w:rsid w:val="00FB4024"/>
    <w:rsid w:val="00FB45CA"/>
    <w:rsid w:val="00FB4D16"/>
    <w:rsid w:val="00FB5625"/>
    <w:rsid w:val="00FB56B2"/>
    <w:rsid w:val="00FB5889"/>
    <w:rsid w:val="00FB5BF2"/>
    <w:rsid w:val="00FB5ED7"/>
    <w:rsid w:val="00FB634C"/>
    <w:rsid w:val="00FB6F3E"/>
    <w:rsid w:val="00FB73EC"/>
    <w:rsid w:val="00FC0272"/>
    <w:rsid w:val="00FC02D9"/>
    <w:rsid w:val="00FC15B3"/>
    <w:rsid w:val="00FC1BD8"/>
    <w:rsid w:val="00FC29B5"/>
    <w:rsid w:val="00FC2CF6"/>
    <w:rsid w:val="00FC32EE"/>
    <w:rsid w:val="00FC3357"/>
    <w:rsid w:val="00FC35E6"/>
    <w:rsid w:val="00FC412D"/>
    <w:rsid w:val="00FC456B"/>
    <w:rsid w:val="00FC4B0F"/>
    <w:rsid w:val="00FC53E1"/>
    <w:rsid w:val="00FC5935"/>
    <w:rsid w:val="00FC62B9"/>
    <w:rsid w:val="00FC69FC"/>
    <w:rsid w:val="00FC6A55"/>
    <w:rsid w:val="00FC75BD"/>
    <w:rsid w:val="00FD016F"/>
    <w:rsid w:val="00FD01F0"/>
    <w:rsid w:val="00FD0D16"/>
    <w:rsid w:val="00FD0FDA"/>
    <w:rsid w:val="00FD177F"/>
    <w:rsid w:val="00FD3E61"/>
    <w:rsid w:val="00FD41E2"/>
    <w:rsid w:val="00FD4C47"/>
    <w:rsid w:val="00FD4EB1"/>
    <w:rsid w:val="00FD5CE7"/>
    <w:rsid w:val="00FD6482"/>
    <w:rsid w:val="00FD6518"/>
    <w:rsid w:val="00FD6603"/>
    <w:rsid w:val="00FD6724"/>
    <w:rsid w:val="00FD6FA4"/>
    <w:rsid w:val="00FD74D5"/>
    <w:rsid w:val="00FE0449"/>
    <w:rsid w:val="00FE0E1C"/>
    <w:rsid w:val="00FE1089"/>
    <w:rsid w:val="00FE204C"/>
    <w:rsid w:val="00FE23F2"/>
    <w:rsid w:val="00FE268E"/>
    <w:rsid w:val="00FE2D23"/>
    <w:rsid w:val="00FE37B4"/>
    <w:rsid w:val="00FE3F08"/>
    <w:rsid w:val="00FE6E0E"/>
    <w:rsid w:val="00FE70BE"/>
    <w:rsid w:val="00FE74CC"/>
    <w:rsid w:val="00FE7B61"/>
    <w:rsid w:val="00FF1C9D"/>
    <w:rsid w:val="00FF3198"/>
    <w:rsid w:val="00FF3553"/>
    <w:rsid w:val="00FF3BD3"/>
    <w:rsid w:val="00FF40F2"/>
    <w:rsid w:val="00FF4A19"/>
    <w:rsid w:val="00FF53CE"/>
    <w:rsid w:val="00FF5694"/>
    <w:rsid w:val="00FF6570"/>
    <w:rsid w:val="00FF6BDB"/>
    <w:rsid w:val="00FF7B96"/>
    <w:rsid w:val="00FF7E89"/>
    <w:rsid w:val="019DAF91"/>
    <w:rsid w:val="02EF1F91"/>
    <w:rsid w:val="0308EB0C"/>
    <w:rsid w:val="034DAA75"/>
    <w:rsid w:val="0397D133"/>
    <w:rsid w:val="04F6CBB9"/>
    <w:rsid w:val="067851B2"/>
    <w:rsid w:val="074F91BC"/>
    <w:rsid w:val="093A144C"/>
    <w:rsid w:val="0999EEA9"/>
    <w:rsid w:val="0ACAD46A"/>
    <w:rsid w:val="0B064CED"/>
    <w:rsid w:val="0DDFC029"/>
    <w:rsid w:val="0E3FD437"/>
    <w:rsid w:val="0E79B044"/>
    <w:rsid w:val="0FAFB01C"/>
    <w:rsid w:val="10A3FC2F"/>
    <w:rsid w:val="14140DCE"/>
    <w:rsid w:val="146547C6"/>
    <w:rsid w:val="171163D6"/>
    <w:rsid w:val="188D221A"/>
    <w:rsid w:val="195006C0"/>
    <w:rsid w:val="1A9C4F36"/>
    <w:rsid w:val="1C4B72EF"/>
    <w:rsid w:val="1E757B97"/>
    <w:rsid w:val="2057E6B2"/>
    <w:rsid w:val="206B8CC7"/>
    <w:rsid w:val="21FA2631"/>
    <w:rsid w:val="2225D24A"/>
    <w:rsid w:val="230D1E9C"/>
    <w:rsid w:val="239E7CD1"/>
    <w:rsid w:val="23CFF36C"/>
    <w:rsid w:val="2485C1A4"/>
    <w:rsid w:val="25E88D77"/>
    <w:rsid w:val="273C8CC3"/>
    <w:rsid w:val="28FEF615"/>
    <w:rsid w:val="2B01A4FB"/>
    <w:rsid w:val="2B1DA1D7"/>
    <w:rsid w:val="2B3D28D0"/>
    <w:rsid w:val="2BEA0602"/>
    <w:rsid w:val="2D432DA6"/>
    <w:rsid w:val="2DE4F9AA"/>
    <w:rsid w:val="2E4BD194"/>
    <w:rsid w:val="30D5EB83"/>
    <w:rsid w:val="31810CCA"/>
    <w:rsid w:val="33F900EF"/>
    <w:rsid w:val="34A2A124"/>
    <w:rsid w:val="36B7ADF2"/>
    <w:rsid w:val="375630C6"/>
    <w:rsid w:val="3780B926"/>
    <w:rsid w:val="39CF963F"/>
    <w:rsid w:val="3CD6909B"/>
    <w:rsid w:val="3DA1B490"/>
    <w:rsid w:val="3EAE4B19"/>
    <w:rsid w:val="3F20B499"/>
    <w:rsid w:val="3F563A8A"/>
    <w:rsid w:val="3F79C563"/>
    <w:rsid w:val="3FF5FEBD"/>
    <w:rsid w:val="4093F791"/>
    <w:rsid w:val="41057B32"/>
    <w:rsid w:val="417D10F3"/>
    <w:rsid w:val="4226EED6"/>
    <w:rsid w:val="429C0AC2"/>
    <w:rsid w:val="43D7C67D"/>
    <w:rsid w:val="442CFF47"/>
    <w:rsid w:val="4561417F"/>
    <w:rsid w:val="46A99424"/>
    <w:rsid w:val="47BCDE00"/>
    <w:rsid w:val="47D9A6C5"/>
    <w:rsid w:val="47DFEEDE"/>
    <w:rsid w:val="48900185"/>
    <w:rsid w:val="4985DEE5"/>
    <w:rsid w:val="4EB69F2D"/>
    <w:rsid w:val="4EBEFB87"/>
    <w:rsid w:val="4EFC4C3F"/>
    <w:rsid w:val="505D9760"/>
    <w:rsid w:val="51F8BF7F"/>
    <w:rsid w:val="53C42D4E"/>
    <w:rsid w:val="54756559"/>
    <w:rsid w:val="54862939"/>
    <w:rsid w:val="54F4E6E6"/>
    <w:rsid w:val="57719BB6"/>
    <w:rsid w:val="58141B99"/>
    <w:rsid w:val="581CE190"/>
    <w:rsid w:val="58A73FE5"/>
    <w:rsid w:val="5935F554"/>
    <w:rsid w:val="5A5DC115"/>
    <w:rsid w:val="5A6026BF"/>
    <w:rsid w:val="5CBCB61D"/>
    <w:rsid w:val="5D05CA5E"/>
    <w:rsid w:val="5F3B8165"/>
    <w:rsid w:val="626A3C85"/>
    <w:rsid w:val="6436B1D4"/>
    <w:rsid w:val="64A729E8"/>
    <w:rsid w:val="671B9E15"/>
    <w:rsid w:val="67214B35"/>
    <w:rsid w:val="67700E19"/>
    <w:rsid w:val="68468291"/>
    <w:rsid w:val="698BB1FB"/>
    <w:rsid w:val="6E23D068"/>
    <w:rsid w:val="6F9D7AB8"/>
    <w:rsid w:val="6FD88082"/>
    <w:rsid w:val="702C8F91"/>
    <w:rsid w:val="70D39BA6"/>
    <w:rsid w:val="711331BE"/>
    <w:rsid w:val="7144D387"/>
    <w:rsid w:val="73742342"/>
    <w:rsid w:val="73C40CFF"/>
    <w:rsid w:val="74254921"/>
    <w:rsid w:val="75EA7132"/>
    <w:rsid w:val="75FABD86"/>
    <w:rsid w:val="7757B939"/>
    <w:rsid w:val="78207552"/>
    <w:rsid w:val="7888190D"/>
    <w:rsid w:val="7991B5E3"/>
    <w:rsid w:val="7C9D9B8D"/>
    <w:rsid w:val="7CD09102"/>
    <w:rsid w:val="7F470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52792"/>
  <w14:defaultImageDpi w14:val="300"/>
  <w15:docId w15:val="{AED9094A-342B-9240-9690-8F291A46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1B2D"/>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899"/>
    <w:pPr>
      <w:ind w:left="720"/>
      <w:contextualSpacing/>
    </w:pPr>
  </w:style>
  <w:style w:type="paragraph" w:customStyle="1" w:styleId="EndNoteBibliography">
    <w:name w:val="EndNote Bibliography"/>
    <w:basedOn w:val="a"/>
    <w:link w:val="EndNoteBibliography0"/>
    <w:rsid w:val="00A646C0"/>
    <w:rPr>
      <w:rFonts w:ascii="Calibri" w:hAnsi="Calibri" w:cs="Calibri"/>
      <w:sz w:val="22"/>
    </w:rPr>
  </w:style>
  <w:style w:type="character" w:customStyle="1" w:styleId="EndNoteBibliography0">
    <w:name w:val="EndNote Bibliography 字符"/>
    <w:basedOn w:val="a0"/>
    <w:link w:val="EndNoteBibliography"/>
    <w:rsid w:val="00A646C0"/>
    <w:rPr>
      <w:rFonts w:eastAsia="宋体" w:cs="Calibri"/>
      <w:szCs w:val="24"/>
      <w:lang w:eastAsia="zh-CN"/>
    </w:rPr>
  </w:style>
  <w:style w:type="paragraph" w:customStyle="1" w:styleId="EndNoteBibliographyTitle">
    <w:name w:val="EndNote Bibliography Title"/>
    <w:basedOn w:val="a"/>
    <w:link w:val="EndNoteBibliographyTitle0"/>
    <w:rsid w:val="007A6BD4"/>
    <w:pPr>
      <w:jc w:val="center"/>
    </w:pPr>
    <w:rPr>
      <w:rFonts w:ascii="Calibri" w:hAnsi="Calibri" w:cs="Calibri"/>
      <w:sz w:val="22"/>
    </w:rPr>
  </w:style>
  <w:style w:type="character" w:customStyle="1" w:styleId="EndNoteBibliographyTitle0">
    <w:name w:val="EndNote Bibliography Title 字符"/>
    <w:basedOn w:val="a0"/>
    <w:link w:val="EndNoteBibliographyTitle"/>
    <w:rsid w:val="007A6BD4"/>
    <w:rPr>
      <w:rFonts w:eastAsia="宋体" w:cs="Calibri"/>
      <w:szCs w:val="24"/>
      <w:lang w:eastAsia="zh-CN"/>
    </w:rPr>
  </w:style>
  <w:style w:type="character" w:styleId="a4">
    <w:name w:val="Hyperlink"/>
    <w:basedOn w:val="a0"/>
    <w:uiPriority w:val="99"/>
    <w:unhideWhenUsed/>
    <w:rsid w:val="007A6BD4"/>
    <w:rPr>
      <w:color w:val="0000FF" w:themeColor="hyperlink"/>
      <w:u w:val="single"/>
    </w:rPr>
  </w:style>
  <w:style w:type="character" w:styleId="a5">
    <w:name w:val="Unresolved Mention"/>
    <w:basedOn w:val="a0"/>
    <w:uiPriority w:val="99"/>
    <w:semiHidden/>
    <w:unhideWhenUsed/>
    <w:rsid w:val="007A6BD4"/>
    <w:rPr>
      <w:color w:val="605E5C"/>
      <w:shd w:val="clear" w:color="auto" w:fill="E1DFDD"/>
    </w:rPr>
  </w:style>
  <w:style w:type="table" w:styleId="a6">
    <w:name w:val="Table Grid"/>
    <w:basedOn w:val="a1"/>
    <w:uiPriority w:val="39"/>
    <w:rsid w:val="000B3980"/>
    <w:rPr>
      <w:rFonts w:asciiTheme="minorHAnsi" w:hAnsiTheme="minorHAns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432CBF"/>
    <w:rPr>
      <w:rFonts w:asciiTheme="minorHAnsi" w:hAnsiTheme="minorHAnsi"/>
      <w:kern w:val="2"/>
      <w:sz w:val="21"/>
      <w:szCs w:val="24"/>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Revision"/>
    <w:hidden/>
    <w:uiPriority w:val="99"/>
    <w:semiHidden/>
    <w:rsid w:val="00715509"/>
    <w:rPr>
      <w:lang w:val="en-GB"/>
    </w:rPr>
  </w:style>
  <w:style w:type="character" w:styleId="a8">
    <w:name w:val="annotation reference"/>
    <w:basedOn w:val="a0"/>
    <w:uiPriority w:val="99"/>
    <w:semiHidden/>
    <w:unhideWhenUsed/>
    <w:rsid w:val="00E02DB6"/>
    <w:rPr>
      <w:sz w:val="16"/>
      <w:szCs w:val="16"/>
    </w:rPr>
  </w:style>
  <w:style w:type="paragraph" w:styleId="a9">
    <w:name w:val="annotation text"/>
    <w:basedOn w:val="a"/>
    <w:link w:val="aa"/>
    <w:uiPriority w:val="99"/>
    <w:unhideWhenUsed/>
    <w:rsid w:val="00E02DB6"/>
    <w:rPr>
      <w:sz w:val="20"/>
      <w:szCs w:val="20"/>
    </w:rPr>
  </w:style>
  <w:style w:type="character" w:customStyle="1" w:styleId="aa">
    <w:name w:val="批注文字 字符"/>
    <w:basedOn w:val="a0"/>
    <w:link w:val="a9"/>
    <w:uiPriority w:val="99"/>
    <w:rsid w:val="00E02DB6"/>
    <w:rPr>
      <w:sz w:val="20"/>
      <w:szCs w:val="20"/>
      <w:lang w:val="en-GB"/>
    </w:rPr>
  </w:style>
  <w:style w:type="paragraph" w:styleId="ab">
    <w:name w:val="annotation subject"/>
    <w:basedOn w:val="a9"/>
    <w:next w:val="a9"/>
    <w:link w:val="ac"/>
    <w:uiPriority w:val="99"/>
    <w:semiHidden/>
    <w:unhideWhenUsed/>
    <w:rsid w:val="00E02DB6"/>
    <w:rPr>
      <w:b/>
      <w:bCs/>
    </w:rPr>
  </w:style>
  <w:style w:type="character" w:customStyle="1" w:styleId="ac">
    <w:name w:val="批注主题 字符"/>
    <w:basedOn w:val="aa"/>
    <w:link w:val="ab"/>
    <w:uiPriority w:val="99"/>
    <w:semiHidden/>
    <w:rsid w:val="00E02DB6"/>
    <w:rPr>
      <w:b/>
      <w:bCs/>
      <w:sz w:val="20"/>
      <w:szCs w:val="20"/>
      <w:lang w:val="en-GB"/>
    </w:rPr>
  </w:style>
  <w:style w:type="paragraph" w:customStyle="1" w:styleId="paragraph">
    <w:name w:val="paragraph"/>
    <w:basedOn w:val="a"/>
    <w:rsid w:val="00F71E3F"/>
    <w:pPr>
      <w:spacing w:before="100" w:beforeAutospacing="1" w:after="100" w:afterAutospacing="1"/>
    </w:pPr>
  </w:style>
  <w:style w:type="character" w:customStyle="1" w:styleId="normaltextrun">
    <w:name w:val="normaltextrun"/>
    <w:basedOn w:val="a0"/>
    <w:rsid w:val="00F71E3F"/>
  </w:style>
  <w:style w:type="character" w:customStyle="1" w:styleId="eop">
    <w:name w:val="eop"/>
    <w:basedOn w:val="a0"/>
    <w:rsid w:val="00F71E3F"/>
  </w:style>
  <w:style w:type="character" w:customStyle="1" w:styleId="apple-converted-space">
    <w:name w:val="apple-converted-space"/>
    <w:basedOn w:val="a0"/>
    <w:rsid w:val="00965A7C"/>
  </w:style>
  <w:style w:type="numbering" w:customStyle="1" w:styleId="1">
    <w:name w:val="当前列表1"/>
    <w:uiPriority w:val="99"/>
    <w:rsid w:val="00071F10"/>
    <w:pPr>
      <w:numPr>
        <w:numId w:val="17"/>
      </w:numPr>
    </w:pPr>
  </w:style>
  <w:style w:type="numbering" w:customStyle="1" w:styleId="2">
    <w:name w:val="当前列表2"/>
    <w:uiPriority w:val="99"/>
    <w:rsid w:val="00527539"/>
    <w:pPr>
      <w:numPr>
        <w:numId w:val="21"/>
      </w:numPr>
    </w:pPr>
  </w:style>
  <w:style w:type="character" w:customStyle="1" w:styleId="ad">
    <w:name w:val="页眉 字符"/>
    <w:basedOn w:val="a0"/>
    <w:link w:val="ae"/>
    <w:uiPriority w:val="99"/>
  </w:style>
  <w:style w:type="paragraph" w:styleId="ae">
    <w:name w:val="header"/>
    <w:basedOn w:val="a"/>
    <w:link w:val="ad"/>
    <w:uiPriority w:val="99"/>
    <w:unhideWhenUsed/>
    <w:pPr>
      <w:tabs>
        <w:tab w:val="center" w:pos="4680"/>
        <w:tab w:val="right" w:pos="9360"/>
      </w:tabs>
    </w:pPr>
  </w:style>
  <w:style w:type="character" w:customStyle="1" w:styleId="af">
    <w:name w:val="页脚 字符"/>
    <w:basedOn w:val="a0"/>
    <w:link w:val="af0"/>
    <w:uiPriority w:val="99"/>
  </w:style>
  <w:style w:type="paragraph" w:styleId="af0">
    <w:name w:val="footer"/>
    <w:basedOn w:val="a"/>
    <w:link w:val="af"/>
    <w:uiPriority w:val="99"/>
    <w:unhideWhenUsed/>
    <w:pPr>
      <w:tabs>
        <w:tab w:val="center" w:pos="4680"/>
        <w:tab w:val="right" w:pos="9360"/>
      </w:tabs>
    </w:pPr>
  </w:style>
  <w:style w:type="character" w:styleId="af1">
    <w:name w:val="Strong"/>
    <w:basedOn w:val="a0"/>
    <w:uiPriority w:val="22"/>
    <w:qFormat/>
    <w:rsid w:val="00003078"/>
    <w:rPr>
      <w:b/>
      <w:bCs/>
    </w:rPr>
  </w:style>
  <w:style w:type="character" w:styleId="af2">
    <w:name w:val="FollowedHyperlink"/>
    <w:basedOn w:val="a0"/>
    <w:uiPriority w:val="99"/>
    <w:semiHidden/>
    <w:unhideWhenUsed/>
    <w:rsid w:val="00C8031A"/>
    <w:rPr>
      <w:color w:val="800080" w:themeColor="followedHyperlink"/>
      <w:u w:val="single"/>
    </w:rPr>
  </w:style>
  <w:style w:type="paragraph" w:customStyle="1" w:styleId="Articletitle">
    <w:name w:val="Article title"/>
    <w:basedOn w:val="a"/>
    <w:next w:val="a"/>
    <w:qFormat/>
    <w:rsid w:val="007241AD"/>
    <w:pPr>
      <w:spacing w:after="120" w:line="360" w:lineRule="auto"/>
    </w:pPr>
    <w:rPr>
      <w:rFonts w:ascii="Times New Roman" w:hAnsi="Times New Roman" w:cs="Times New Roman"/>
      <w:b/>
      <w:sz w:val="28"/>
      <w:lang w:eastAsia="en-GB"/>
    </w:rPr>
  </w:style>
  <w:style w:type="paragraph" w:customStyle="1" w:styleId="Authornames">
    <w:name w:val="Author names"/>
    <w:basedOn w:val="a"/>
    <w:next w:val="a"/>
    <w:qFormat/>
    <w:rsid w:val="007241AD"/>
    <w:pPr>
      <w:spacing w:before="240" w:line="360" w:lineRule="auto"/>
    </w:pPr>
    <w:rPr>
      <w:rFonts w:ascii="Times New Roman" w:hAnsi="Times New Roman" w:cs="Times New Roman"/>
      <w:sz w:val="28"/>
      <w:lang w:eastAsia="en-GB"/>
    </w:rPr>
  </w:style>
  <w:style w:type="paragraph" w:customStyle="1" w:styleId="Affiliation">
    <w:name w:val="Affiliation"/>
    <w:basedOn w:val="a"/>
    <w:qFormat/>
    <w:rsid w:val="007241AD"/>
    <w:pPr>
      <w:spacing w:before="240" w:line="360" w:lineRule="auto"/>
    </w:pPr>
    <w:rPr>
      <w:rFonts w:ascii="Times New Roman" w:hAnsi="Times New Roman" w:cs="Times New Roman"/>
      <w:i/>
      <w:lang w:eastAsia="en-GB"/>
    </w:rPr>
  </w:style>
  <w:style w:type="paragraph" w:customStyle="1" w:styleId="Correspondencedetails">
    <w:name w:val="Correspondence details"/>
    <w:basedOn w:val="a"/>
    <w:qFormat/>
    <w:rsid w:val="007241AD"/>
    <w:pPr>
      <w:spacing w:before="240" w:line="360" w:lineRule="auto"/>
    </w:pPr>
    <w:rPr>
      <w:rFonts w:ascii="Times New Roman" w:hAnsi="Times New Roman" w:cs="Times New Roman"/>
      <w:lang w:eastAsia="en-GB"/>
    </w:rPr>
  </w:style>
  <w:style w:type="character" w:styleId="af3">
    <w:name w:val="line number"/>
    <w:basedOn w:val="a0"/>
    <w:uiPriority w:val="99"/>
    <w:semiHidden/>
    <w:unhideWhenUsed/>
    <w:rsid w:val="005B2EEE"/>
  </w:style>
  <w:style w:type="paragraph" w:customStyle="1" w:styleId="EndNoteCategoryHeading">
    <w:name w:val="EndNote Category Heading"/>
    <w:basedOn w:val="a"/>
    <w:link w:val="EndNoteCategoryHeadingChar"/>
    <w:rsid w:val="005727DB"/>
    <w:pPr>
      <w:spacing w:before="120" w:after="120"/>
    </w:pPr>
    <w:rPr>
      <w:b/>
    </w:rPr>
  </w:style>
  <w:style w:type="character" w:customStyle="1" w:styleId="EndNoteCategoryHeadingChar">
    <w:name w:val="EndNote Category Heading Char"/>
    <w:basedOn w:val="a0"/>
    <w:link w:val="EndNoteCategoryHeading"/>
    <w:rsid w:val="005727DB"/>
    <w:rPr>
      <w:rFonts w:ascii="宋体" w:eastAsia="宋体" w:hAnsi="宋体" w:cs="宋体"/>
      <w:b/>
      <w:sz w:val="24"/>
      <w:szCs w:val="24"/>
      <w:lang w:eastAsia="zh-CN"/>
    </w:rPr>
  </w:style>
  <w:style w:type="paragraph" w:styleId="af4">
    <w:name w:val="Normal (Web)"/>
    <w:basedOn w:val="a"/>
    <w:uiPriority w:val="99"/>
    <w:semiHidden/>
    <w:unhideWhenUsed/>
    <w:rsid w:val="009F14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79461">
      <w:bodyDiv w:val="1"/>
      <w:marLeft w:val="0"/>
      <w:marRight w:val="0"/>
      <w:marTop w:val="0"/>
      <w:marBottom w:val="0"/>
      <w:divBdr>
        <w:top w:val="none" w:sz="0" w:space="0" w:color="auto"/>
        <w:left w:val="none" w:sz="0" w:space="0" w:color="auto"/>
        <w:bottom w:val="none" w:sz="0" w:space="0" w:color="auto"/>
        <w:right w:val="none" w:sz="0" w:space="0" w:color="auto"/>
      </w:divBdr>
    </w:div>
    <w:div w:id="49110061">
      <w:bodyDiv w:val="1"/>
      <w:marLeft w:val="0"/>
      <w:marRight w:val="0"/>
      <w:marTop w:val="0"/>
      <w:marBottom w:val="0"/>
      <w:divBdr>
        <w:top w:val="none" w:sz="0" w:space="0" w:color="auto"/>
        <w:left w:val="none" w:sz="0" w:space="0" w:color="auto"/>
        <w:bottom w:val="none" w:sz="0" w:space="0" w:color="auto"/>
        <w:right w:val="none" w:sz="0" w:space="0" w:color="auto"/>
      </w:divBdr>
    </w:div>
    <w:div w:id="104496210">
      <w:bodyDiv w:val="1"/>
      <w:marLeft w:val="0"/>
      <w:marRight w:val="0"/>
      <w:marTop w:val="0"/>
      <w:marBottom w:val="0"/>
      <w:divBdr>
        <w:top w:val="none" w:sz="0" w:space="0" w:color="auto"/>
        <w:left w:val="none" w:sz="0" w:space="0" w:color="auto"/>
        <w:bottom w:val="none" w:sz="0" w:space="0" w:color="auto"/>
        <w:right w:val="none" w:sz="0" w:space="0" w:color="auto"/>
      </w:divBdr>
    </w:div>
    <w:div w:id="112873723">
      <w:bodyDiv w:val="1"/>
      <w:marLeft w:val="0"/>
      <w:marRight w:val="0"/>
      <w:marTop w:val="0"/>
      <w:marBottom w:val="0"/>
      <w:divBdr>
        <w:top w:val="none" w:sz="0" w:space="0" w:color="auto"/>
        <w:left w:val="none" w:sz="0" w:space="0" w:color="auto"/>
        <w:bottom w:val="none" w:sz="0" w:space="0" w:color="auto"/>
        <w:right w:val="none" w:sz="0" w:space="0" w:color="auto"/>
      </w:divBdr>
    </w:div>
    <w:div w:id="157155893">
      <w:bodyDiv w:val="1"/>
      <w:marLeft w:val="0"/>
      <w:marRight w:val="0"/>
      <w:marTop w:val="0"/>
      <w:marBottom w:val="0"/>
      <w:divBdr>
        <w:top w:val="none" w:sz="0" w:space="0" w:color="auto"/>
        <w:left w:val="none" w:sz="0" w:space="0" w:color="auto"/>
        <w:bottom w:val="none" w:sz="0" w:space="0" w:color="auto"/>
        <w:right w:val="none" w:sz="0" w:space="0" w:color="auto"/>
      </w:divBdr>
      <w:divsChild>
        <w:div w:id="93982048">
          <w:marLeft w:val="0"/>
          <w:marRight w:val="0"/>
          <w:marTop w:val="0"/>
          <w:marBottom w:val="0"/>
          <w:divBdr>
            <w:top w:val="none" w:sz="0" w:space="0" w:color="auto"/>
            <w:left w:val="none" w:sz="0" w:space="0" w:color="auto"/>
            <w:bottom w:val="none" w:sz="0" w:space="0" w:color="auto"/>
            <w:right w:val="none" w:sz="0" w:space="0" w:color="auto"/>
          </w:divBdr>
          <w:divsChild>
            <w:div w:id="1190534750">
              <w:marLeft w:val="0"/>
              <w:marRight w:val="0"/>
              <w:marTop w:val="0"/>
              <w:marBottom w:val="0"/>
              <w:divBdr>
                <w:top w:val="none" w:sz="0" w:space="0" w:color="auto"/>
                <w:left w:val="none" w:sz="0" w:space="0" w:color="auto"/>
                <w:bottom w:val="none" w:sz="0" w:space="0" w:color="auto"/>
                <w:right w:val="none" w:sz="0" w:space="0" w:color="auto"/>
              </w:divBdr>
            </w:div>
          </w:divsChild>
        </w:div>
        <w:div w:id="160895425">
          <w:marLeft w:val="0"/>
          <w:marRight w:val="0"/>
          <w:marTop w:val="0"/>
          <w:marBottom w:val="0"/>
          <w:divBdr>
            <w:top w:val="none" w:sz="0" w:space="0" w:color="auto"/>
            <w:left w:val="none" w:sz="0" w:space="0" w:color="auto"/>
            <w:bottom w:val="none" w:sz="0" w:space="0" w:color="auto"/>
            <w:right w:val="none" w:sz="0" w:space="0" w:color="auto"/>
          </w:divBdr>
          <w:divsChild>
            <w:div w:id="1386639378">
              <w:marLeft w:val="0"/>
              <w:marRight w:val="0"/>
              <w:marTop w:val="0"/>
              <w:marBottom w:val="0"/>
              <w:divBdr>
                <w:top w:val="none" w:sz="0" w:space="0" w:color="auto"/>
                <w:left w:val="none" w:sz="0" w:space="0" w:color="auto"/>
                <w:bottom w:val="none" w:sz="0" w:space="0" w:color="auto"/>
                <w:right w:val="none" w:sz="0" w:space="0" w:color="auto"/>
              </w:divBdr>
            </w:div>
          </w:divsChild>
        </w:div>
        <w:div w:id="199518468">
          <w:marLeft w:val="0"/>
          <w:marRight w:val="0"/>
          <w:marTop w:val="0"/>
          <w:marBottom w:val="0"/>
          <w:divBdr>
            <w:top w:val="none" w:sz="0" w:space="0" w:color="auto"/>
            <w:left w:val="none" w:sz="0" w:space="0" w:color="auto"/>
            <w:bottom w:val="none" w:sz="0" w:space="0" w:color="auto"/>
            <w:right w:val="none" w:sz="0" w:space="0" w:color="auto"/>
          </w:divBdr>
          <w:divsChild>
            <w:div w:id="308945506">
              <w:marLeft w:val="0"/>
              <w:marRight w:val="0"/>
              <w:marTop w:val="0"/>
              <w:marBottom w:val="0"/>
              <w:divBdr>
                <w:top w:val="none" w:sz="0" w:space="0" w:color="auto"/>
                <w:left w:val="none" w:sz="0" w:space="0" w:color="auto"/>
                <w:bottom w:val="none" w:sz="0" w:space="0" w:color="auto"/>
                <w:right w:val="none" w:sz="0" w:space="0" w:color="auto"/>
              </w:divBdr>
            </w:div>
          </w:divsChild>
        </w:div>
        <w:div w:id="397169189">
          <w:marLeft w:val="0"/>
          <w:marRight w:val="0"/>
          <w:marTop w:val="0"/>
          <w:marBottom w:val="0"/>
          <w:divBdr>
            <w:top w:val="none" w:sz="0" w:space="0" w:color="auto"/>
            <w:left w:val="none" w:sz="0" w:space="0" w:color="auto"/>
            <w:bottom w:val="none" w:sz="0" w:space="0" w:color="auto"/>
            <w:right w:val="none" w:sz="0" w:space="0" w:color="auto"/>
          </w:divBdr>
          <w:divsChild>
            <w:div w:id="1660383681">
              <w:marLeft w:val="0"/>
              <w:marRight w:val="0"/>
              <w:marTop w:val="0"/>
              <w:marBottom w:val="0"/>
              <w:divBdr>
                <w:top w:val="none" w:sz="0" w:space="0" w:color="auto"/>
                <w:left w:val="none" w:sz="0" w:space="0" w:color="auto"/>
                <w:bottom w:val="none" w:sz="0" w:space="0" w:color="auto"/>
                <w:right w:val="none" w:sz="0" w:space="0" w:color="auto"/>
              </w:divBdr>
            </w:div>
          </w:divsChild>
        </w:div>
        <w:div w:id="583688873">
          <w:marLeft w:val="0"/>
          <w:marRight w:val="0"/>
          <w:marTop w:val="0"/>
          <w:marBottom w:val="0"/>
          <w:divBdr>
            <w:top w:val="none" w:sz="0" w:space="0" w:color="auto"/>
            <w:left w:val="none" w:sz="0" w:space="0" w:color="auto"/>
            <w:bottom w:val="none" w:sz="0" w:space="0" w:color="auto"/>
            <w:right w:val="none" w:sz="0" w:space="0" w:color="auto"/>
          </w:divBdr>
          <w:divsChild>
            <w:div w:id="563838715">
              <w:marLeft w:val="0"/>
              <w:marRight w:val="0"/>
              <w:marTop w:val="0"/>
              <w:marBottom w:val="0"/>
              <w:divBdr>
                <w:top w:val="none" w:sz="0" w:space="0" w:color="auto"/>
                <w:left w:val="none" w:sz="0" w:space="0" w:color="auto"/>
                <w:bottom w:val="none" w:sz="0" w:space="0" w:color="auto"/>
                <w:right w:val="none" w:sz="0" w:space="0" w:color="auto"/>
              </w:divBdr>
            </w:div>
          </w:divsChild>
        </w:div>
        <w:div w:id="587925894">
          <w:marLeft w:val="0"/>
          <w:marRight w:val="0"/>
          <w:marTop w:val="0"/>
          <w:marBottom w:val="0"/>
          <w:divBdr>
            <w:top w:val="none" w:sz="0" w:space="0" w:color="auto"/>
            <w:left w:val="none" w:sz="0" w:space="0" w:color="auto"/>
            <w:bottom w:val="none" w:sz="0" w:space="0" w:color="auto"/>
            <w:right w:val="none" w:sz="0" w:space="0" w:color="auto"/>
          </w:divBdr>
          <w:divsChild>
            <w:div w:id="1580485475">
              <w:marLeft w:val="0"/>
              <w:marRight w:val="0"/>
              <w:marTop w:val="0"/>
              <w:marBottom w:val="0"/>
              <w:divBdr>
                <w:top w:val="none" w:sz="0" w:space="0" w:color="auto"/>
                <w:left w:val="none" w:sz="0" w:space="0" w:color="auto"/>
                <w:bottom w:val="none" w:sz="0" w:space="0" w:color="auto"/>
                <w:right w:val="none" w:sz="0" w:space="0" w:color="auto"/>
              </w:divBdr>
            </w:div>
          </w:divsChild>
        </w:div>
        <w:div w:id="724378793">
          <w:marLeft w:val="0"/>
          <w:marRight w:val="0"/>
          <w:marTop w:val="0"/>
          <w:marBottom w:val="0"/>
          <w:divBdr>
            <w:top w:val="none" w:sz="0" w:space="0" w:color="auto"/>
            <w:left w:val="none" w:sz="0" w:space="0" w:color="auto"/>
            <w:bottom w:val="none" w:sz="0" w:space="0" w:color="auto"/>
            <w:right w:val="none" w:sz="0" w:space="0" w:color="auto"/>
          </w:divBdr>
          <w:divsChild>
            <w:div w:id="777061411">
              <w:marLeft w:val="0"/>
              <w:marRight w:val="0"/>
              <w:marTop w:val="0"/>
              <w:marBottom w:val="0"/>
              <w:divBdr>
                <w:top w:val="none" w:sz="0" w:space="0" w:color="auto"/>
                <w:left w:val="none" w:sz="0" w:space="0" w:color="auto"/>
                <w:bottom w:val="none" w:sz="0" w:space="0" w:color="auto"/>
                <w:right w:val="none" w:sz="0" w:space="0" w:color="auto"/>
              </w:divBdr>
            </w:div>
          </w:divsChild>
        </w:div>
        <w:div w:id="811605246">
          <w:marLeft w:val="0"/>
          <w:marRight w:val="0"/>
          <w:marTop w:val="0"/>
          <w:marBottom w:val="0"/>
          <w:divBdr>
            <w:top w:val="none" w:sz="0" w:space="0" w:color="auto"/>
            <w:left w:val="none" w:sz="0" w:space="0" w:color="auto"/>
            <w:bottom w:val="none" w:sz="0" w:space="0" w:color="auto"/>
            <w:right w:val="none" w:sz="0" w:space="0" w:color="auto"/>
          </w:divBdr>
          <w:divsChild>
            <w:div w:id="1504472366">
              <w:marLeft w:val="0"/>
              <w:marRight w:val="0"/>
              <w:marTop w:val="0"/>
              <w:marBottom w:val="0"/>
              <w:divBdr>
                <w:top w:val="none" w:sz="0" w:space="0" w:color="auto"/>
                <w:left w:val="none" w:sz="0" w:space="0" w:color="auto"/>
                <w:bottom w:val="none" w:sz="0" w:space="0" w:color="auto"/>
                <w:right w:val="none" w:sz="0" w:space="0" w:color="auto"/>
              </w:divBdr>
            </w:div>
          </w:divsChild>
        </w:div>
        <w:div w:id="914315589">
          <w:marLeft w:val="0"/>
          <w:marRight w:val="0"/>
          <w:marTop w:val="0"/>
          <w:marBottom w:val="0"/>
          <w:divBdr>
            <w:top w:val="none" w:sz="0" w:space="0" w:color="auto"/>
            <w:left w:val="none" w:sz="0" w:space="0" w:color="auto"/>
            <w:bottom w:val="none" w:sz="0" w:space="0" w:color="auto"/>
            <w:right w:val="none" w:sz="0" w:space="0" w:color="auto"/>
          </w:divBdr>
          <w:divsChild>
            <w:div w:id="1871412688">
              <w:marLeft w:val="0"/>
              <w:marRight w:val="0"/>
              <w:marTop w:val="0"/>
              <w:marBottom w:val="0"/>
              <w:divBdr>
                <w:top w:val="none" w:sz="0" w:space="0" w:color="auto"/>
                <w:left w:val="none" w:sz="0" w:space="0" w:color="auto"/>
                <w:bottom w:val="none" w:sz="0" w:space="0" w:color="auto"/>
                <w:right w:val="none" w:sz="0" w:space="0" w:color="auto"/>
              </w:divBdr>
            </w:div>
          </w:divsChild>
        </w:div>
        <w:div w:id="979649546">
          <w:marLeft w:val="0"/>
          <w:marRight w:val="0"/>
          <w:marTop w:val="0"/>
          <w:marBottom w:val="0"/>
          <w:divBdr>
            <w:top w:val="none" w:sz="0" w:space="0" w:color="auto"/>
            <w:left w:val="none" w:sz="0" w:space="0" w:color="auto"/>
            <w:bottom w:val="none" w:sz="0" w:space="0" w:color="auto"/>
            <w:right w:val="none" w:sz="0" w:space="0" w:color="auto"/>
          </w:divBdr>
          <w:divsChild>
            <w:div w:id="355083018">
              <w:marLeft w:val="0"/>
              <w:marRight w:val="0"/>
              <w:marTop w:val="0"/>
              <w:marBottom w:val="0"/>
              <w:divBdr>
                <w:top w:val="none" w:sz="0" w:space="0" w:color="auto"/>
                <w:left w:val="none" w:sz="0" w:space="0" w:color="auto"/>
                <w:bottom w:val="none" w:sz="0" w:space="0" w:color="auto"/>
                <w:right w:val="none" w:sz="0" w:space="0" w:color="auto"/>
              </w:divBdr>
            </w:div>
          </w:divsChild>
        </w:div>
        <w:div w:id="988678932">
          <w:marLeft w:val="0"/>
          <w:marRight w:val="0"/>
          <w:marTop w:val="0"/>
          <w:marBottom w:val="0"/>
          <w:divBdr>
            <w:top w:val="none" w:sz="0" w:space="0" w:color="auto"/>
            <w:left w:val="none" w:sz="0" w:space="0" w:color="auto"/>
            <w:bottom w:val="none" w:sz="0" w:space="0" w:color="auto"/>
            <w:right w:val="none" w:sz="0" w:space="0" w:color="auto"/>
          </w:divBdr>
          <w:divsChild>
            <w:div w:id="1402867131">
              <w:marLeft w:val="0"/>
              <w:marRight w:val="0"/>
              <w:marTop w:val="0"/>
              <w:marBottom w:val="0"/>
              <w:divBdr>
                <w:top w:val="none" w:sz="0" w:space="0" w:color="auto"/>
                <w:left w:val="none" w:sz="0" w:space="0" w:color="auto"/>
                <w:bottom w:val="none" w:sz="0" w:space="0" w:color="auto"/>
                <w:right w:val="none" w:sz="0" w:space="0" w:color="auto"/>
              </w:divBdr>
            </w:div>
          </w:divsChild>
        </w:div>
        <w:div w:id="998576760">
          <w:marLeft w:val="0"/>
          <w:marRight w:val="0"/>
          <w:marTop w:val="0"/>
          <w:marBottom w:val="0"/>
          <w:divBdr>
            <w:top w:val="none" w:sz="0" w:space="0" w:color="auto"/>
            <w:left w:val="none" w:sz="0" w:space="0" w:color="auto"/>
            <w:bottom w:val="none" w:sz="0" w:space="0" w:color="auto"/>
            <w:right w:val="none" w:sz="0" w:space="0" w:color="auto"/>
          </w:divBdr>
          <w:divsChild>
            <w:div w:id="1866362259">
              <w:marLeft w:val="0"/>
              <w:marRight w:val="0"/>
              <w:marTop w:val="0"/>
              <w:marBottom w:val="0"/>
              <w:divBdr>
                <w:top w:val="none" w:sz="0" w:space="0" w:color="auto"/>
                <w:left w:val="none" w:sz="0" w:space="0" w:color="auto"/>
                <w:bottom w:val="none" w:sz="0" w:space="0" w:color="auto"/>
                <w:right w:val="none" w:sz="0" w:space="0" w:color="auto"/>
              </w:divBdr>
            </w:div>
          </w:divsChild>
        </w:div>
        <w:div w:id="1148281755">
          <w:marLeft w:val="0"/>
          <w:marRight w:val="0"/>
          <w:marTop w:val="0"/>
          <w:marBottom w:val="0"/>
          <w:divBdr>
            <w:top w:val="none" w:sz="0" w:space="0" w:color="auto"/>
            <w:left w:val="none" w:sz="0" w:space="0" w:color="auto"/>
            <w:bottom w:val="none" w:sz="0" w:space="0" w:color="auto"/>
            <w:right w:val="none" w:sz="0" w:space="0" w:color="auto"/>
          </w:divBdr>
          <w:divsChild>
            <w:div w:id="1824856428">
              <w:marLeft w:val="0"/>
              <w:marRight w:val="0"/>
              <w:marTop w:val="0"/>
              <w:marBottom w:val="0"/>
              <w:divBdr>
                <w:top w:val="none" w:sz="0" w:space="0" w:color="auto"/>
                <w:left w:val="none" w:sz="0" w:space="0" w:color="auto"/>
                <w:bottom w:val="none" w:sz="0" w:space="0" w:color="auto"/>
                <w:right w:val="none" w:sz="0" w:space="0" w:color="auto"/>
              </w:divBdr>
            </w:div>
          </w:divsChild>
        </w:div>
        <w:div w:id="1237781010">
          <w:marLeft w:val="0"/>
          <w:marRight w:val="0"/>
          <w:marTop w:val="0"/>
          <w:marBottom w:val="0"/>
          <w:divBdr>
            <w:top w:val="none" w:sz="0" w:space="0" w:color="auto"/>
            <w:left w:val="none" w:sz="0" w:space="0" w:color="auto"/>
            <w:bottom w:val="none" w:sz="0" w:space="0" w:color="auto"/>
            <w:right w:val="none" w:sz="0" w:space="0" w:color="auto"/>
          </w:divBdr>
          <w:divsChild>
            <w:div w:id="1656913374">
              <w:marLeft w:val="0"/>
              <w:marRight w:val="0"/>
              <w:marTop w:val="0"/>
              <w:marBottom w:val="0"/>
              <w:divBdr>
                <w:top w:val="none" w:sz="0" w:space="0" w:color="auto"/>
                <w:left w:val="none" w:sz="0" w:space="0" w:color="auto"/>
                <w:bottom w:val="none" w:sz="0" w:space="0" w:color="auto"/>
                <w:right w:val="none" w:sz="0" w:space="0" w:color="auto"/>
              </w:divBdr>
            </w:div>
          </w:divsChild>
        </w:div>
        <w:div w:id="1357534914">
          <w:marLeft w:val="0"/>
          <w:marRight w:val="0"/>
          <w:marTop w:val="0"/>
          <w:marBottom w:val="0"/>
          <w:divBdr>
            <w:top w:val="none" w:sz="0" w:space="0" w:color="auto"/>
            <w:left w:val="none" w:sz="0" w:space="0" w:color="auto"/>
            <w:bottom w:val="none" w:sz="0" w:space="0" w:color="auto"/>
            <w:right w:val="none" w:sz="0" w:space="0" w:color="auto"/>
          </w:divBdr>
          <w:divsChild>
            <w:div w:id="288316184">
              <w:marLeft w:val="0"/>
              <w:marRight w:val="0"/>
              <w:marTop w:val="0"/>
              <w:marBottom w:val="0"/>
              <w:divBdr>
                <w:top w:val="none" w:sz="0" w:space="0" w:color="auto"/>
                <w:left w:val="none" w:sz="0" w:space="0" w:color="auto"/>
                <w:bottom w:val="none" w:sz="0" w:space="0" w:color="auto"/>
                <w:right w:val="none" w:sz="0" w:space="0" w:color="auto"/>
              </w:divBdr>
            </w:div>
          </w:divsChild>
        </w:div>
        <w:div w:id="1523277229">
          <w:marLeft w:val="0"/>
          <w:marRight w:val="0"/>
          <w:marTop w:val="0"/>
          <w:marBottom w:val="0"/>
          <w:divBdr>
            <w:top w:val="none" w:sz="0" w:space="0" w:color="auto"/>
            <w:left w:val="none" w:sz="0" w:space="0" w:color="auto"/>
            <w:bottom w:val="none" w:sz="0" w:space="0" w:color="auto"/>
            <w:right w:val="none" w:sz="0" w:space="0" w:color="auto"/>
          </w:divBdr>
          <w:divsChild>
            <w:div w:id="1776705095">
              <w:marLeft w:val="0"/>
              <w:marRight w:val="0"/>
              <w:marTop w:val="0"/>
              <w:marBottom w:val="0"/>
              <w:divBdr>
                <w:top w:val="none" w:sz="0" w:space="0" w:color="auto"/>
                <w:left w:val="none" w:sz="0" w:space="0" w:color="auto"/>
                <w:bottom w:val="none" w:sz="0" w:space="0" w:color="auto"/>
                <w:right w:val="none" w:sz="0" w:space="0" w:color="auto"/>
              </w:divBdr>
            </w:div>
          </w:divsChild>
        </w:div>
        <w:div w:id="1682197671">
          <w:marLeft w:val="0"/>
          <w:marRight w:val="0"/>
          <w:marTop w:val="0"/>
          <w:marBottom w:val="0"/>
          <w:divBdr>
            <w:top w:val="none" w:sz="0" w:space="0" w:color="auto"/>
            <w:left w:val="none" w:sz="0" w:space="0" w:color="auto"/>
            <w:bottom w:val="none" w:sz="0" w:space="0" w:color="auto"/>
            <w:right w:val="none" w:sz="0" w:space="0" w:color="auto"/>
          </w:divBdr>
          <w:divsChild>
            <w:div w:id="1933471991">
              <w:marLeft w:val="0"/>
              <w:marRight w:val="0"/>
              <w:marTop w:val="0"/>
              <w:marBottom w:val="0"/>
              <w:divBdr>
                <w:top w:val="none" w:sz="0" w:space="0" w:color="auto"/>
                <w:left w:val="none" w:sz="0" w:space="0" w:color="auto"/>
                <w:bottom w:val="none" w:sz="0" w:space="0" w:color="auto"/>
                <w:right w:val="none" w:sz="0" w:space="0" w:color="auto"/>
              </w:divBdr>
            </w:div>
          </w:divsChild>
        </w:div>
        <w:div w:id="1915235166">
          <w:marLeft w:val="0"/>
          <w:marRight w:val="0"/>
          <w:marTop w:val="0"/>
          <w:marBottom w:val="0"/>
          <w:divBdr>
            <w:top w:val="none" w:sz="0" w:space="0" w:color="auto"/>
            <w:left w:val="none" w:sz="0" w:space="0" w:color="auto"/>
            <w:bottom w:val="none" w:sz="0" w:space="0" w:color="auto"/>
            <w:right w:val="none" w:sz="0" w:space="0" w:color="auto"/>
          </w:divBdr>
          <w:divsChild>
            <w:div w:id="708577207">
              <w:marLeft w:val="0"/>
              <w:marRight w:val="0"/>
              <w:marTop w:val="0"/>
              <w:marBottom w:val="0"/>
              <w:divBdr>
                <w:top w:val="none" w:sz="0" w:space="0" w:color="auto"/>
                <w:left w:val="none" w:sz="0" w:space="0" w:color="auto"/>
                <w:bottom w:val="none" w:sz="0" w:space="0" w:color="auto"/>
                <w:right w:val="none" w:sz="0" w:space="0" w:color="auto"/>
              </w:divBdr>
            </w:div>
          </w:divsChild>
        </w:div>
        <w:div w:id="1965653636">
          <w:marLeft w:val="0"/>
          <w:marRight w:val="0"/>
          <w:marTop w:val="0"/>
          <w:marBottom w:val="0"/>
          <w:divBdr>
            <w:top w:val="none" w:sz="0" w:space="0" w:color="auto"/>
            <w:left w:val="none" w:sz="0" w:space="0" w:color="auto"/>
            <w:bottom w:val="none" w:sz="0" w:space="0" w:color="auto"/>
            <w:right w:val="none" w:sz="0" w:space="0" w:color="auto"/>
          </w:divBdr>
          <w:divsChild>
            <w:div w:id="1272854298">
              <w:marLeft w:val="0"/>
              <w:marRight w:val="0"/>
              <w:marTop w:val="0"/>
              <w:marBottom w:val="0"/>
              <w:divBdr>
                <w:top w:val="none" w:sz="0" w:space="0" w:color="auto"/>
                <w:left w:val="none" w:sz="0" w:space="0" w:color="auto"/>
                <w:bottom w:val="none" w:sz="0" w:space="0" w:color="auto"/>
                <w:right w:val="none" w:sz="0" w:space="0" w:color="auto"/>
              </w:divBdr>
            </w:div>
          </w:divsChild>
        </w:div>
        <w:div w:id="2078744402">
          <w:marLeft w:val="0"/>
          <w:marRight w:val="0"/>
          <w:marTop w:val="0"/>
          <w:marBottom w:val="0"/>
          <w:divBdr>
            <w:top w:val="none" w:sz="0" w:space="0" w:color="auto"/>
            <w:left w:val="none" w:sz="0" w:space="0" w:color="auto"/>
            <w:bottom w:val="none" w:sz="0" w:space="0" w:color="auto"/>
            <w:right w:val="none" w:sz="0" w:space="0" w:color="auto"/>
          </w:divBdr>
          <w:divsChild>
            <w:div w:id="1210145922">
              <w:marLeft w:val="0"/>
              <w:marRight w:val="0"/>
              <w:marTop w:val="0"/>
              <w:marBottom w:val="0"/>
              <w:divBdr>
                <w:top w:val="none" w:sz="0" w:space="0" w:color="auto"/>
                <w:left w:val="none" w:sz="0" w:space="0" w:color="auto"/>
                <w:bottom w:val="none" w:sz="0" w:space="0" w:color="auto"/>
                <w:right w:val="none" w:sz="0" w:space="0" w:color="auto"/>
              </w:divBdr>
            </w:div>
          </w:divsChild>
        </w:div>
        <w:div w:id="2082481541">
          <w:marLeft w:val="0"/>
          <w:marRight w:val="0"/>
          <w:marTop w:val="0"/>
          <w:marBottom w:val="0"/>
          <w:divBdr>
            <w:top w:val="none" w:sz="0" w:space="0" w:color="auto"/>
            <w:left w:val="none" w:sz="0" w:space="0" w:color="auto"/>
            <w:bottom w:val="none" w:sz="0" w:space="0" w:color="auto"/>
            <w:right w:val="none" w:sz="0" w:space="0" w:color="auto"/>
          </w:divBdr>
          <w:divsChild>
            <w:div w:id="263421270">
              <w:marLeft w:val="0"/>
              <w:marRight w:val="0"/>
              <w:marTop w:val="0"/>
              <w:marBottom w:val="0"/>
              <w:divBdr>
                <w:top w:val="none" w:sz="0" w:space="0" w:color="auto"/>
                <w:left w:val="none" w:sz="0" w:space="0" w:color="auto"/>
                <w:bottom w:val="none" w:sz="0" w:space="0" w:color="auto"/>
                <w:right w:val="none" w:sz="0" w:space="0" w:color="auto"/>
              </w:divBdr>
            </w:div>
          </w:divsChild>
        </w:div>
        <w:div w:id="2102605582">
          <w:marLeft w:val="0"/>
          <w:marRight w:val="0"/>
          <w:marTop w:val="0"/>
          <w:marBottom w:val="0"/>
          <w:divBdr>
            <w:top w:val="none" w:sz="0" w:space="0" w:color="auto"/>
            <w:left w:val="none" w:sz="0" w:space="0" w:color="auto"/>
            <w:bottom w:val="none" w:sz="0" w:space="0" w:color="auto"/>
            <w:right w:val="none" w:sz="0" w:space="0" w:color="auto"/>
          </w:divBdr>
          <w:divsChild>
            <w:div w:id="392895393">
              <w:marLeft w:val="0"/>
              <w:marRight w:val="0"/>
              <w:marTop w:val="0"/>
              <w:marBottom w:val="0"/>
              <w:divBdr>
                <w:top w:val="none" w:sz="0" w:space="0" w:color="auto"/>
                <w:left w:val="none" w:sz="0" w:space="0" w:color="auto"/>
                <w:bottom w:val="none" w:sz="0" w:space="0" w:color="auto"/>
                <w:right w:val="none" w:sz="0" w:space="0" w:color="auto"/>
              </w:divBdr>
            </w:div>
          </w:divsChild>
        </w:div>
        <w:div w:id="2126849557">
          <w:marLeft w:val="0"/>
          <w:marRight w:val="0"/>
          <w:marTop w:val="0"/>
          <w:marBottom w:val="0"/>
          <w:divBdr>
            <w:top w:val="none" w:sz="0" w:space="0" w:color="auto"/>
            <w:left w:val="none" w:sz="0" w:space="0" w:color="auto"/>
            <w:bottom w:val="none" w:sz="0" w:space="0" w:color="auto"/>
            <w:right w:val="none" w:sz="0" w:space="0" w:color="auto"/>
          </w:divBdr>
          <w:divsChild>
            <w:div w:id="3156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142">
      <w:bodyDiv w:val="1"/>
      <w:marLeft w:val="0"/>
      <w:marRight w:val="0"/>
      <w:marTop w:val="0"/>
      <w:marBottom w:val="0"/>
      <w:divBdr>
        <w:top w:val="none" w:sz="0" w:space="0" w:color="auto"/>
        <w:left w:val="none" w:sz="0" w:space="0" w:color="auto"/>
        <w:bottom w:val="none" w:sz="0" w:space="0" w:color="auto"/>
        <w:right w:val="none" w:sz="0" w:space="0" w:color="auto"/>
      </w:divBdr>
      <w:divsChild>
        <w:div w:id="9843362">
          <w:marLeft w:val="0"/>
          <w:marRight w:val="0"/>
          <w:marTop w:val="0"/>
          <w:marBottom w:val="0"/>
          <w:divBdr>
            <w:top w:val="single" w:sz="2" w:space="0" w:color="auto"/>
            <w:left w:val="single" w:sz="2" w:space="0" w:color="auto"/>
            <w:bottom w:val="single" w:sz="6" w:space="0" w:color="auto"/>
            <w:right w:val="single" w:sz="2" w:space="0" w:color="auto"/>
          </w:divBdr>
          <w:divsChild>
            <w:div w:id="1063413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472928">
                  <w:marLeft w:val="0"/>
                  <w:marRight w:val="0"/>
                  <w:marTop w:val="0"/>
                  <w:marBottom w:val="0"/>
                  <w:divBdr>
                    <w:top w:val="single" w:sz="2" w:space="0" w:color="D9D9E3"/>
                    <w:left w:val="single" w:sz="2" w:space="0" w:color="D9D9E3"/>
                    <w:bottom w:val="single" w:sz="2" w:space="0" w:color="D9D9E3"/>
                    <w:right w:val="single" w:sz="2" w:space="0" w:color="D9D9E3"/>
                  </w:divBdr>
                  <w:divsChild>
                    <w:div w:id="281035609">
                      <w:marLeft w:val="0"/>
                      <w:marRight w:val="0"/>
                      <w:marTop w:val="0"/>
                      <w:marBottom w:val="0"/>
                      <w:divBdr>
                        <w:top w:val="single" w:sz="2" w:space="0" w:color="D9D9E3"/>
                        <w:left w:val="single" w:sz="2" w:space="0" w:color="D9D9E3"/>
                        <w:bottom w:val="single" w:sz="2" w:space="0" w:color="D9D9E3"/>
                        <w:right w:val="single" w:sz="2" w:space="0" w:color="D9D9E3"/>
                      </w:divBdr>
                      <w:divsChild>
                        <w:div w:id="929966250">
                          <w:marLeft w:val="0"/>
                          <w:marRight w:val="0"/>
                          <w:marTop w:val="0"/>
                          <w:marBottom w:val="0"/>
                          <w:divBdr>
                            <w:top w:val="single" w:sz="2" w:space="0" w:color="D9D9E3"/>
                            <w:left w:val="single" w:sz="2" w:space="0" w:color="D9D9E3"/>
                            <w:bottom w:val="single" w:sz="2" w:space="0" w:color="D9D9E3"/>
                            <w:right w:val="single" w:sz="2" w:space="0" w:color="D9D9E3"/>
                          </w:divBdr>
                          <w:divsChild>
                            <w:div w:id="252324011">
                              <w:marLeft w:val="0"/>
                              <w:marRight w:val="0"/>
                              <w:marTop w:val="0"/>
                              <w:marBottom w:val="0"/>
                              <w:divBdr>
                                <w:top w:val="single" w:sz="2" w:space="0" w:color="D9D9E3"/>
                                <w:left w:val="single" w:sz="2" w:space="0" w:color="D9D9E3"/>
                                <w:bottom w:val="single" w:sz="2" w:space="0" w:color="D9D9E3"/>
                                <w:right w:val="single" w:sz="2" w:space="0" w:color="D9D9E3"/>
                              </w:divBdr>
                              <w:divsChild>
                                <w:div w:id="1452742381">
                                  <w:marLeft w:val="0"/>
                                  <w:marRight w:val="0"/>
                                  <w:marTop w:val="0"/>
                                  <w:marBottom w:val="0"/>
                                  <w:divBdr>
                                    <w:top w:val="single" w:sz="2" w:space="0" w:color="D9D9E3"/>
                                    <w:left w:val="single" w:sz="2" w:space="0" w:color="D9D9E3"/>
                                    <w:bottom w:val="single" w:sz="2" w:space="0" w:color="D9D9E3"/>
                                    <w:right w:val="single" w:sz="2" w:space="0" w:color="D9D9E3"/>
                                  </w:divBdr>
                                  <w:divsChild>
                                    <w:div w:id="2074349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0292529">
      <w:bodyDiv w:val="1"/>
      <w:marLeft w:val="0"/>
      <w:marRight w:val="0"/>
      <w:marTop w:val="0"/>
      <w:marBottom w:val="0"/>
      <w:divBdr>
        <w:top w:val="none" w:sz="0" w:space="0" w:color="auto"/>
        <w:left w:val="none" w:sz="0" w:space="0" w:color="auto"/>
        <w:bottom w:val="none" w:sz="0" w:space="0" w:color="auto"/>
        <w:right w:val="none" w:sz="0" w:space="0" w:color="auto"/>
      </w:divBdr>
    </w:div>
    <w:div w:id="208424423">
      <w:bodyDiv w:val="1"/>
      <w:marLeft w:val="0"/>
      <w:marRight w:val="0"/>
      <w:marTop w:val="0"/>
      <w:marBottom w:val="0"/>
      <w:divBdr>
        <w:top w:val="none" w:sz="0" w:space="0" w:color="auto"/>
        <w:left w:val="none" w:sz="0" w:space="0" w:color="auto"/>
        <w:bottom w:val="none" w:sz="0" w:space="0" w:color="auto"/>
        <w:right w:val="none" w:sz="0" w:space="0" w:color="auto"/>
      </w:divBdr>
      <w:divsChild>
        <w:div w:id="426271014">
          <w:marLeft w:val="0"/>
          <w:marRight w:val="0"/>
          <w:marTop w:val="0"/>
          <w:marBottom w:val="0"/>
          <w:divBdr>
            <w:top w:val="none" w:sz="0" w:space="0" w:color="auto"/>
            <w:left w:val="none" w:sz="0" w:space="0" w:color="auto"/>
            <w:bottom w:val="none" w:sz="0" w:space="0" w:color="auto"/>
            <w:right w:val="none" w:sz="0" w:space="0" w:color="auto"/>
          </w:divBdr>
          <w:divsChild>
            <w:div w:id="1817718818">
              <w:marLeft w:val="0"/>
              <w:marRight w:val="0"/>
              <w:marTop w:val="0"/>
              <w:marBottom w:val="0"/>
              <w:divBdr>
                <w:top w:val="none" w:sz="0" w:space="0" w:color="auto"/>
                <w:left w:val="none" w:sz="0" w:space="0" w:color="auto"/>
                <w:bottom w:val="none" w:sz="0" w:space="0" w:color="auto"/>
                <w:right w:val="none" w:sz="0" w:space="0" w:color="auto"/>
              </w:divBdr>
            </w:div>
          </w:divsChild>
        </w:div>
        <w:div w:id="477114009">
          <w:marLeft w:val="0"/>
          <w:marRight w:val="0"/>
          <w:marTop w:val="0"/>
          <w:marBottom w:val="0"/>
          <w:divBdr>
            <w:top w:val="none" w:sz="0" w:space="0" w:color="auto"/>
            <w:left w:val="none" w:sz="0" w:space="0" w:color="auto"/>
            <w:bottom w:val="none" w:sz="0" w:space="0" w:color="auto"/>
            <w:right w:val="none" w:sz="0" w:space="0" w:color="auto"/>
          </w:divBdr>
          <w:divsChild>
            <w:div w:id="583958511">
              <w:marLeft w:val="0"/>
              <w:marRight w:val="0"/>
              <w:marTop w:val="0"/>
              <w:marBottom w:val="0"/>
              <w:divBdr>
                <w:top w:val="none" w:sz="0" w:space="0" w:color="auto"/>
                <w:left w:val="none" w:sz="0" w:space="0" w:color="auto"/>
                <w:bottom w:val="none" w:sz="0" w:space="0" w:color="auto"/>
                <w:right w:val="none" w:sz="0" w:space="0" w:color="auto"/>
              </w:divBdr>
            </w:div>
          </w:divsChild>
        </w:div>
        <w:div w:id="482043753">
          <w:marLeft w:val="0"/>
          <w:marRight w:val="0"/>
          <w:marTop w:val="0"/>
          <w:marBottom w:val="0"/>
          <w:divBdr>
            <w:top w:val="none" w:sz="0" w:space="0" w:color="auto"/>
            <w:left w:val="none" w:sz="0" w:space="0" w:color="auto"/>
            <w:bottom w:val="none" w:sz="0" w:space="0" w:color="auto"/>
            <w:right w:val="none" w:sz="0" w:space="0" w:color="auto"/>
          </w:divBdr>
          <w:divsChild>
            <w:div w:id="1129738145">
              <w:marLeft w:val="0"/>
              <w:marRight w:val="0"/>
              <w:marTop w:val="0"/>
              <w:marBottom w:val="0"/>
              <w:divBdr>
                <w:top w:val="none" w:sz="0" w:space="0" w:color="auto"/>
                <w:left w:val="none" w:sz="0" w:space="0" w:color="auto"/>
                <w:bottom w:val="none" w:sz="0" w:space="0" w:color="auto"/>
                <w:right w:val="none" w:sz="0" w:space="0" w:color="auto"/>
              </w:divBdr>
            </w:div>
          </w:divsChild>
        </w:div>
        <w:div w:id="545723606">
          <w:marLeft w:val="0"/>
          <w:marRight w:val="0"/>
          <w:marTop w:val="0"/>
          <w:marBottom w:val="0"/>
          <w:divBdr>
            <w:top w:val="none" w:sz="0" w:space="0" w:color="auto"/>
            <w:left w:val="none" w:sz="0" w:space="0" w:color="auto"/>
            <w:bottom w:val="none" w:sz="0" w:space="0" w:color="auto"/>
            <w:right w:val="none" w:sz="0" w:space="0" w:color="auto"/>
          </w:divBdr>
          <w:divsChild>
            <w:div w:id="634339887">
              <w:marLeft w:val="0"/>
              <w:marRight w:val="0"/>
              <w:marTop w:val="0"/>
              <w:marBottom w:val="0"/>
              <w:divBdr>
                <w:top w:val="none" w:sz="0" w:space="0" w:color="auto"/>
                <w:left w:val="none" w:sz="0" w:space="0" w:color="auto"/>
                <w:bottom w:val="none" w:sz="0" w:space="0" w:color="auto"/>
                <w:right w:val="none" w:sz="0" w:space="0" w:color="auto"/>
              </w:divBdr>
            </w:div>
          </w:divsChild>
        </w:div>
        <w:div w:id="635524968">
          <w:marLeft w:val="0"/>
          <w:marRight w:val="0"/>
          <w:marTop w:val="0"/>
          <w:marBottom w:val="0"/>
          <w:divBdr>
            <w:top w:val="none" w:sz="0" w:space="0" w:color="auto"/>
            <w:left w:val="none" w:sz="0" w:space="0" w:color="auto"/>
            <w:bottom w:val="none" w:sz="0" w:space="0" w:color="auto"/>
            <w:right w:val="none" w:sz="0" w:space="0" w:color="auto"/>
          </w:divBdr>
          <w:divsChild>
            <w:div w:id="1111120770">
              <w:marLeft w:val="0"/>
              <w:marRight w:val="0"/>
              <w:marTop w:val="0"/>
              <w:marBottom w:val="0"/>
              <w:divBdr>
                <w:top w:val="none" w:sz="0" w:space="0" w:color="auto"/>
                <w:left w:val="none" w:sz="0" w:space="0" w:color="auto"/>
                <w:bottom w:val="none" w:sz="0" w:space="0" w:color="auto"/>
                <w:right w:val="none" w:sz="0" w:space="0" w:color="auto"/>
              </w:divBdr>
            </w:div>
          </w:divsChild>
        </w:div>
        <w:div w:id="636684947">
          <w:marLeft w:val="0"/>
          <w:marRight w:val="0"/>
          <w:marTop w:val="0"/>
          <w:marBottom w:val="0"/>
          <w:divBdr>
            <w:top w:val="none" w:sz="0" w:space="0" w:color="auto"/>
            <w:left w:val="none" w:sz="0" w:space="0" w:color="auto"/>
            <w:bottom w:val="none" w:sz="0" w:space="0" w:color="auto"/>
            <w:right w:val="none" w:sz="0" w:space="0" w:color="auto"/>
          </w:divBdr>
          <w:divsChild>
            <w:div w:id="1773547120">
              <w:marLeft w:val="0"/>
              <w:marRight w:val="0"/>
              <w:marTop w:val="0"/>
              <w:marBottom w:val="0"/>
              <w:divBdr>
                <w:top w:val="none" w:sz="0" w:space="0" w:color="auto"/>
                <w:left w:val="none" w:sz="0" w:space="0" w:color="auto"/>
                <w:bottom w:val="none" w:sz="0" w:space="0" w:color="auto"/>
                <w:right w:val="none" w:sz="0" w:space="0" w:color="auto"/>
              </w:divBdr>
            </w:div>
          </w:divsChild>
        </w:div>
        <w:div w:id="671494044">
          <w:marLeft w:val="0"/>
          <w:marRight w:val="0"/>
          <w:marTop w:val="0"/>
          <w:marBottom w:val="0"/>
          <w:divBdr>
            <w:top w:val="none" w:sz="0" w:space="0" w:color="auto"/>
            <w:left w:val="none" w:sz="0" w:space="0" w:color="auto"/>
            <w:bottom w:val="none" w:sz="0" w:space="0" w:color="auto"/>
            <w:right w:val="none" w:sz="0" w:space="0" w:color="auto"/>
          </w:divBdr>
          <w:divsChild>
            <w:div w:id="934291540">
              <w:marLeft w:val="0"/>
              <w:marRight w:val="0"/>
              <w:marTop w:val="0"/>
              <w:marBottom w:val="0"/>
              <w:divBdr>
                <w:top w:val="none" w:sz="0" w:space="0" w:color="auto"/>
                <w:left w:val="none" w:sz="0" w:space="0" w:color="auto"/>
                <w:bottom w:val="none" w:sz="0" w:space="0" w:color="auto"/>
                <w:right w:val="none" w:sz="0" w:space="0" w:color="auto"/>
              </w:divBdr>
            </w:div>
          </w:divsChild>
        </w:div>
        <w:div w:id="728383495">
          <w:marLeft w:val="0"/>
          <w:marRight w:val="0"/>
          <w:marTop w:val="0"/>
          <w:marBottom w:val="0"/>
          <w:divBdr>
            <w:top w:val="none" w:sz="0" w:space="0" w:color="auto"/>
            <w:left w:val="none" w:sz="0" w:space="0" w:color="auto"/>
            <w:bottom w:val="none" w:sz="0" w:space="0" w:color="auto"/>
            <w:right w:val="none" w:sz="0" w:space="0" w:color="auto"/>
          </w:divBdr>
          <w:divsChild>
            <w:div w:id="537396082">
              <w:marLeft w:val="0"/>
              <w:marRight w:val="0"/>
              <w:marTop w:val="0"/>
              <w:marBottom w:val="0"/>
              <w:divBdr>
                <w:top w:val="none" w:sz="0" w:space="0" w:color="auto"/>
                <w:left w:val="none" w:sz="0" w:space="0" w:color="auto"/>
                <w:bottom w:val="none" w:sz="0" w:space="0" w:color="auto"/>
                <w:right w:val="none" w:sz="0" w:space="0" w:color="auto"/>
              </w:divBdr>
            </w:div>
          </w:divsChild>
        </w:div>
        <w:div w:id="831793338">
          <w:marLeft w:val="0"/>
          <w:marRight w:val="0"/>
          <w:marTop w:val="0"/>
          <w:marBottom w:val="0"/>
          <w:divBdr>
            <w:top w:val="none" w:sz="0" w:space="0" w:color="auto"/>
            <w:left w:val="none" w:sz="0" w:space="0" w:color="auto"/>
            <w:bottom w:val="none" w:sz="0" w:space="0" w:color="auto"/>
            <w:right w:val="none" w:sz="0" w:space="0" w:color="auto"/>
          </w:divBdr>
          <w:divsChild>
            <w:div w:id="901062646">
              <w:marLeft w:val="0"/>
              <w:marRight w:val="0"/>
              <w:marTop w:val="0"/>
              <w:marBottom w:val="0"/>
              <w:divBdr>
                <w:top w:val="none" w:sz="0" w:space="0" w:color="auto"/>
                <w:left w:val="none" w:sz="0" w:space="0" w:color="auto"/>
                <w:bottom w:val="none" w:sz="0" w:space="0" w:color="auto"/>
                <w:right w:val="none" w:sz="0" w:space="0" w:color="auto"/>
              </w:divBdr>
            </w:div>
          </w:divsChild>
        </w:div>
        <w:div w:id="948195728">
          <w:marLeft w:val="0"/>
          <w:marRight w:val="0"/>
          <w:marTop w:val="0"/>
          <w:marBottom w:val="0"/>
          <w:divBdr>
            <w:top w:val="none" w:sz="0" w:space="0" w:color="auto"/>
            <w:left w:val="none" w:sz="0" w:space="0" w:color="auto"/>
            <w:bottom w:val="none" w:sz="0" w:space="0" w:color="auto"/>
            <w:right w:val="none" w:sz="0" w:space="0" w:color="auto"/>
          </w:divBdr>
          <w:divsChild>
            <w:div w:id="2044406375">
              <w:marLeft w:val="0"/>
              <w:marRight w:val="0"/>
              <w:marTop w:val="0"/>
              <w:marBottom w:val="0"/>
              <w:divBdr>
                <w:top w:val="none" w:sz="0" w:space="0" w:color="auto"/>
                <w:left w:val="none" w:sz="0" w:space="0" w:color="auto"/>
                <w:bottom w:val="none" w:sz="0" w:space="0" w:color="auto"/>
                <w:right w:val="none" w:sz="0" w:space="0" w:color="auto"/>
              </w:divBdr>
            </w:div>
          </w:divsChild>
        </w:div>
        <w:div w:id="989941623">
          <w:marLeft w:val="0"/>
          <w:marRight w:val="0"/>
          <w:marTop w:val="0"/>
          <w:marBottom w:val="0"/>
          <w:divBdr>
            <w:top w:val="none" w:sz="0" w:space="0" w:color="auto"/>
            <w:left w:val="none" w:sz="0" w:space="0" w:color="auto"/>
            <w:bottom w:val="none" w:sz="0" w:space="0" w:color="auto"/>
            <w:right w:val="none" w:sz="0" w:space="0" w:color="auto"/>
          </w:divBdr>
          <w:divsChild>
            <w:div w:id="785975068">
              <w:marLeft w:val="0"/>
              <w:marRight w:val="0"/>
              <w:marTop w:val="0"/>
              <w:marBottom w:val="0"/>
              <w:divBdr>
                <w:top w:val="none" w:sz="0" w:space="0" w:color="auto"/>
                <w:left w:val="none" w:sz="0" w:space="0" w:color="auto"/>
                <w:bottom w:val="none" w:sz="0" w:space="0" w:color="auto"/>
                <w:right w:val="none" w:sz="0" w:space="0" w:color="auto"/>
              </w:divBdr>
            </w:div>
          </w:divsChild>
        </w:div>
        <w:div w:id="993949623">
          <w:marLeft w:val="0"/>
          <w:marRight w:val="0"/>
          <w:marTop w:val="0"/>
          <w:marBottom w:val="0"/>
          <w:divBdr>
            <w:top w:val="none" w:sz="0" w:space="0" w:color="auto"/>
            <w:left w:val="none" w:sz="0" w:space="0" w:color="auto"/>
            <w:bottom w:val="none" w:sz="0" w:space="0" w:color="auto"/>
            <w:right w:val="none" w:sz="0" w:space="0" w:color="auto"/>
          </w:divBdr>
          <w:divsChild>
            <w:div w:id="1917207398">
              <w:marLeft w:val="0"/>
              <w:marRight w:val="0"/>
              <w:marTop w:val="0"/>
              <w:marBottom w:val="0"/>
              <w:divBdr>
                <w:top w:val="none" w:sz="0" w:space="0" w:color="auto"/>
                <w:left w:val="none" w:sz="0" w:space="0" w:color="auto"/>
                <w:bottom w:val="none" w:sz="0" w:space="0" w:color="auto"/>
                <w:right w:val="none" w:sz="0" w:space="0" w:color="auto"/>
              </w:divBdr>
            </w:div>
          </w:divsChild>
        </w:div>
        <w:div w:id="999383986">
          <w:marLeft w:val="0"/>
          <w:marRight w:val="0"/>
          <w:marTop w:val="0"/>
          <w:marBottom w:val="0"/>
          <w:divBdr>
            <w:top w:val="none" w:sz="0" w:space="0" w:color="auto"/>
            <w:left w:val="none" w:sz="0" w:space="0" w:color="auto"/>
            <w:bottom w:val="none" w:sz="0" w:space="0" w:color="auto"/>
            <w:right w:val="none" w:sz="0" w:space="0" w:color="auto"/>
          </w:divBdr>
          <w:divsChild>
            <w:div w:id="704601840">
              <w:marLeft w:val="0"/>
              <w:marRight w:val="0"/>
              <w:marTop w:val="0"/>
              <w:marBottom w:val="0"/>
              <w:divBdr>
                <w:top w:val="none" w:sz="0" w:space="0" w:color="auto"/>
                <w:left w:val="none" w:sz="0" w:space="0" w:color="auto"/>
                <w:bottom w:val="none" w:sz="0" w:space="0" w:color="auto"/>
                <w:right w:val="none" w:sz="0" w:space="0" w:color="auto"/>
              </w:divBdr>
            </w:div>
          </w:divsChild>
        </w:div>
        <w:div w:id="1186675064">
          <w:marLeft w:val="0"/>
          <w:marRight w:val="0"/>
          <w:marTop w:val="0"/>
          <w:marBottom w:val="0"/>
          <w:divBdr>
            <w:top w:val="none" w:sz="0" w:space="0" w:color="auto"/>
            <w:left w:val="none" w:sz="0" w:space="0" w:color="auto"/>
            <w:bottom w:val="none" w:sz="0" w:space="0" w:color="auto"/>
            <w:right w:val="none" w:sz="0" w:space="0" w:color="auto"/>
          </w:divBdr>
          <w:divsChild>
            <w:div w:id="819463303">
              <w:marLeft w:val="0"/>
              <w:marRight w:val="0"/>
              <w:marTop w:val="0"/>
              <w:marBottom w:val="0"/>
              <w:divBdr>
                <w:top w:val="none" w:sz="0" w:space="0" w:color="auto"/>
                <w:left w:val="none" w:sz="0" w:space="0" w:color="auto"/>
                <w:bottom w:val="none" w:sz="0" w:space="0" w:color="auto"/>
                <w:right w:val="none" w:sz="0" w:space="0" w:color="auto"/>
              </w:divBdr>
            </w:div>
          </w:divsChild>
        </w:div>
        <w:div w:id="1318848780">
          <w:marLeft w:val="0"/>
          <w:marRight w:val="0"/>
          <w:marTop w:val="0"/>
          <w:marBottom w:val="0"/>
          <w:divBdr>
            <w:top w:val="none" w:sz="0" w:space="0" w:color="auto"/>
            <w:left w:val="none" w:sz="0" w:space="0" w:color="auto"/>
            <w:bottom w:val="none" w:sz="0" w:space="0" w:color="auto"/>
            <w:right w:val="none" w:sz="0" w:space="0" w:color="auto"/>
          </w:divBdr>
          <w:divsChild>
            <w:div w:id="458691317">
              <w:marLeft w:val="0"/>
              <w:marRight w:val="0"/>
              <w:marTop w:val="0"/>
              <w:marBottom w:val="0"/>
              <w:divBdr>
                <w:top w:val="none" w:sz="0" w:space="0" w:color="auto"/>
                <w:left w:val="none" w:sz="0" w:space="0" w:color="auto"/>
                <w:bottom w:val="none" w:sz="0" w:space="0" w:color="auto"/>
                <w:right w:val="none" w:sz="0" w:space="0" w:color="auto"/>
              </w:divBdr>
            </w:div>
          </w:divsChild>
        </w:div>
        <w:div w:id="1326127581">
          <w:marLeft w:val="0"/>
          <w:marRight w:val="0"/>
          <w:marTop w:val="0"/>
          <w:marBottom w:val="0"/>
          <w:divBdr>
            <w:top w:val="none" w:sz="0" w:space="0" w:color="auto"/>
            <w:left w:val="none" w:sz="0" w:space="0" w:color="auto"/>
            <w:bottom w:val="none" w:sz="0" w:space="0" w:color="auto"/>
            <w:right w:val="none" w:sz="0" w:space="0" w:color="auto"/>
          </w:divBdr>
          <w:divsChild>
            <w:div w:id="373625375">
              <w:marLeft w:val="0"/>
              <w:marRight w:val="0"/>
              <w:marTop w:val="0"/>
              <w:marBottom w:val="0"/>
              <w:divBdr>
                <w:top w:val="none" w:sz="0" w:space="0" w:color="auto"/>
                <w:left w:val="none" w:sz="0" w:space="0" w:color="auto"/>
                <w:bottom w:val="none" w:sz="0" w:space="0" w:color="auto"/>
                <w:right w:val="none" w:sz="0" w:space="0" w:color="auto"/>
              </w:divBdr>
            </w:div>
          </w:divsChild>
        </w:div>
        <w:div w:id="1379281812">
          <w:marLeft w:val="0"/>
          <w:marRight w:val="0"/>
          <w:marTop w:val="0"/>
          <w:marBottom w:val="0"/>
          <w:divBdr>
            <w:top w:val="none" w:sz="0" w:space="0" w:color="auto"/>
            <w:left w:val="none" w:sz="0" w:space="0" w:color="auto"/>
            <w:bottom w:val="none" w:sz="0" w:space="0" w:color="auto"/>
            <w:right w:val="none" w:sz="0" w:space="0" w:color="auto"/>
          </w:divBdr>
          <w:divsChild>
            <w:div w:id="1586381180">
              <w:marLeft w:val="0"/>
              <w:marRight w:val="0"/>
              <w:marTop w:val="0"/>
              <w:marBottom w:val="0"/>
              <w:divBdr>
                <w:top w:val="none" w:sz="0" w:space="0" w:color="auto"/>
                <w:left w:val="none" w:sz="0" w:space="0" w:color="auto"/>
                <w:bottom w:val="none" w:sz="0" w:space="0" w:color="auto"/>
                <w:right w:val="none" w:sz="0" w:space="0" w:color="auto"/>
              </w:divBdr>
            </w:div>
          </w:divsChild>
        </w:div>
        <w:div w:id="1422485222">
          <w:marLeft w:val="0"/>
          <w:marRight w:val="0"/>
          <w:marTop w:val="0"/>
          <w:marBottom w:val="0"/>
          <w:divBdr>
            <w:top w:val="none" w:sz="0" w:space="0" w:color="auto"/>
            <w:left w:val="none" w:sz="0" w:space="0" w:color="auto"/>
            <w:bottom w:val="none" w:sz="0" w:space="0" w:color="auto"/>
            <w:right w:val="none" w:sz="0" w:space="0" w:color="auto"/>
          </w:divBdr>
          <w:divsChild>
            <w:div w:id="1242985869">
              <w:marLeft w:val="0"/>
              <w:marRight w:val="0"/>
              <w:marTop w:val="0"/>
              <w:marBottom w:val="0"/>
              <w:divBdr>
                <w:top w:val="none" w:sz="0" w:space="0" w:color="auto"/>
                <w:left w:val="none" w:sz="0" w:space="0" w:color="auto"/>
                <w:bottom w:val="none" w:sz="0" w:space="0" w:color="auto"/>
                <w:right w:val="none" w:sz="0" w:space="0" w:color="auto"/>
              </w:divBdr>
            </w:div>
          </w:divsChild>
        </w:div>
        <w:div w:id="1495224948">
          <w:marLeft w:val="0"/>
          <w:marRight w:val="0"/>
          <w:marTop w:val="0"/>
          <w:marBottom w:val="0"/>
          <w:divBdr>
            <w:top w:val="none" w:sz="0" w:space="0" w:color="auto"/>
            <w:left w:val="none" w:sz="0" w:space="0" w:color="auto"/>
            <w:bottom w:val="none" w:sz="0" w:space="0" w:color="auto"/>
            <w:right w:val="none" w:sz="0" w:space="0" w:color="auto"/>
          </w:divBdr>
          <w:divsChild>
            <w:div w:id="642347659">
              <w:marLeft w:val="0"/>
              <w:marRight w:val="0"/>
              <w:marTop w:val="0"/>
              <w:marBottom w:val="0"/>
              <w:divBdr>
                <w:top w:val="none" w:sz="0" w:space="0" w:color="auto"/>
                <w:left w:val="none" w:sz="0" w:space="0" w:color="auto"/>
                <w:bottom w:val="none" w:sz="0" w:space="0" w:color="auto"/>
                <w:right w:val="none" w:sz="0" w:space="0" w:color="auto"/>
              </w:divBdr>
            </w:div>
          </w:divsChild>
        </w:div>
        <w:div w:id="1589004254">
          <w:marLeft w:val="0"/>
          <w:marRight w:val="0"/>
          <w:marTop w:val="0"/>
          <w:marBottom w:val="0"/>
          <w:divBdr>
            <w:top w:val="none" w:sz="0" w:space="0" w:color="auto"/>
            <w:left w:val="none" w:sz="0" w:space="0" w:color="auto"/>
            <w:bottom w:val="none" w:sz="0" w:space="0" w:color="auto"/>
            <w:right w:val="none" w:sz="0" w:space="0" w:color="auto"/>
          </w:divBdr>
          <w:divsChild>
            <w:div w:id="1194659797">
              <w:marLeft w:val="0"/>
              <w:marRight w:val="0"/>
              <w:marTop w:val="0"/>
              <w:marBottom w:val="0"/>
              <w:divBdr>
                <w:top w:val="none" w:sz="0" w:space="0" w:color="auto"/>
                <w:left w:val="none" w:sz="0" w:space="0" w:color="auto"/>
                <w:bottom w:val="none" w:sz="0" w:space="0" w:color="auto"/>
                <w:right w:val="none" w:sz="0" w:space="0" w:color="auto"/>
              </w:divBdr>
            </w:div>
          </w:divsChild>
        </w:div>
        <w:div w:id="1727290749">
          <w:marLeft w:val="0"/>
          <w:marRight w:val="0"/>
          <w:marTop w:val="0"/>
          <w:marBottom w:val="0"/>
          <w:divBdr>
            <w:top w:val="none" w:sz="0" w:space="0" w:color="auto"/>
            <w:left w:val="none" w:sz="0" w:space="0" w:color="auto"/>
            <w:bottom w:val="none" w:sz="0" w:space="0" w:color="auto"/>
            <w:right w:val="none" w:sz="0" w:space="0" w:color="auto"/>
          </w:divBdr>
          <w:divsChild>
            <w:div w:id="1357124352">
              <w:marLeft w:val="0"/>
              <w:marRight w:val="0"/>
              <w:marTop w:val="0"/>
              <w:marBottom w:val="0"/>
              <w:divBdr>
                <w:top w:val="none" w:sz="0" w:space="0" w:color="auto"/>
                <w:left w:val="none" w:sz="0" w:space="0" w:color="auto"/>
                <w:bottom w:val="none" w:sz="0" w:space="0" w:color="auto"/>
                <w:right w:val="none" w:sz="0" w:space="0" w:color="auto"/>
              </w:divBdr>
            </w:div>
          </w:divsChild>
        </w:div>
        <w:div w:id="1741831700">
          <w:marLeft w:val="0"/>
          <w:marRight w:val="0"/>
          <w:marTop w:val="0"/>
          <w:marBottom w:val="0"/>
          <w:divBdr>
            <w:top w:val="none" w:sz="0" w:space="0" w:color="auto"/>
            <w:left w:val="none" w:sz="0" w:space="0" w:color="auto"/>
            <w:bottom w:val="none" w:sz="0" w:space="0" w:color="auto"/>
            <w:right w:val="none" w:sz="0" w:space="0" w:color="auto"/>
          </w:divBdr>
          <w:divsChild>
            <w:div w:id="1466511676">
              <w:marLeft w:val="0"/>
              <w:marRight w:val="0"/>
              <w:marTop w:val="0"/>
              <w:marBottom w:val="0"/>
              <w:divBdr>
                <w:top w:val="none" w:sz="0" w:space="0" w:color="auto"/>
                <w:left w:val="none" w:sz="0" w:space="0" w:color="auto"/>
                <w:bottom w:val="none" w:sz="0" w:space="0" w:color="auto"/>
                <w:right w:val="none" w:sz="0" w:space="0" w:color="auto"/>
              </w:divBdr>
            </w:div>
          </w:divsChild>
        </w:div>
        <w:div w:id="1851682031">
          <w:marLeft w:val="0"/>
          <w:marRight w:val="0"/>
          <w:marTop w:val="0"/>
          <w:marBottom w:val="0"/>
          <w:divBdr>
            <w:top w:val="none" w:sz="0" w:space="0" w:color="auto"/>
            <w:left w:val="none" w:sz="0" w:space="0" w:color="auto"/>
            <w:bottom w:val="none" w:sz="0" w:space="0" w:color="auto"/>
            <w:right w:val="none" w:sz="0" w:space="0" w:color="auto"/>
          </w:divBdr>
          <w:divsChild>
            <w:div w:id="9182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6142">
      <w:bodyDiv w:val="1"/>
      <w:marLeft w:val="0"/>
      <w:marRight w:val="0"/>
      <w:marTop w:val="0"/>
      <w:marBottom w:val="0"/>
      <w:divBdr>
        <w:top w:val="none" w:sz="0" w:space="0" w:color="auto"/>
        <w:left w:val="none" w:sz="0" w:space="0" w:color="auto"/>
        <w:bottom w:val="none" w:sz="0" w:space="0" w:color="auto"/>
        <w:right w:val="none" w:sz="0" w:space="0" w:color="auto"/>
      </w:divBdr>
    </w:div>
    <w:div w:id="235819759">
      <w:bodyDiv w:val="1"/>
      <w:marLeft w:val="0"/>
      <w:marRight w:val="0"/>
      <w:marTop w:val="0"/>
      <w:marBottom w:val="0"/>
      <w:divBdr>
        <w:top w:val="none" w:sz="0" w:space="0" w:color="auto"/>
        <w:left w:val="none" w:sz="0" w:space="0" w:color="auto"/>
        <w:bottom w:val="none" w:sz="0" w:space="0" w:color="auto"/>
        <w:right w:val="none" w:sz="0" w:space="0" w:color="auto"/>
      </w:divBdr>
    </w:div>
    <w:div w:id="239172281">
      <w:bodyDiv w:val="1"/>
      <w:marLeft w:val="0"/>
      <w:marRight w:val="0"/>
      <w:marTop w:val="0"/>
      <w:marBottom w:val="0"/>
      <w:divBdr>
        <w:top w:val="none" w:sz="0" w:space="0" w:color="auto"/>
        <w:left w:val="none" w:sz="0" w:space="0" w:color="auto"/>
        <w:bottom w:val="none" w:sz="0" w:space="0" w:color="auto"/>
        <w:right w:val="none" w:sz="0" w:space="0" w:color="auto"/>
      </w:divBdr>
    </w:div>
    <w:div w:id="286668486">
      <w:bodyDiv w:val="1"/>
      <w:marLeft w:val="0"/>
      <w:marRight w:val="0"/>
      <w:marTop w:val="0"/>
      <w:marBottom w:val="0"/>
      <w:divBdr>
        <w:top w:val="none" w:sz="0" w:space="0" w:color="auto"/>
        <w:left w:val="none" w:sz="0" w:space="0" w:color="auto"/>
        <w:bottom w:val="none" w:sz="0" w:space="0" w:color="auto"/>
        <w:right w:val="none" w:sz="0" w:space="0" w:color="auto"/>
      </w:divBdr>
    </w:div>
    <w:div w:id="339426852">
      <w:bodyDiv w:val="1"/>
      <w:marLeft w:val="0"/>
      <w:marRight w:val="0"/>
      <w:marTop w:val="0"/>
      <w:marBottom w:val="0"/>
      <w:divBdr>
        <w:top w:val="none" w:sz="0" w:space="0" w:color="auto"/>
        <w:left w:val="none" w:sz="0" w:space="0" w:color="auto"/>
        <w:bottom w:val="none" w:sz="0" w:space="0" w:color="auto"/>
        <w:right w:val="none" w:sz="0" w:space="0" w:color="auto"/>
      </w:divBdr>
    </w:div>
    <w:div w:id="377357326">
      <w:bodyDiv w:val="1"/>
      <w:marLeft w:val="0"/>
      <w:marRight w:val="0"/>
      <w:marTop w:val="0"/>
      <w:marBottom w:val="0"/>
      <w:divBdr>
        <w:top w:val="none" w:sz="0" w:space="0" w:color="auto"/>
        <w:left w:val="none" w:sz="0" w:space="0" w:color="auto"/>
        <w:bottom w:val="none" w:sz="0" w:space="0" w:color="auto"/>
        <w:right w:val="none" w:sz="0" w:space="0" w:color="auto"/>
      </w:divBdr>
    </w:div>
    <w:div w:id="444883866">
      <w:bodyDiv w:val="1"/>
      <w:marLeft w:val="0"/>
      <w:marRight w:val="0"/>
      <w:marTop w:val="0"/>
      <w:marBottom w:val="0"/>
      <w:divBdr>
        <w:top w:val="none" w:sz="0" w:space="0" w:color="auto"/>
        <w:left w:val="none" w:sz="0" w:space="0" w:color="auto"/>
        <w:bottom w:val="none" w:sz="0" w:space="0" w:color="auto"/>
        <w:right w:val="none" w:sz="0" w:space="0" w:color="auto"/>
      </w:divBdr>
    </w:div>
    <w:div w:id="484132609">
      <w:bodyDiv w:val="1"/>
      <w:marLeft w:val="0"/>
      <w:marRight w:val="0"/>
      <w:marTop w:val="0"/>
      <w:marBottom w:val="0"/>
      <w:divBdr>
        <w:top w:val="none" w:sz="0" w:space="0" w:color="auto"/>
        <w:left w:val="none" w:sz="0" w:space="0" w:color="auto"/>
        <w:bottom w:val="none" w:sz="0" w:space="0" w:color="auto"/>
        <w:right w:val="none" w:sz="0" w:space="0" w:color="auto"/>
      </w:divBdr>
      <w:divsChild>
        <w:div w:id="220865886">
          <w:marLeft w:val="0"/>
          <w:marRight w:val="0"/>
          <w:marTop w:val="0"/>
          <w:marBottom w:val="0"/>
          <w:divBdr>
            <w:top w:val="single" w:sz="2" w:space="0" w:color="auto"/>
            <w:left w:val="single" w:sz="2" w:space="0" w:color="auto"/>
            <w:bottom w:val="single" w:sz="6" w:space="0" w:color="auto"/>
            <w:right w:val="single" w:sz="2" w:space="0" w:color="auto"/>
          </w:divBdr>
          <w:divsChild>
            <w:div w:id="908879706">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598692">
                  <w:marLeft w:val="0"/>
                  <w:marRight w:val="0"/>
                  <w:marTop w:val="0"/>
                  <w:marBottom w:val="0"/>
                  <w:divBdr>
                    <w:top w:val="single" w:sz="2" w:space="0" w:color="D9D9E3"/>
                    <w:left w:val="single" w:sz="2" w:space="0" w:color="D9D9E3"/>
                    <w:bottom w:val="single" w:sz="2" w:space="0" w:color="D9D9E3"/>
                    <w:right w:val="single" w:sz="2" w:space="0" w:color="D9D9E3"/>
                  </w:divBdr>
                  <w:divsChild>
                    <w:div w:id="1654287684">
                      <w:marLeft w:val="0"/>
                      <w:marRight w:val="0"/>
                      <w:marTop w:val="0"/>
                      <w:marBottom w:val="0"/>
                      <w:divBdr>
                        <w:top w:val="single" w:sz="2" w:space="0" w:color="D9D9E3"/>
                        <w:left w:val="single" w:sz="2" w:space="0" w:color="D9D9E3"/>
                        <w:bottom w:val="single" w:sz="2" w:space="0" w:color="D9D9E3"/>
                        <w:right w:val="single" w:sz="2" w:space="0" w:color="D9D9E3"/>
                      </w:divBdr>
                      <w:divsChild>
                        <w:div w:id="1632633245">
                          <w:marLeft w:val="0"/>
                          <w:marRight w:val="0"/>
                          <w:marTop w:val="0"/>
                          <w:marBottom w:val="0"/>
                          <w:divBdr>
                            <w:top w:val="single" w:sz="2" w:space="0" w:color="D9D9E3"/>
                            <w:left w:val="single" w:sz="2" w:space="0" w:color="D9D9E3"/>
                            <w:bottom w:val="single" w:sz="2" w:space="0" w:color="D9D9E3"/>
                            <w:right w:val="single" w:sz="2" w:space="0" w:color="D9D9E3"/>
                          </w:divBdr>
                          <w:divsChild>
                            <w:div w:id="65274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9102412">
      <w:bodyDiv w:val="1"/>
      <w:marLeft w:val="0"/>
      <w:marRight w:val="0"/>
      <w:marTop w:val="0"/>
      <w:marBottom w:val="0"/>
      <w:divBdr>
        <w:top w:val="none" w:sz="0" w:space="0" w:color="auto"/>
        <w:left w:val="none" w:sz="0" w:space="0" w:color="auto"/>
        <w:bottom w:val="none" w:sz="0" w:space="0" w:color="auto"/>
        <w:right w:val="none" w:sz="0" w:space="0" w:color="auto"/>
      </w:divBdr>
      <w:divsChild>
        <w:div w:id="331840007">
          <w:marLeft w:val="0"/>
          <w:marRight w:val="0"/>
          <w:marTop w:val="0"/>
          <w:marBottom w:val="0"/>
          <w:divBdr>
            <w:top w:val="single" w:sz="2" w:space="0" w:color="auto"/>
            <w:left w:val="single" w:sz="2" w:space="0" w:color="auto"/>
            <w:bottom w:val="single" w:sz="6" w:space="0" w:color="auto"/>
            <w:right w:val="single" w:sz="2" w:space="0" w:color="auto"/>
          </w:divBdr>
          <w:divsChild>
            <w:div w:id="1100182617">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883771">
                  <w:marLeft w:val="0"/>
                  <w:marRight w:val="0"/>
                  <w:marTop w:val="0"/>
                  <w:marBottom w:val="0"/>
                  <w:divBdr>
                    <w:top w:val="single" w:sz="2" w:space="0" w:color="D9D9E3"/>
                    <w:left w:val="single" w:sz="2" w:space="0" w:color="D9D9E3"/>
                    <w:bottom w:val="single" w:sz="2" w:space="0" w:color="D9D9E3"/>
                    <w:right w:val="single" w:sz="2" w:space="0" w:color="D9D9E3"/>
                  </w:divBdr>
                  <w:divsChild>
                    <w:div w:id="1546410433">
                      <w:marLeft w:val="0"/>
                      <w:marRight w:val="0"/>
                      <w:marTop w:val="0"/>
                      <w:marBottom w:val="0"/>
                      <w:divBdr>
                        <w:top w:val="single" w:sz="2" w:space="0" w:color="D9D9E3"/>
                        <w:left w:val="single" w:sz="2" w:space="0" w:color="D9D9E3"/>
                        <w:bottom w:val="single" w:sz="2" w:space="0" w:color="D9D9E3"/>
                        <w:right w:val="single" w:sz="2" w:space="0" w:color="D9D9E3"/>
                      </w:divBdr>
                      <w:divsChild>
                        <w:div w:id="1114834423">
                          <w:marLeft w:val="0"/>
                          <w:marRight w:val="0"/>
                          <w:marTop w:val="0"/>
                          <w:marBottom w:val="0"/>
                          <w:divBdr>
                            <w:top w:val="single" w:sz="2" w:space="0" w:color="D9D9E3"/>
                            <w:left w:val="single" w:sz="2" w:space="0" w:color="D9D9E3"/>
                            <w:bottom w:val="single" w:sz="2" w:space="0" w:color="D9D9E3"/>
                            <w:right w:val="single" w:sz="2" w:space="0" w:color="D9D9E3"/>
                          </w:divBdr>
                          <w:divsChild>
                            <w:div w:id="1209877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7252444">
      <w:bodyDiv w:val="1"/>
      <w:marLeft w:val="0"/>
      <w:marRight w:val="0"/>
      <w:marTop w:val="0"/>
      <w:marBottom w:val="0"/>
      <w:divBdr>
        <w:top w:val="none" w:sz="0" w:space="0" w:color="auto"/>
        <w:left w:val="none" w:sz="0" w:space="0" w:color="auto"/>
        <w:bottom w:val="none" w:sz="0" w:space="0" w:color="auto"/>
        <w:right w:val="none" w:sz="0" w:space="0" w:color="auto"/>
      </w:divBdr>
      <w:divsChild>
        <w:div w:id="212812926">
          <w:marLeft w:val="0"/>
          <w:marRight w:val="0"/>
          <w:marTop w:val="0"/>
          <w:marBottom w:val="0"/>
          <w:divBdr>
            <w:top w:val="none" w:sz="0" w:space="0" w:color="auto"/>
            <w:left w:val="none" w:sz="0" w:space="0" w:color="auto"/>
            <w:bottom w:val="none" w:sz="0" w:space="0" w:color="auto"/>
            <w:right w:val="none" w:sz="0" w:space="0" w:color="auto"/>
          </w:divBdr>
          <w:divsChild>
            <w:div w:id="121653687">
              <w:marLeft w:val="0"/>
              <w:marRight w:val="0"/>
              <w:marTop w:val="0"/>
              <w:marBottom w:val="0"/>
              <w:divBdr>
                <w:top w:val="none" w:sz="0" w:space="0" w:color="auto"/>
                <w:left w:val="none" w:sz="0" w:space="0" w:color="auto"/>
                <w:bottom w:val="none" w:sz="0" w:space="0" w:color="auto"/>
                <w:right w:val="none" w:sz="0" w:space="0" w:color="auto"/>
              </w:divBdr>
              <w:divsChild>
                <w:div w:id="1061833900">
                  <w:marLeft w:val="0"/>
                  <w:marRight w:val="0"/>
                  <w:marTop w:val="0"/>
                  <w:marBottom w:val="0"/>
                  <w:divBdr>
                    <w:top w:val="none" w:sz="0" w:space="0" w:color="auto"/>
                    <w:left w:val="none" w:sz="0" w:space="0" w:color="auto"/>
                    <w:bottom w:val="none" w:sz="0" w:space="0" w:color="auto"/>
                    <w:right w:val="none" w:sz="0" w:space="0" w:color="auto"/>
                  </w:divBdr>
                  <w:divsChild>
                    <w:div w:id="1178613475">
                      <w:marLeft w:val="0"/>
                      <w:marRight w:val="0"/>
                      <w:marTop w:val="0"/>
                      <w:marBottom w:val="0"/>
                      <w:divBdr>
                        <w:top w:val="none" w:sz="0" w:space="0" w:color="auto"/>
                        <w:left w:val="none" w:sz="0" w:space="0" w:color="auto"/>
                        <w:bottom w:val="none" w:sz="0" w:space="0" w:color="auto"/>
                        <w:right w:val="none" w:sz="0" w:space="0" w:color="auto"/>
                      </w:divBdr>
                      <w:divsChild>
                        <w:div w:id="480266690">
                          <w:marLeft w:val="0"/>
                          <w:marRight w:val="0"/>
                          <w:marTop w:val="0"/>
                          <w:marBottom w:val="0"/>
                          <w:divBdr>
                            <w:top w:val="none" w:sz="0" w:space="0" w:color="auto"/>
                            <w:left w:val="none" w:sz="0" w:space="0" w:color="auto"/>
                            <w:bottom w:val="none" w:sz="0" w:space="0" w:color="auto"/>
                            <w:right w:val="none" w:sz="0" w:space="0" w:color="auto"/>
                          </w:divBdr>
                          <w:divsChild>
                            <w:div w:id="2233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66085">
      <w:bodyDiv w:val="1"/>
      <w:marLeft w:val="0"/>
      <w:marRight w:val="0"/>
      <w:marTop w:val="0"/>
      <w:marBottom w:val="0"/>
      <w:divBdr>
        <w:top w:val="none" w:sz="0" w:space="0" w:color="auto"/>
        <w:left w:val="none" w:sz="0" w:space="0" w:color="auto"/>
        <w:bottom w:val="none" w:sz="0" w:space="0" w:color="auto"/>
        <w:right w:val="none" w:sz="0" w:space="0" w:color="auto"/>
      </w:divBdr>
    </w:div>
    <w:div w:id="612903709">
      <w:bodyDiv w:val="1"/>
      <w:marLeft w:val="0"/>
      <w:marRight w:val="0"/>
      <w:marTop w:val="0"/>
      <w:marBottom w:val="0"/>
      <w:divBdr>
        <w:top w:val="none" w:sz="0" w:space="0" w:color="auto"/>
        <w:left w:val="none" w:sz="0" w:space="0" w:color="auto"/>
        <w:bottom w:val="none" w:sz="0" w:space="0" w:color="auto"/>
        <w:right w:val="none" w:sz="0" w:space="0" w:color="auto"/>
      </w:divBdr>
    </w:div>
    <w:div w:id="671837884">
      <w:bodyDiv w:val="1"/>
      <w:marLeft w:val="0"/>
      <w:marRight w:val="0"/>
      <w:marTop w:val="0"/>
      <w:marBottom w:val="0"/>
      <w:divBdr>
        <w:top w:val="none" w:sz="0" w:space="0" w:color="auto"/>
        <w:left w:val="none" w:sz="0" w:space="0" w:color="auto"/>
        <w:bottom w:val="none" w:sz="0" w:space="0" w:color="auto"/>
        <w:right w:val="none" w:sz="0" w:space="0" w:color="auto"/>
      </w:divBdr>
    </w:div>
    <w:div w:id="703362197">
      <w:bodyDiv w:val="1"/>
      <w:marLeft w:val="0"/>
      <w:marRight w:val="0"/>
      <w:marTop w:val="0"/>
      <w:marBottom w:val="0"/>
      <w:divBdr>
        <w:top w:val="none" w:sz="0" w:space="0" w:color="auto"/>
        <w:left w:val="none" w:sz="0" w:space="0" w:color="auto"/>
        <w:bottom w:val="none" w:sz="0" w:space="0" w:color="auto"/>
        <w:right w:val="none" w:sz="0" w:space="0" w:color="auto"/>
      </w:divBdr>
    </w:div>
    <w:div w:id="704253897">
      <w:bodyDiv w:val="1"/>
      <w:marLeft w:val="0"/>
      <w:marRight w:val="0"/>
      <w:marTop w:val="0"/>
      <w:marBottom w:val="0"/>
      <w:divBdr>
        <w:top w:val="none" w:sz="0" w:space="0" w:color="auto"/>
        <w:left w:val="none" w:sz="0" w:space="0" w:color="auto"/>
        <w:bottom w:val="none" w:sz="0" w:space="0" w:color="auto"/>
        <w:right w:val="none" w:sz="0" w:space="0" w:color="auto"/>
      </w:divBdr>
      <w:divsChild>
        <w:div w:id="1407798669">
          <w:marLeft w:val="0"/>
          <w:marRight w:val="0"/>
          <w:marTop w:val="0"/>
          <w:marBottom w:val="0"/>
          <w:divBdr>
            <w:top w:val="none" w:sz="0" w:space="0" w:color="auto"/>
            <w:left w:val="none" w:sz="0" w:space="0" w:color="auto"/>
            <w:bottom w:val="none" w:sz="0" w:space="0" w:color="auto"/>
            <w:right w:val="none" w:sz="0" w:space="0" w:color="auto"/>
          </w:divBdr>
          <w:divsChild>
            <w:div w:id="650061028">
              <w:marLeft w:val="0"/>
              <w:marRight w:val="0"/>
              <w:marTop w:val="0"/>
              <w:marBottom w:val="0"/>
              <w:divBdr>
                <w:top w:val="none" w:sz="0" w:space="0" w:color="auto"/>
                <w:left w:val="none" w:sz="0" w:space="0" w:color="auto"/>
                <w:bottom w:val="none" w:sz="0" w:space="0" w:color="auto"/>
                <w:right w:val="none" w:sz="0" w:space="0" w:color="auto"/>
              </w:divBdr>
              <w:divsChild>
                <w:div w:id="2132699801">
                  <w:marLeft w:val="0"/>
                  <w:marRight w:val="0"/>
                  <w:marTop w:val="0"/>
                  <w:marBottom w:val="0"/>
                  <w:divBdr>
                    <w:top w:val="none" w:sz="0" w:space="0" w:color="auto"/>
                    <w:left w:val="none" w:sz="0" w:space="0" w:color="auto"/>
                    <w:bottom w:val="none" w:sz="0" w:space="0" w:color="auto"/>
                    <w:right w:val="none" w:sz="0" w:space="0" w:color="auto"/>
                  </w:divBdr>
                  <w:divsChild>
                    <w:div w:id="2061590945">
                      <w:marLeft w:val="0"/>
                      <w:marRight w:val="0"/>
                      <w:marTop w:val="0"/>
                      <w:marBottom w:val="0"/>
                      <w:divBdr>
                        <w:top w:val="none" w:sz="0" w:space="0" w:color="auto"/>
                        <w:left w:val="none" w:sz="0" w:space="0" w:color="auto"/>
                        <w:bottom w:val="none" w:sz="0" w:space="0" w:color="auto"/>
                        <w:right w:val="none" w:sz="0" w:space="0" w:color="auto"/>
                      </w:divBdr>
                      <w:divsChild>
                        <w:div w:id="833642719">
                          <w:marLeft w:val="0"/>
                          <w:marRight w:val="0"/>
                          <w:marTop w:val="0"/>
                          <w:marBottom w:val="0"/>
                          <w:divBdr>
                            <w:top w:val="none" w:sz="0" w:space="0" w:color="auto"/>
                            <w:left w:val="none" w:sz="0" w:space="0" w:color="auto"/>
                            <w:bottom w:val="none" w:sz="0" w:space="0" w:color="auto"/>
                            <w:right w:val="none" w:sz="0" w:space="0" w:color="auto"/>
                          </w:divBdr>
                          <w:divsChild>
                            <w:div w:id="1241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595748">
      <w:bodyDiv w:val="1"/>
      <w:marLeft w:val="0"/>
      <w:marRight w:val="0"/>
      <w:marTop w:val="0"/>
      <w:marBottom w:val="0"/>
      <w:divBdr>
        <w:top w:val="none" w:sz="0" w:space="0" w:color="auto"/>
        <w:left w:val="none" w:sz="0" w:space="0" w:color="auto"/>
        <w:bottom w:val="none" w:sz="0" w:space="0" w:color="auto"/>
        <w:right w:val="none" w:sz="0" w:space="0" w:color="auto"/>
      </w:divBdr>
      <w:divsChild>
        <w:div w:id="1949191111">
          <w:marLeft w:val="0"/>
          <w:marRight w:val="0"/>
          <w:marTop w:val="0"/>
          <w:marBottom w:val="0"/>
          <w:divBdr>
            <w:top w:val="single" w:sz="2" w:space="0" w:color="auto"/>
            <w:left w:val="single" w:sz="2" w:space="0" w:color="auto"/>
            <w:bottom w:val="single" w:sz="6" w:space="0" w:color="auto"/>
            <w:right w:val="single" w:sz="2" w:space="0" w:color="auto"/>
          </w:divBdr>
          <w:divsChild>
            <w:div w:id="1363943005">
              <w:marLeft w:val="0"/>
              <w:marRight w:val="0"/>
              <w:marTop w:val="100"/>
              <w:marBottom w:val="100"/>
              <w:divBdr>
                <w:top w:val="single" w:sz="2" w:space="0" w:color="D9D9E3"/>
                <w:left w:val="single" w:sz="2" w:space="0" w:color="D9D9E3"/>
                <w:bottom w:val="single" w:sz="2" w:space="0" w:color="D9D9E3"/>
                <w:right w:val="single" w:sz="2" w:space="0" w:color="D9D9E3"/>
              </w:divBdr>
              <w:divsChild>
                <w:div w:id="1709720179">
                  <w:marLeft w:val="0"/>
                  <w:marRight w:val="0"/>
                  <w:marTop w:val="0"/>
                  <w:marBottom w:val="0"/>
                  <w:divBdr>
                    <w:top w:val="single" w:sz="2" w:space="0" w:color="D9D9E3"/>
                    <w:left w:val="single" w:sz="2" w:space="0" w:color="D9D9E3"/>
                    <w:bottom w:val="single" w:sz="2" w:space="0" w:color="D9D9E3"/>
                    <w:right w:val="single" w:sz="2" w:space="0" w:color="D9D9E3"/>
                  </w:divBdr>
                  <w:divsChild>
                    <w:div w:id="543098172">
                      <w:marLeft w:val="0"/>
                      <w:marRight w:val="0"/>
                      <w:marTop w:val="0"/>
                      <w:marBottom w:val="0"/>
                      <w:divBdr>
                        <w:top w:val="single" w:sz="2" w:space="0" w:color="D9D9E3"/>
                        <w:left w:val="single" w:sz="2" w:space="0" w:color="D9D9E3"/>
                        <w:bottom w:val="single" w:sz="2" w:space="0" w:color="D9D9E3"/>
                        <w:right w:val="single" w:sz="2" w:space="0" w:color="D9D9E3"/>
                      </w:divBdr>
                      <w:divsChild>
                        <w:div w:id="2244063">
                          <w:marLeft w:val="0"/>
                          <w:marRight w:val="0"/>
                          <w:marTop w:val="0"/>
                          <w:marBottom w:val="0"/>
                          <w:divBdr>
                            <w:top w:val="single" w:sz="2" w:space="0" w:color="D9D9E3"/>
                            <w:left w:val="single" w:sz="2" w:space="0" w:color="D9D9E3"/>
                            <w:bottom w:val="single" w:sz="2" w:space="0" w:color="D9D9E3"/>
                            <w:right w:val="single" w:sz="2" w:space="0" w:color="D9D9E3"/>
                          </w:divBdr>
                          <w:divsChild>
                            <w:div w:id="572861339">
                              <w:marLeft w:val="0"/>
                              <w:marRight w:val="0"/>
                              <w:marTop w:val="0"/>
                              <w:marBottom w:val="0"/>
                              <w:divBdr>
                                <w:top w:val="single" w:sz="2" w:space="0" w:color="D9D9E3"/>
                                <w:left w:val="single" w:sz="2" w:space="0" w:color="D9D9E3"/>
                                <w:bottom w:val="single" w:sz="2" w:space="0" w:color="D9D9E3"/>
                                <w:right w:val="single" w:sz="2" w:space="0" w:color="D9D9E3"/>
                              </w:divBdr>
                              <w:divsChild>
                                <w:div w:id="1680305868">
                                  <w:marLeft w:val="0"/>
                                  <w:marRight w:val="0"/>
                                  <w:marTop w:val="0"/>
                                  <w:marBottom w:val="0"/>
                                  <w:divBdr>
                                    <w:top w:val="single" w:sz="2" w:space="0" w:color="D9D9E3"/>
                                    <w:left w:val="single" w:sz="2" w:space="0" w:color="D9D9E3"/>
                                    <w:bottom w:val="single" w:sz="2" w:space="0" w:color="D9D9E3"/>
                                    <w:right w:val="single" w:sz="2" w:space="0" w:color="D9D9E3"/>
                                  </w:divBdr>
                                  <w:divsChild>
                                    <w:div w:id="1386679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36633327">
      <w:bodyDiv w:val="1"/>
      <w:marLeft w:val="0"/>
      <w:marRight w:val="0"/>
      <w:marTop w:val="0"/>
      <w:marBottom w:val="0"/>
      <w:divBdr>
        <w:top w:val="none" w:sz="0" w:space="0" w:color="auto"/>
        <w:left w:val="none" w:sz="0" w:space="0" w:color="auto"/>
        <w:bottom w:val="none" w:sz="0" w:space="0" w:color="auto"/>
        <w:right w:val="none" w:sz="0" w:space="0" w:color="auto"/>
      </w:divBdr>
    </w:div>
    <w:div w:id="757558753">
      <w:bodyDiv w:val="1"/>
      <w:marLeft w:val="0"/>
      <w:marRight w:val="0"/>
      <w:marTop w:val="0"/>
      <w:marBottom w:val="0"/>
      <w:divBdr>
        <w:top w:val="none" w:sz="0" w:space="0" w:color="auto"/>
        <w:left w:val="none" w:sz="0" w:space="0" w:color="auto"/>
        <w:bottom w:val="none" w:sz="0" w:space="0" w:color="auto"/>
        <w:right w:val="none" w:sz="0" w:space="0" w:color="auto"/>
      </w:divBdr>
      <w:divsChild>
        <w:div w:id="1317224510">
          <w:marLeft w:val="0"/>
          <w:marRight w:val="0"/>
          <w:marTop w:val="0"/>
          <w:marBottom w:val="0"/>
          <w:divBdr>
            <w:top w:val="none" w:sz="0" w:space="0" w:color="auto"/>
            <w:left w:val="none" w:sz="0" w:space="0" w:color="auto"/>
            <w:bottom w:val="none" w:sz="0" w:space="0" w:color="auto"/>
            <w:right w:val="none" w:sz="0" w:space="0" w:color="auto"/>
          </w:divBdr>
          <w:divsChild>
            <w:div w:id="1858617771">
              <w:marLeft w:val="0"/>
              <w:marRight w:val="0"/>
              <w:marTop w:val="0"/>
              <w:marBottom w:val="0"/>
              <w:divBdr>
                <w:top w:val="none" w:sz="0" w:space="0" w:color="auto"/>
                <w:left w:val="none" w:sz="0" w:space="0" w:color="auto"/>
                <w:bottom w:val="none" w:sz="0" w:space="0" w:color="auto"/>
                <w:right w:val="none" w:sz="0" w:space="0" w:color="auto"/>
              </w:divBdr>
              <w:divsChild>
                <w:div w:id="1313410715">
                  <w:marLeft w:val="0"/>
                  <w:marRight w:val="0"/>
                  <w:marTop w:val="0"/>
                  <w:marBottom w:val="0"/>
                  <w:divBdr>
                    <w:top w:val="none" w:sz="0" w:space="0" w:color="auto"/>
                    <w:left w:val="none" w:sz="0" w:space="0" w:color="auto"/>
                    <w:bottom w:val="none" w:sz="0" w:space="0" w:color="auto"/>
                    <w:right w:val="none" w:sz="0" w:space="0" w:color="auto"/>
                  </w:divBdr>
                  <w:divsChild>
                    <w:div w:id="1243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66216">
      <w:bodyDiv w:val="1"/>
      <w:marLeft w:val="0"/>
      <w:marRight w:val="0"/>
      <w:marTop w:val="0"/>
      <w:marBottom w:val="0"/>
      <w:divBdr>
        <w:top w:val="none" w:sz="0" w:space="0" w:color="auto"/>
        <w:left w:val="none" w:sz="0" w:space="0" w:color="auto"/>
        <w:bottom w:val="none" w:sz="0" w:space="0" w:color="auto"/>
        <w:right w:val="none" w:sz="0" w:space="0" w:color="auto"/>
      </w:divBdr>
    </w:div>
    <w:div w:id="786117958">
      <w:bodyDiv w:val="1"/>
      <w:marLeft w:val="0"/>
      <w:marRight w:val="0"/>
      <w:marTop w:val="0"/>
      <w:marBottom w:val="0"/>
      <w:divBdr>
        <w:top w:val="none" w:sz="0" w:space="0" w:color="auto"/>
        <w:left w:val="none" w:sz="0" w:space="0" w:color="auto"/>
        <w:bottom w:val="none" w:sz="0" w:space="0" w:color="auto"/>
        <w:right w:val="none" w:sz="0" w:space="0" w:color="auto"/>
      </w:divBdr>
    </w:div>
    <w:div w:id="837236934">
      <w:bodyDiv w:val="1"/>
      <w:marLeft w:val="0"/>
      <w:marRight w:val="0"/>
      <w:marTop w:val="0"/>
      <w:marBottom w:val="0"/>
      <w:divBdr>
        <w:top w:val="none" w:sz="0" w:space="0" w:color="auto"/>
        <w:left w:val="none" w:sz="0" w:space="0" w:color="auto"/>
        <w:bottom w:val="none" w:sz="0" w:space="0" w:color="auto"/>
        <w:right w:val="none" w:sz="0" w:space="0" w:color="auto"/>
      </w:divBdr>
      <w:divsChild>
        <w:div w:id="1851135369">
          <w:marLeft w:val="0"/>
          <w:marRight w:val="0"/>
          <w:marTop w:val="0"/>
          <w:marBottom w:val="0"/>
          <w:divBdr>
            <w:top w:val="single" w:sz="2" w:space="0" w:color="auto"/>
            <w:left w:val="single" w:sz="2" w:space="0" w:color="auto"/>
            <w:bottom w:val="single" w:sz="6" w:space="0" w:color="auto"/>
            <w:right w:val="single" w:sz="2" w:space="0" w:color="auto"/>
          </w:divBdr>
          <w:divsChild>
            <w:div w:id="440221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778452484">
                  <w:marLeft w:val="0"/>
                  <w:marRight w:val="0"/>
                  <w:marTop w:val="0"/>
                  <w:marBottom w:val="0"/>
                  <w:divBdr>
                    <w:top w:val="single" w:sz="2" w:space="0" w:color="D9D9E3"/>
                    <w:left w:val="single" w:sz="2" w:space="0" w:color="D9D9E3"/>
                    <w:bottom w:val="single" w:sz="2" w:space="0" w:color="D9D9E3"/>
                    <w:right w:val="single" w:sz="2" w:space="0" w:color="D9D9E3"/>
                  </w:divBdr>
                  <w:divsChild>
                    <w:div w:id="38290796">
                      <w:marLeft w:val="0"/>
                      <w:marRight w:val="0"/>
                      <w:marTop w:val="0"/>
                      <w:marBottom w:val="0"/>
                      <w:divBdr>
                        <w:top w:val="single" w:sz="2" w:space="0" w:color="D9D9E3"/>
                        <w:left w:val="single" w:sz="2" w:space="0" w:color="D9D9E3"/>
                        <w:bottom w:val="single" w:sz="2" w:space="0" w:color="D9D9E3"/>
                        <w:right w:val="single" w:sz="2" w:space="0" w:color="D9D9E3"/>
                      </w:divBdr>
                      <w:divsChild>
                        <w:div w:id="1317223728">
                          <w:marLeft w:val="0"/>
                          <w:marRight w:val="0"/>
                          <w:marTop w:val="0"/>
                          <w:marBottom w:val="0"/>
                          <w:divBdr>
                            <w:top w:val="single" w:sz="2" w:space="0" w:color="D9D9E3"/>
                            <w:left w:val="single" w:sz="2" w:space="0" w:color="D9D9E3"/>
                            <w:bottom w:val="single" w:sz="2" w:space="0" w:color="D9D9E3"/>
                            <w:right w:val="single" w:sz="2" w:space="0" w:color="D9D9E3"/>
                          </w:divBdr>
                          <w:divsChild>
                            <w:div w:id="997265881">
                              <w:marLeft w:val="0"/>
                              <w:marRight w:val="0"/>
                              <w:marTop w:val="0"/>
                              <w:marBottom w:val="0"/>
                              <w:divBdr>
                                <w:top w:val="single" w:sz="2" w:space="0" w:color="D9D9E3"/>
                                <w:left w:val="single" w:sz="2" w:space="0" w:color="D9D9E3"/>
                                <w:bottom w:val="single" w:sz="2" w:space="0" w:color="D9D9E3"/>
                                <w:right w:val="single" w:sz="2" w:space="0" w:color="D9D9E3"/>
                              </w:divBdr>
                              <w:divsChild>
                                <w:div w:id="1622296466">
                                  <w:marLeft w:val="0"/>
                                  <w:marRight w:val="0"/>
                                  <w:marTop w:val="0"/>
                                  <w:marBottom w:val="0"/>
                                  <w:divBdr>
                                    <w:top w:val="single" w:sz="2" w:space="0" w:color="D9D9E3"/>
                                    <w:left w:val="single" w:sz="2" w:space="0" w:color="D9D9E3"/>
                                    <w:bottom w:val="single" w:sz="2" w:space="0" w:color="D9D9E3"/>
                                    <w:right w:val="single" w:sz="2" w:space="0" w:color="D9D9E3"/>
                                  </w:divBdr>
                                  <w:divsChild>
                                    <w:div w:id="1687705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41701941">
      <w:bodyDiv w:val="1"/>
      <w:marLeft w:val="0"/>
      <w:marRight w:val="0"/>
      <w:marTop w:val="0"/>
      <w:marBottom w:val="0"/>
      <w:divBdr>
        <w:top w:val="none" w:sz="0" w:space="0" w:color="auto"/>
        <w:left w:val="none" w:sz="0" w:space="0" w:color="auto"/>
        <w:bottom w:val="none" w:sz="0" w:space="0" w:color="auto"/>
        <w:right w:val="none" w:sz="0" w:space="0" w:color="auto"/>
      </w:divBdr>
    </w:div>
    <w:div w:id="862523710">
      <w:bodyDiv w:val="1"/>
      <w:marLeft w:val="0"/>
      <w:marRight w:val="0"/>
      <w:marTop w:val="0"/>
      <w:marBottom w:val="0"/>
      <w:divBdr>
        <w:top w:val="none" w:sz="0" w:space="0" w:color="auto"/>
        <w:left w:val="none" w:sz="0" w:space="0" w:color="auto"/>
        <w:bottom w:val="none" w:sz="0" w:space="0" w:color="auto"/>
        <w:right w:val="none" w:sz="0" w:space="0" w:color="auto"/>
      </w:divBdr>
    </w:div>
    <w:div w:id="880285636">
      <w:bodyDiv w:val="1"/>
      <w:marLeft w:val="0"/>
      <w:marRight w:val="0"/>
      <w:marTop w:val="0"/>
      <w:marBottom w:val="0"/>
      <w:divBdr>
        <w:top w:val="none" w:sz="0" w:space="0" w:color="auto"/>
        <w:left w:val="none" w:sz="0" w:space="0" w:color="auto"/>
        <w:bottom w:val="none" w:sz="0" w:space="0" w:color="auto"/>
        <w:right w:val="none" w:sz="0" w:space="0" w:color="auto"/>
      </w:divBdr>
    </w:div>
    <w:div w:id="921987551">
      <w:bodyDiv w:val="1"/>
      <w:marLeft w:val="0"/>
      <w:marRight w:val="0"/>
      <w:marTop w:val="0"/>
      <w:marBottom w:val="0"/>
      <w:divBdr>
        <w:top w:val="none" w:sz="0" w:space="0" w:color="auto"/>
        <w:left w:val="none" w:sz="0" w:space="0" w:color="auto"/>
        <w:bottom w:val="none" w:sz="0" w:space="0" w:color="auto"/>
        <w:right w:val="none" w:sz="0" w:space="0" w:color="auto"/>
      </w:divBdr>
      <w:divsChild>
        <w:div w:id="305010774">
          <w:marLeft w:val="547"/>
          <w:marRight w:val="0"/>
          <w:marTop w:val="0"/>
          <w:marBottom w:val="160"/>
          <w:divBdr>
            <w:top w:val="none" w:sz="0" w:space="0" w:color="auto"/>
            <w:left w:val="none" w:sz="0" w:space="0" w:color="auto"/>
            <w:bottom w:val="none" w:sz="0" w:space="0" w:color="auto"/>
            <w:right w:val="none" w:sz="0" w:space="0" w:color="auto"/>
          </w:divBdr>
        </w:div>
        <w:div w:id="400829920">
          <w:marLeft w:val="547"/>
          <w:marRight w:val="0"/>
          <w:marTop w:val="0"/>
          <w:marBottom w:val="160"/>
          <w:divBdr>
            <w:top w:val="none" w:sz="0" w:space="0" w:color="auto"/>
            <w:left w:val="none" w:sz="0" w:space="0" w:color="auto"/>
            <w:bottom w:val="none" w:sz="0" w:space="0" w:color="auto"/>
            <w:right w:val="none" w:sz="0" w:space="0" w:color="auto"/>
          </w:divBdr>
        </w:div>
        <w:div w:id="500967172">
          <w:marLeft w:val="547"/>
          <w:marRight w:val="0"/>
          <w:marTop w:val="0"/>
          <w:marBottom w:val="160"/>
          <w:divBdr>
            <w:top w:val="none" w:sz="0" w:space="0" w:color="auto"/>
            <w:left w:val="none" w:sz="0" w:space="0" w:color="auto"/>
            <w:bottom w:val="none" w:sz="0" w:space="0" w:color="auto"/>
            <w:right w:val="none" w:sz="0" w:space="0" w:color="auto"/>
          </w:divBdr>
        </w:div>
        <w:div w:id="636254273">
          <w:marLeft w:val="547"/>
          <w:marRight w:val="0"/>
          <w:marTop w:val="0"/>
          <w:marBottom w:val="160"/>
          <w:divBdr>
            <w:top w:val="none" w:sz="0" w:space="0" w:color="auto"/>
            <w:left w:val="none" w:sz="0" w:space="0" w:color="auto"/>
            <w:bottom w:val="none" w:sz="0" w:space="0" w:color="auto"/>
            <w:right w:val="none" w:sz="0" w:space="0" w:color="auto"/>
          </w:divBdr>
        </w:div>
        <w:div w:id="1145702245">
          <w:marLeft w:val="547"/>
          <w:marRight w:val="0"/>
          <w:marTop w:val="0"/>
          <w:marBottom w:val="160"/>
          <w:divBdr>
            <w:top w:val="none" w:sz="0" w:space="0" w:color="auto"/>
            <w:left w:val="none" w:sz="0" w:space="0" w:color="auto"/>
            <w:bottom w:val="none" w:sz="0" w:space="0" w:color="auto"/>
            <w:right w:val="none" w:sz="0" w:space="0" w:color="auto"/>
          </w:divBdr>
        </w:div>
        <w:div w:id="1378511100">
          <w:marLeft w:val="547"/>
          <w:marRight w:val="0"/>
          <w:marTop w:val="0"/>
          <w:marBottom w:val="160"/>
          <w:divBdr>
            <w:top w:val="none" w:sz="0" w:space="0" w:color="auto"/>
            <w:left w:val="none" w:sz="0" w:space="0" w:color="auto"/>
            <w:bottom w:val="none" w:sz="0" w:space="0" w:color="auto"/>
            <w:right w:val="none" w:sz="0" w:space="0" w:color="auto"/>
          </w:divBdr>
        </w:div>
        <w:div w:id="1961959664">
          <w:marLeft w:val="547"/>
          <w:marRight w:val="0"/>
          <w:marTop w:val="0"/>
          <w:marBottom w:val="160"/>
          <w:divBdr>
            <w:top w:val="none" w:sz="0" w:space="0" w:color="auto"/>
            <w:left w:val="none" w:sz="0" w:space="0" w:color="auto"/>
            <w:bottom w:val="none" w:sz="0" w:space="0" w:color="auto"/>
            <w:right w:val="none" w:sz="0" w:space="0" w:color="auto"/>
          </w:divBdr>
        </w:div>
        <w:div w:id="2065368820">
          <w:marLeft w:val="547"/>
          <w:marRight w:val="0"/>
          <w:marTop w:val="0"/>
          <w:marBottom w:val="160"/>
          <w:divBdr>
            <w:top w:val="none" w:sz="0" w:space="0" w:color="auto"/>
            <w:left w:val="none" w:sz="0" w:space="0" w:color="auto"/>
            <w:bottom w:val="none" w:sz="0" w:space="0" w:color="auto"/>
            <w:right w:val="none" w:sz="0" w:space="0" w:color="auto"/>
          </w:divBdr>
        </w:div>
      </w:divsChild>
    </w:div>
    <w:div w:id="952588294">
      <w:bodyDiv w:val="1"/>
      <w:marLeft w:val="0"/>
      <w:marRight w:val="0"/>
      <w:marTop w:val="0"/>
      <w:marBottom w:val="0"/>
      <w:divBdr>
        <w:top w:val="none" w:sz="0" w:space="0" w:color="auto"/>
        <w:left w:val="none" w:sz="0" w:space="0" w:color="auto"/>
        <w:bottom w:val="none" w:sz="0" w:space="0" w:color="auto"/>
        <w:right w:val="none" w:sz="0" w:space="0" w:color="auto"/>
      </w:divBdr>
    </w:div>
    <w:div w:id="952712594">
      <w:bodyDiv w:val="1"/>
      <w:marLeft w:val="0"/>
      <w:marRight w:val="0"/>
      <w:marTop w:val="0"/>
      <w:marBottom w:val="0"/>
      <w:divBdr>
        <w:top w:val="none" w:sz="0" w:space="0" w:color="auto"/>
        <w:left w:val="none" w:sz="0" w:space="0" w:color="auto"/>
        <w:bottom w:val="none" w:sz="0" w:space="0" w:color="auto"/>
        <w:right w:val="none" w:sz="0" w:space="0" w:color="auto"/>
      </w:divBdr>
      <w:divsChild>
        <w:div w:id="1643777280">
          <w:marLeft w:val="0"/>
          <w:marRight w:val="0"/>
          <w:marTop w:val="0"/>
          <w:marBottom w:val="0"/>
          <w:divBdr>
            <w:top w:val="none" w:sz="0" w:space="0" w:color="auto"/>
            <w:left w:val="none" w:sz="0" w:space="0" w:color="auto"/>
            <w:bottom w:val="none" w:sz="0" w:space="0" w:color="auto"/>
            <w:right w:val="none" w:sz="0" w:space="0" w:color="auto"/>
          </w:divBdr>
          <w:divsChild>
            <w:div w:id="386076842">
              <w:marLeft w:val="0"/>
              <w:marRight w:val="0"/>
              <w:marTop w:val="30"/>
              <w:marBottom w:val="30"/>
              <w:divBdr>
                <w:top w:val="none" w:sz="0" w:space="0" w:color="auto"/>
                <w:left w:val="none" w:sz="0" w:space="0" w:color="auto"/>
                <w:bottom w:val="none" w:sz="0" w:space="0" w:color="auto"/>
                <w:right w:val="none" w:sz="0" w:space="0" w:color="auto"/>
              </w:divBdr>
              <w:divsChild>
                <w:div w:id="85617922">
                  <w:marLeft w:val="0"/>
                  <w:marRight w:val="0"/>
                  <w:marTop w:val="0"/>
                  <w:marBottom w:val="0"/>
                  <w:divBdr>
                    <w:top w:val="none" w:sz="0" w:space="0" w:color="auto"/>
                    <w:left w:val="none" w:sz="0" w:space="0" w:color="auto"/>
                    <w:bottom w:val="none" w:sz="0" w:space="0" w:color="auto"/>
                    <w:right w:val="none" w:sz="0" w:space="0" w:color="auto"/>
                  </w:divBdr>
                  <w:divsChild>
                    <w:div w:id="306324209">
                      <w:marLeft w:val="0"/>
                      <w:marRight w:val="0"/>
                      <w:marTop w:val="0"/>
                      <w:marBottom w:val="0"/>
                      <w:divBdr>
                        <w:top w:val="none" w:sz="0" w:space="0" w:color="auto"/>
                        <w:left w:val="none" w:sz="0" w:space="0" w:color="auto"/>
                        <w:bottom w:val="none" w:sz="0" w:space="0" w:color="auto"/>
                        <w:right w:val="none" w:sz="0" w:space="0" w:color="auto"/>
                      </w:divBdr>
                    </w:div>
                  </w:divsChild>
                </w:div>
                <w:div w:id="136269366">
                  <w:marLeft w:val="0"/>
                  <w:marRight w:val="0"/>
                  <w:marTop w:val="0"/>
                  <w:marBottom w:val="0"/>
                  <w:divBdr>
                    <w:top w:val="none" w:sz="0" w:space="0" w:color="auto"/>
                    <w:left w:val="none" w:sz="0" w:space="0" w:color="auto"/>
                    <w:bottom w:val="none" w:sz="0" w:space="0" w:color="auto"/>
                    <w:right w:val="none" w:sz="0" w:space="0" w:color="auto"/>
                  </w:divBdr>
                  <w:divsChild>
                    <w:div w:id="1501700202">
                      <w:marLeft w:val="0"/>
                      <w:marRight w:val="0"/>
                      <w:marTop w:val="0"/>
                      <w:marBottom w:val="0"/>
                      <w:divBdr>
                        <w:top w:val="none" w:sz="0" w:space="0" w:color="auto"/>
                        <w:left w:val="none" w:sz="0" w:space="0" w:color="auto"/>
                        <w:bottom w:val="none" w:sz="0" w:space="0" w:color="auto"/>
                        <w:right w:val="none" w:sz="0" w:space="0" w:color="auto"/>
                      </w:divBdr>
                    </w:div>
                  </w:divsChild>
                </w:div>
                <w:div w:id="374894244">
                  <w:marLeft w:val="0"/>
                  <w:marRight w:val="0"/>
                  <w:marTop w:val="0"/>
                  <w:marBottom w:val="0"/>
                  <w:divBdr>
                    <w:top w:val="none" w:sz="0" w:space="0" w:color="auto"/>
                    <w:left w:val="none" w:sz="0" w:space="0" w:color="auto"/>
                    <w:bottom w:val="none" w:sz="0" w:space="0" w:color="auto"/>
                    <w:right w:val="none" w:sz="0" w:space="0" w:color="auto"/>
                  </w:divBdr>
                  <w:divsChild>
                    <w:div w:id="27068764">
                      <w:marLeft w:val="0"/>
                      <w:marRight w:val="0"/>
                      <w:marTop w:val="0"/>
                      <w:marBottom w:val="0"/>
                      <w:divBdr>
                        <w:top w:val="none" w:sz="0" w:space="0" w:color="auto"/>
                        <w:left w:val="none" w:sz="0" w:space="0" w:color="auto"/>
                        <w:bottom w:val="none" w:sz="0" w:space="0" w:color="auto"/>
                        <w:right w:val="none" w:sz="0" w:space="0" w:color="auto"/>
                      </w:divBdr>
                    </w:div>
                  </w:divsChild>
                </w:div>
                <w:div w:id="407919419">
                  <w:marLeft w:val="0"/>
                  <w:marRight w:val="0"/>
                  <w:marTop w:val="0"/>
                  <w:marBottom w:val="0"/>
                  <w:divBdr>
                    <w:top w:val="none" w:sz="0" w:space="0" w:color="auto"/>
                    <w:left w:val="none" w:sz="0" w:space="0" w:color="auto"/>
                    <w:bottom w:val="none" w:sz="0" w:space="0" w:color="auto"/>
                    <w:right w:val="none" w:sz="0" w:space="0" w:color="auto"/>
                  </w:divBdr>
                  <w:divsChild>
                    <w:div w:id="1402681685">
                      <w:marLeft w:val="0"/>
                      <w:marRight w:val="0"/>
                      <w:marTop w:val="0"/>
                      <w:marBottom w:val="0"/>
                      <w:divBdr>
                        <w:top w:val="none" w:sz="0" w:space="0" w:color="auto"/>
                        <w:left w:val="none" w:sz="0" w:space="0" w:color="auto"/>
                        <w:bottom w:val="none" w:sz="0" w:space="0" w:color="auto"/>
                        <w:right w:val="none" w:sz="0" w:space="0" w:color="auto"/>
                      </w:divBdr>
                    </w:div>
                  </w:divsChild>
                </w:div>
                <w:div w:id="418257758">
                  <w:marLeft w:val="0"/>
                  <w:marRight w:val="0"/>
                  <w:marTop w:val="0"/>
                  <w:marBottom w:val="0"/>
                  <w:divBdr>
                    <w:top w:val="none" w:sz="0" w:space="0" w:color="auto"/>
                    <w:left w:val="none" w:sz="0" w:space="0" w:color="auto"/>
                    <w:bottom w:val="none" w:sz="0" w:space="0" w:color="auto"/>
                    <w:right w:val="none" w:sz="0" w:space="0" w:color="auto"/>
                  </w:divBdr>
                  <w:divsChild>
                    <w:div w:id="415715764">
                      <w:marLeft w:val="0"/>
                      <w:marRight w:val="0"/>
                      <w:marTop w:val="0"/>
                      <w:marBottom w:val="0"/>
                      <w:divBdr>
                        <w:top w:val="none" w:sz="0" w:space="0" w:color="auto"/>
                        <w:left w:val="none" w:sz="0" w:space="0" w:color="auto"/>
                        <w:bottom w:val="none" w:sz="0" w:space="0" w:color="auto"/>
                        <w:right w:val="none" w:sz="0" w:space="0" w:color="auto"/>
                      </w:divBdr>
                    </w:div>
                  </w:divsChild>
                </w:div>
                <w:div w:id="526916682">
                  <w:marLeft w:val="0"/>
                  <w:marRight w:val="0"/>
                  <w:marTop w:val="0"/>
                  <w:marBottom w:val="0"/>
                  <w:divBdr>
                    <w:top w:val="none" w:sz="0" w:space="0" w:color="auto"/>
                    <w:left w:val="none" w:sz="0" w:space="0" w:color="auto"/>
                    <w:bottom w:val="none" w:sz="0" w:space="0" w:color="auto"/>
                    <w:right w:val="none" w:sz="0" w:space="0" w:color="auto"/>
                  </w:divBdr>
                  <w:divsChild>
                    <w:div w:id="1022173310">
                      <w:marLeft w:val="0"/>
                      <w:marRight w:val="0"/>
                      <w:marTop w:val="0"/>
                      <w:marBottom w:val="0"/>
                      <w:divBdr>
                        <w:top w:val="none" w:sz="0" w:space="0" w:color="auto"/>
                        <w:left w:val="none" w:sz="0" w:space="0" w:color="auto"/>
                        <w:bottom w:val="none" w:sz="0" w:space="0" w:color="auto"/>
                        <w:right w:val="none" w:sz="0" w:space="0" w:color="auto"/>
                      </w:divBdr>
                    </w:div>
                  </w:divsChild>
                </w:div>
                <w:div w:id="547377808">
                  <w:marLeft w:val="0"/>
                  <w:marRight w:val="0"/>
                  <w:marTop w:val="0"/>
                  <w:marBottom w:val="0"/>
                  <w:divBdr>
                    <w:top w:val="none" w:sz="0" w:space="0" w:color="auto"/>
                    <w:left w:val="none" w:sz="0" w:space="0" w:color="auto"/>
                    <w:bottom w:val="none" w:sz="0" w:space="0" w:color="auto"/>
                    <w:right w:val="none" w:sz="0" w:space="0" w:color="auto"/>
                  </w:divBdr>
                  <w:divsChild>
                    <w:div w:id="1266185595">
                      <w:marLeft w:val="0"/>
                      <w:marRight w:val="0"/>
                      <w:marTop w:val="0"/>
                      <w:marBottom w:val="0"/>
                      <w:divBdr>
                        <w:top w:val="none" w:sz="0" w:space="0" w:color="auto"/>
                        <w:left w:val="none" w:sz="0" w:space="0" w:color="auto"/>
                        <w:bottom w:val="none" w:sz="0" w:space="0" w:color="auto"/>
                        <w:right w:val="none" w:sz="0" w:space="0" w:color="auto"/>
                      </w:divBdr>
                    </w:div>
                  </w:divsChild>
                </w:div>
                <w:div w:id="610670255">
                  <w:marLeft w:val="0"/>
                  <w:marRight w:val="0"/>
                  <w:marTop w:val="0"/>
                  <w:marBottom w:val="0"/>
                  <w:divBdr>
                    <w:top w:val="none" w:sz="0" w:space="0" w:color="auto"/>
                    <w:left w:val="none" w:sz="0" w:space="0" w:color="auto"/>
                    <w:bottom w:val="none" w:sz="0" w:space="0" w:color="auto"/>
                    <w:right w:val="none" w:sz="0" w:space="0" w:color="auto"/>
                  </w:divBdr>
                  <w:divsChild>
                    <w:div w:id="599021411">
                      <w:marLeft w:val="0"/>
                      <w:marRight w:val="0"/>
                      <w:marTop w:val="0"/>
                      <w:marBottom w:val="0"/>
                      <w:divBdr>
                        <w:top w:val="none" w:sz="0" w:space="0" w:color="auto"/>
                        <w:left w:val="none" w:sz="0" w:space="0" w:color="auto"/>
                        <w:bottom w:val="none" w:sz="0" w:space="0" w:color="auto"/>
                        <w:right w:val="none" w:sz="0" w:space="0" w:color="auto"/>
                      </w:divBdr>
                    </w:div>
                  </w:divsChild>
                </w:div>
                <w:div w:id="704449776">
                  <w:marLeft w:val="0"/>
                  <w:marRight w:val="0"/>
                  <w:marTop w:val="0"/>
                  <w:marBottom w:val="0"/>
                  <w:divBdr>
                    <w:top w:val="none" w:sz="0" w:space="0" w:color="auto"/>
                    <w:left w:val="none" w:sz="0" w:space="0" w:color="auto"/>
                    <w:bottom w:val="none" w:sz="0" w:space="0" w:color="auto"/>
                    <w:right w:val="none" w:sz="0" w:space="0" w:color="auto"/>
                  </w:divBdr>
                  <w:divsChild>
                    <w:div w:id="1434015808">
                      <w:marLeft w:val="0"/>
                      <w:marRight w:val="0"/>
                      <w:marTop w:val="0"/>
                      <w:marBottom w:val="0"/>
                      <w:divBdr>
                        <w:top w:val="none" w:sz="0" w:space="0" w:color="auto"/>
                        <w:left w:val="none" w:sz="0" w:space="0" w:color="auto"/>
                        <w:bottom w:val="none" w:sz="0" w:space="0" w:color="auto"/>
                        <w:right w:val="none" w:sz="0" w:space="0" w:color="auto"/>
                      </w:divBdr>
                    </w:div>
                  </w:divsChild>
                </w:div>
                <w:div w:id="750591279">
                  <w:marLeft w:val="0"/>
                  <w:marRight w:val="0"/>
                  <w:marTop w:val="0"/>
                  <w:marBottom w:val="0"/>
                  <w:divBdr>
                    <w:top w:val="none" w:sz="0" w:space="0" w:color="auto"/>
                    <w:left w:val="none" w:sz="0" w:space="0" w:color="auto"/>
                    <w:bottom w:val="none" w:sz="0" w:space="0" w:color="auto"/>
                    <w:right w:val="none" w:sz="0" w:space="0" w:color="auto"/>
                  </w:divBdr>
                  <w:divsChild>
                    <w:div w:id="2051029751">
                      <w:marLeft w:val="0"/>
                      <w:marRight w:val="0"/>
                      <w:marTop w:val="0"/>
                      <w:marBottom w:val="0"/>
                      <w:divBdr>
                        <w:top w:val="none" w:sz="0" w:space="0" w:color="auto"/>
                        <w:left w:val="none" w:sz="0" w:space="0" w:color="auto"/>
                        <w:bottom w:val="none" w:sz="0" w:space="0" w:color="auto"/>
                        <w:right w:val="none" w:sz="0" w:space="0" w:color="auto"/>
                      </w:divBdr>
                    </w:div>
                  </w:divsChild>
                </w:div>
                <w:div w:id="898976372">
                  <w:marLeft w:val="0"/>
                  <w:marRight w:val="0"/>
                  <w:marTop w:val="0"/>
                  <w:marBottom w:val="0"/>
                  <w:divBdr>
                    <w:top w:val="none" w:sz="0" w:space="0" w:color="auto"/>
                    <w:left w:val="none" w:sz="0" w:space="0" w:color="auto"/>
                    <w:bottom w:val="none" w:sz="0" w:space="0" w:color="auto"/>
                    <w:right w:val="none" w:sz="0" w:space="0" w:color="auto"/>
                  </w:divBdr>
                  <w:divsChild>
                    <w:div w:id="1001085873">
                      <w:marLeft w:val="0"/>
                      <w:marRight w:val="0"/>
                      <w:marTop w:val="0"/>
                      <w:marBottom w:val="0"/>
                      <w:divBdr>
                        <w:top w:val="none" w:sz="0" w:space="0" w:color="auto"/>
                        <w:left w:val="none" w:sz="0" w:space="0" w:color="auto"/>
                        <w:bottom w:val="none" w:sz="0" w:space="0" w:color="auto"/>
                        <w:right w:val="none" w:sz="0" w:space="0" w:color="auto"/>
                      </w:divBdr>
                    </w:div>
                  </w:divsChild>
                </w:div>
                <w:div w:id="927351162">
                  <w:marLeft w:val="0"/>
                  <w:marRight w:val="0"/>
                  <w:marTop w:val="0"/>
                  <w:marBottom w:val="0"/>
                  <w:divBdr>
                    <w:top w:val="none" w:sz="0" w:space="0" w:color="auto"/>
                    <w:left w:val="none" w:sz="0" w:space="0" w:color="auto"/>
                    <w:bottom w:val="none" w:sz="0" w:space="0" w:color="auto"/>
                    <w:right w:val="none" w:sz="0" w:space="0" w:color="auto"/>
                  </w:divBdr>
                  <w:divsChild>
                    <w:div w:id="57946941">
                      <w:marLeft w:val="0"/>
                      <w:marRight w:val="0"/>
                      <w:marTop w:val="0"/>
                      <w:marBottom w:val="0"/>
                      <w:divBdr>
                        <w:top w:val="none" w:sz="0" w:space="0" w:color="auto"/>
                        <w:left w:val="none" w:sz="0" w:space="0" w:color="auto"/>
                        <w:bottom w:val="none" w:sz="0" w:space="0" w:color="auto"/>
                        <w:right w:val="none" w:sz="0" w:space="0" w:color="auto"/>
                      </w:divBdr>
                    </w:div>
                  </w:divsChild>
                </w:div>
                <w:div w:id="1204094486">
                  <w:marLeft w:val="0"/>
                  <w:marRight w:val="0"/>
                  <w:marTop w:val="0"/>
                  <w:marBottom w:val="0"/>
                  <w:divBdr>
                    <w:top w:val="none" w:sz="0" w:space="0" w:color="auto"/>
                    <w:left w:val="none" w:sz="0" w:space="0" w:color="auto"/>
                    <w:bottom w:val="none" w:sz="0" w:space="0" w:color="auto"/>
                    <w:right w:val="none" w:sz="0" w:space="0" w:color="auto"/>
                  </w:divBdr>
                  <w:divsChild>
                    <w:div w:id="1282420130">
                      <w:marLeft w:val="0"/>
                      <w:marRight w:val="0"/>
                      <w:marTop w:val="0"/>
                      <w:marBottom w:val="0"/>
                      <w:divBdr>
                        <w:top w:val="none" w:sz="0" w:space="0" w:color="auto"/>
                        <w:left w:val="none" w:sz="0" w:space="0" w:color="auto"/>
                        <w:bottom w:val="none" w:sz="0" w:space="0" w:color="auto"/>
                        <w:right w:val="none" w:sz="0" w:space="0" w:color="auto"/>
                      </w:divBdr>
                    </w:div>
                  </w:divsChild>
                </w:div>
                <w:div w:id="1467091032">
                  <w:marLeft w:val="0"/>
                  <w:marRight w:val="0"/>
                  <w:marTop w:val="0"/>
                  <w:marBottom w:val="0"/>
                  <w:divBdr>
                    <w:top w:val="none" w:sz="0" w:space="0" w:color="auto"/>
                    <w:left w:val="none" w:sz="0" w:space="0" w:color="auto"/>
                    <w:bottom w:val="none" w:sz="0" w:space="0" w:color="auto"/>
                    <w:right w:val="none" w:sz="0" w:space="0" w:color="auto"/>
                  </w:divBdr>
                  <w:divsChild>
                    <w:div w:id="170877624">
                      <w:marLeft w:val="0"/>
                      <w:marRight w:val="0"/>
                      <w:marTop w:val="0"/>
                      <w:marBottom w:val="0"/>
                      <w:divBdr>
                        <w:top w:val="none" w:sz="0" w:space="0" w:color="auto"/>
                        <w:left w:val="none" w:sz="0" w:space="0" w:color="auto"/>
                        <w:bottom w:val="none" w:sz="0" w:space="0" w:color="auto"/>
                        <w:right w:val="none" w:sz="0" w:space="0" w:color="auto"/>
                      </w:divBdr>
                    </w:div>
                  </w:divsChild>
                </w:div>
                <w:div w:id="1532917700">
                  <w:marLeft w:val="0"/>
                  <w:marRight w:val="0"/>
                  <w:marTop w:val="0"/>
                  <w:marBottom w:val="0"/>
                  <w:divBdr>
                    <w:top w:val="none" w:sz="0" w:space="0" w:color="auto"/>
                    <w:left w:val="none" w:sz="0" w:space="0" w:color="auto"/>
                    <w:bottom w:val="none" w:sz="0" w:space="0" w:color="auto"/>
                    <w:right w:val="none" w:sz="0" w:space="0" w:color="auto"/>
                  </w:divBdr>
                  <w:divsChild>
                    <w:div w:id="2097902913">
                      <w:marLeft w:val="0"/>
                      <w:marRight w:val="0"/>
                      <w:marTop w:val="0"/>
                      <w:marBottom w:val="0"/>
                      <w:divBdr>
                        <w:top w:val="none" w:sz="0" w:space="0" w:color="auto"/>
                        <w:left w:val="none" w:sz="0" w:space="0" w:color="auto"/>
                        <w:bottom w:val="none" w:sz="0" w:space="0" w:color="auto"/>
                        <w:right w:val="none" w:sz="0" w:space="0" w:color="auto"/>
                      </w:divBdr>
                    </w:div>
                  </w:divsChild>
                </w:div>
                <w:div w:id="1590962960">
                  <w:marLeft w:val="0"/>
                  <w:marRight w:val="0"/>
                  <w:marTop w:val="0"/>
                  <w:marBottom w:val="0"/>
                  <w:divBdr>
                    <w:top w:val="none" w:sz="0" w:space="0" w:color="auto"/>
                    <w:left w:val="none" w:sz="0" w:space="0" w:color="auto"/>
                    <w:bottom w:val="none" w:sz="0" w:space="0" w:color="auto"/>
                    <w:right w:val="none" w:sz="0" w:space="0" w:color="auto"/>
                  </w:divBdr>
                  <w:divsChild>
                    <w:div w:id="1188981383">
                      <w:marLeft w:val="0"/>
                      <w:marRight w:val="0"/>
                      <w:marTop w:val="0"/>
                      <w:marBottom w:val="0"/>
                      <w:divBdr>
                        <w:top w:val="none" w:sz="0" w:space="0" w:color="auto"/>
                        <w:left w:val="none" w:sz="0" w:space="0" w:color="auto"/>
                        <w:bottom w:val="none" w:sz="0" w:space="0" w:color="auto"/>
                        <w:right w:val="none" w:sz="0" w:space="0" w:color="auto"/>
                      </w:divBdr>
                    </w:div>
                  </w:divsChild>
                </w:div>
                <w:div w:id="1622493047">
                  <w:marLeft w:val="0"/>
                  <w:marRight w:val="0"/>
                  <w:marTop w:val="0"/>
                  <w:marBottom w:val="0"/>
                  <w:divBdr>
                    <w:top w:val="none" w:sz="0" w:space="0" w:color="auto"/>
                    <w:left w:val="none" w:sz="0" w:space="0" w:color="auto"/>
                    <w:bottom w:val="none" w:sz="0" w:space="0" w:color="auto"/>
                    <w:right w:val="none" w:sz="0" w:space="0" w:color="auto"/>
                  </w:divBdr>
                  <w:divsChild>
                    <w:div w:id="274561682">
                      <w:marLeft w:val="0"/>
                      <w:marRight w:val="0"/>
                      <w:marTop w:val="0"/>
                      <w:marBottom w:val="0"/>
                      <w:divBdr>
                        <w:top w:val="none" w:sz="0" w:space="0" w:color="auto"/>
                        <w:left w:val="none" w:sz="0" w:space="0" w:color="auto"/>
                        <w:bottom w:val="none" w:sz="0" w:space="0" w:color="auto"/>
                        <w:right w:val="none" w:sz="0" w:space="0" w:color="auto"/>
                      </w:divBdr>
                    </w:div>
                  </w:divsChild>
                </w:div>
                <w:div w:id="1649242727">
                  <w:marLeft w:val="0"/>
                  <w:marRight w:val="0"/>
                  <w:marTop w:val="0"/>
                  <w:marBottom w:val="0"/>
                  <w:divBdr>
                    <w:top w:val="none" w:sz="0" w:space="0" w:color="auto"/>
                    <w:left w:val="none" w:sz="0" w:space="0" w:color="auto"/>
                    <w:bottom w:val="none" w:sz="0" w:space="0" w:color="auto"/>
                    <w:right w:val="none" w:sz="0" w:space="0" w:color="auto"/>
                  </w:divBdr>
                  <w:divsChild>
                    <w:div w:id="521358494">
                      <w:marLeft w:val="0"/>
                      <w:marRight w:val="0"/>
                      <w:marTop w:val="0"/>
                      <w:marBottom w:val="0"/>
                      <w:divBdr>
                        <w:top w:val="none" w:sz="0" w:space="0" w:color="auto"/>
                        <w:left w:val="none" w:sz="0" w:space="0" w:color="auto"/>
                        <w:bottom w:val="none" w:sz="0" w:space="0" w:color="auto"/>
                        <w:right w:val="none" w:sz="0" w:space="0" w:color="auto"/>
                      </w:divBdr>
                    </w:div>
                  </w:divsChild>
                </w:div>
                <w:div w:id="1937012866">
                  <w:marLeft w:val="0"/>
                  <w:marRight w:val="0"/>
                  <w:marTop w:val="0"/>
                  <w:marBottom w:val="0"/>
                  <w:divBdr>
                    <w:top w:val="none" w:sz="0" w:space="0" w:color="auto"/>
                    <w:left w:val="none" w:sz="0" w:space="0" w:color="auto"/>
                    <w:bottom w:val="none" w:sz="0" w:space="0" w:color="auto"/>
                    <w:right w:val="none" w:sz="0" w:space="0" w:color="auto"/>
                  </w:divBdr>
                  <w:divsChild>
                    <w:div w:id="573781422">
                      <w:marLeft w:val="0"/>
                      <w:marRight w:val="0"/>
                      <w:marTop w:val="0"/>
                      <w:marBottom w:val="0"/>
                      <w:divBdr>
                        <w:top w:val="none" w:sz="0" w:space="0" w:color="auto"/>
                        <w:left w:val="none" w:sz="0" w:space="0" w:color="auto"/>
                        <w:bottom w:val="none" w:sz="0" w:space="0" w:color="auto"/>
                        <w:right w:val="none" w:sz="0" w:space="0" w:color="auto"/>
                      </w:divBdr>
                    </w:div>
                  </w:divsChild>
                </w:div>
                <w:div w:id="2052344894">
                  <w:marLeft w:val="0"/>
                  <w:marRight w:val="0"/>
                  <w:marTop w:val="0"/>
                  <w:marBottom w:val="0"/>
                  <w:divBdr>
                    <w:top w:val="none" w:sz="0" w:space="0" w:color="auto"/>
                    <w:left w:val="none" w:sz="0" w:space="0" w:color="auto"/>
                    <w:bottom w:val="none" w:sz="0" w:space="0" w:color="auto"/>
                    <w:right w:val="none" w:sz="0" w:space="0" w:color="auto"/>
                  </w:divBdr>
                  <w:divsChild>
                    <w:div w:id="1899634997">
                      <w:marLeft w:val="0"/>
                      <w:marRight w:val="0"/>
                      <w:marTop w:val="0"/>
                      <w:marBottom w:val="0"/>
                      <w:divBdr>
                        <w:top w:val="none" w:sz="0" w:space="0" w:color="auto"/>
                        <w:left w:val="none" w:sz="0" w:space="0" w:color="auto"/>
                        <w:bottom w:val="none" w:sz="0" w:space="0" w:color="auto"/>
                        <w:right w:val="none" w:sz="0" w:space="0" w:color="auto"/>
                      </w:divBdr>
                    </w:div>
                  </w:divsChild>
                </w:div>
                <w:div w:id="2055962524">
                  <w:marLeft w:val="0"/>
                  <w:marRight w:val="0"/>
                  <w:marTop w:val="0"/>
                  <w:marBottom w:val="0"/>
                  <w:divBdr>
                    <w:top w:val="none" w:sz="0" w:space="0" w:color="auto"/>
                    <w:left w:val="none" w:sz="0" w:space="0" w:color="auto"/>
                    <w:bottom w:val="none" w:sz="0" w:space="0" w:color="auto"/>
                    <w:right w:val="none" w:sz="0" w:space="0" w:color="auto"/>
                  </w:divBdr>
                  <w:divsChild>
                    <w:div w:id="185413428">
                      <w:marLeft w:val="0"/>
                      <w:marRight w:val="0"/>
                      <w:marTop w:val="0"/>
                      <w:marBottom w:val="0"/>
                      <w:divBdr>
                        <w:top w:val="none" w:sz="0" w:space="0" w:color="auto"/>
                        <w:left w:val="none" w:sz="0" w:space="0" w:color="auto"/>
                        <w:bottom w:val="none" w:sz="0" w:space="0" w:color="auto"/>
                        <w:right w:val="none" w:sz="0" w:space="0" w:color="auto"/>
                      </w:divBdr>
                    </w:div>
                  </w:divsChild>
                </w:div>
                <w:div w:id="2059357269">
                  <w:marLeft w:val="0"/>
                  <w:marRight w:val="0"/>
                  <w:marTop w:val="0"/>
                  <w:marBottom w:val="0"/>
                  <w:divBdr>
                    <w:top w:val="none" w:sz="0" w:space="0" w:color="auto"/>
                    <w:left w:val="none" w:sz="0" w:space="0" w:color="auto"/>
                    <w:bottom w:val="none" w:sz="0" w:space="0" w:color="auto"/>
                    <w:right w:val="none" w:sz="0" w:space="0" w:color="auto"/>
                  </w:divBdr>
                  <w:divsChild>
                    <w:div w:id="1115638719">
                      <w:marLeft w:val="0"/>
                      <w:marRight w:val="0"/>
                      <w:marTop w:val="0"/>
                      <w:marBottom w:val="0"/>
                      <w:divBdr>
                        <w:top w:val="none" w:sz="0" w:space="0" w:color="auto"/>
                        <w:left w:val="none" w:sz="0" w:space="0" w:color="auto"/>
                        <w:bottom w:val="none" w:sz="0" w:space="0" w:color="auto"/>
                        <w:right w:val="none" w:sz="0" w:space="0" w:color="auto"/>
                      </w:divBdr>
                    </w:div>
                  </w:divsChild>
                </w:div>
                <w:div w:id="2060543009">
                  <w:marLeft w:val="0"/>
                  <w:marRight w:val="0"/>
                  <w:marTop w:val="0"/>
                  <w:marBottom w:val="0"/>
                  <w:divBdr>
                    <w:top w:val="none" w:sz="0" w:space="0" w:color="auto"/>
                    <w:left w:val="none" w:sz="0" w:space="0" w:color="auto"/>
                    <w:bottom w:val="none" w:sz="0" w:space="0" w:color="auto"/>
                    <w:right w:val="none" w:sz="0" w:space="0" w:color="auto"/>
                  </w:divBdr>
                  <w:divsChild>
                    <w:div w:id="59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2529">
          <w:marLeft w:val="0"/>
          <w:marRight w:val="0"/>
          <w:marTop w:val="0"/>
          <w:marBottom w:val="0"/>
          <w:divBdr>
            <w:top w:val="none" w:sz="0" w:space="0" w:color="auto"/>
            <w:left w:val="none" w:sz="0" w:space="0" w:color="auto"/>
            <w:bottom w:val="none" w:sz="0" w:space="0" w:color="auto"/>
            <w:right w:val="none" w:sz="0" w:space="0" w:color="auto"/>
          </w:divBdr>
        </w:div>
      </w:divsChild>
    </w:div>
    <w:div w:id="971985193">
      <w:bodyDiv w:val="1"/>
      <w:marLeft w:val="0"/>
      <w:marRight w:val="0"/>
      <w:marTop w:val="0"/>
      <w:marBottom w:val="0"/>
      <w:divBdr>
        <w:top w:val="none" w:sz="0" w:space="0" w:color="auto"/>
        <w:left w:val="none" w:sz="0" w:space="0" w:color="auto"/>
        <w:bottom w:val="none" w:sz="0" w:space="0" w:color="auto"/>
        <w:right w:val="none" w:sz="0" w:space="0" w:color="auto"/>
      </w:divBdr>
    </w:div>
    <w:div w:id="985278186">
      <w:bodyDiv w:val="1"/>
      <w:marLeft w:val="0"/>
      <w:marRight w:val="0"/>
      <w:marTop w:val="0"/>
      <w:marBottom w:val="0"/>
      <w:divBdr>
        <w:top w:val="none" w:sz="0" w:space="0" w:color="auto"/>
        <w:left w:val="none" w:sz="0" w:space="0" w:color="auto"/>
        <w:bottom w:val="none" w:sz="0" w:space="0" w:color="auto"/>
        <w:right w:val="none" w:sz="0" w:space="0" w:color="auto"/>
      </w:divBdr>
    </w:div>
    <w:div w:id="988561651">
      <w:bodyDiv w:val="1"/>
      <w:marLeft w:val="0"/>
      <w:marRight w:val="0"/>
      <w:marTop w:val="0"/>
      <w:marBottom w:val="0"/>
      <w:divBdr>
        <w:top w:val="none" w:sz="0" w:space="0" w:color="auto"/>
        <w:left w:val="none" w:sz="0" w:space="0" w:color="auto"/>
        <w:bottom w:val="none" w:sz="0" w:space="0" w:color="auto"/>
        <w:right w:val="none" w:sz="0" w:space="0" w:color="auto"/>
      </w:divBdr>
    </w:div>
    <w:div w:id="1037848964">
      <w:bodyDiv w:val="1"/>
      <w:marLeft w:val="0"/>
      <w:marRight w:val="0"/>
      <w:marTop w:val="0"/>
      <w:marBottom w:val="0"/>
      <w:divBdr>
        <w:top w:val="none" w:sz="0" w:space="0" w:color="auto"/>
        <w:left w:val="none" w:sz="0" w:space="0" w:color="auto"/>
        <w:bottom w:val="none" w:sz="0" w:space="0" w:color="auto"/>
        <w:right w:val="none" w:sz="0" w:space="0" w:color="auto"/>
      </w:divBdr>
    </w:div>
    <w:div w:id="1063865828">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3">
          <w:marLeft w:val="0"/>
          <w:marRight w:val="0"/>
          <w:marTop w:val="0"/>
          <w:marBottom w:val="0"/>
          <w:divBdr>
            <w:top w:val="none" w:sz="0" w:space="0" w:color="auto"/>
            <w:left w:val="none" w:sz="0" w:space="0" w:color="auto"/>
            <w:bottom w:val="none" w:sz="0" w:space="0" w:color="auto"/>
            <w:right w:val="none" w:sz="0" w:space="0" w:color="auto"/>
          </w:divBdr>
          <w:divsChild>
            <w:div w:id="1030763866">
              <w:marLeft w:val="0"/>
              <w:marRight w:val="0"/>
              <w:marTop w:val="0"/>
              <w:marBottom w:val="0"/>
              <w:divBdr>
                <w:top w:val="none" w:sz="0" w:space="0" w:color="auto"/>
                <w:left w:val="none" w:sz="0" w:space="0" w:color="auto"/>
                <w:bottom w:val="none" w:sz="0" w:space="0" w:color="auto"/>
                <w:right w:val="none" w:sz="0" w:space="0" w:color="auto"/>
              </w:divBdr>
              <w:divsChild>
                <w:div w:id="715853940">
                  <w:marLeft w:val="0"/>
                  <w:marRight w:val="0"/>
                  <w:marTop w:val="0"/>
                  <w:marBottom w:val="0"/>
                  <w:divBdr>
                    <w:top w:val="none" w:sz="0" w:space="0" w:color="auto"/>
                    <w:left w:val="none" w:sz="0" w:space="0" w:color="auto"/>
                    <w:bottom w:val="none" w:sz="0" w:space="0" w:color="auto"/>
                    <w:right w:val="none" w:sz="0" w:space="0" w:color="auto"/>
                  </w:divBdr>
                  <w:divsChild>
                    <w:div w:id="6063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6850">
      <w:bodyDiv w:val="1"/>
      <w:marLeft w:val="0"/>
      <w:marRight w:val="0"/>
      <w:marTop w:val="0"/>
      <w:marBottom w:val="0"/>
      <w:divBdr>
        <w:top w:val="none" w:sz="0" w:space="0" w:color="auto"/>
        <w:left w:val="none" w:sz="0" w:space="0" w:color="auto"/>
        <w:bottom w:val="none" w:sz="0" w:space="0" w:color="auto"/>
        <w:right w:val="none" w:sz="0" w:space="0" w:color="auto"/>
      </w:divBdr>
      <w:divsChild>
        <w:div w:id="2023433160">
          <w:marLeft w:val="0"/>
          <w:marRight w:val="0"/>
          <w:marTop w:val="0"/>
          <w:marBottom w:val="0"/>
          <w:divBdr>
            <w:top w:val="single" w:sz="2" w:space="0" w:color="auto"/>
            <w:left w:val="single" w:sz="2" w:space="0" w:color="auto"/>
            <w:bottom w:val="single" w:sz="6" w:space="0" w:color="auto"/>
            <w:right w:val="single" w:sz="2" w:space="0" w:color="auto"/>
          </w:divBdr>
          <w:divsChild>
            <w:div w:id="529876143">
              <w:marLeft w:val="0"/>
              <w:marRight w:val="0"/>
              <w:marTop w:val="100"/>
              <w:marBottom w:val="100"/>
              <w:divBdr>
                <w:top w:val="single" w:sz="2" w:space="0" w:color="D9D9E3"/>
                <w:left w:val="single" w:sz="2" w:space="0" w:color="D9D9E3"/>
                <w:bottom w:val="single" w:sz="2" w:space="0" w:color="D9D9E3"/>
                <w:right w:val="single" w:sz="2" w:space="0" w:color="D9D9E3"/>
              </w:divBdr>
              <w:divsChild>
                <w:div w:id="512960048">
                  <w:marLeft w:val="0"/>
                  <w:marRight w:val="0"/>
                  <w:marTop w:val="0"/>
                  <w:marBottom w:val="0"/>
                  <w:divBdr>
                    <w:top w:val="single" w:sz="2" w:space="0" w:color="D9D9E3"/>
                    <w:left w:val="single" w:sz="2" w:space="0" w:color="D9D9E3"/>
                    <w:bottom w:val="single" w:sz="2" w:space="0" w:color="D9D9E3"/>
                    <w:right w:val="single" w:sz="2" w:space="0" w:color="D9D9E3"/>
                  </w:divBdr>
                  <w:divsChild>
                    <w:div w:id="851527182">
                      <w:marLeft w:val="0"/>
                      <w:marRight w:val="0"/>
                      <w:marTop w:val="0"/>
                      <w:marBottom w:val="0"/>
                      <w:divBdr>
                        <w:top w:val="single" w:sz="2" w:space="0" w:color="D9D9E3"/>
                        <w:left w:val="single" w:sz="2" w:space="0" w:color="D9D9E3"/>
                        <w:bottom w:val="single" w:sz="2" w:space="0" w:color="D9D9E3"/>
                        <w:right w:val="single" w:sz="2" w:space="0" w:color="D9D9E3"/>
                      </w:divBdr>
                      <w:divsChild>
                        <w:div w:id="598871192">
                          <w:marLeft w:val="0"/>
                          <w:marRight w:val="0"/>
                          <w:marTop w:val="0"/>
                          <w:marBottom w:val="0"/>
                          <w:divBdr>
                            <w:top w:val="single" w:sz="2" w:space="0" w:color="D9D9E3"/>
                            <w:left w:val="single" w:sz="2" w:space="0" w:color="D9D9E3"/>
                            <w:bottom w:val="single" w:sz="2" w:space="0" w:color="D9D9E3"/>
                            <w:right w:val="single" w:sz="2" w:space="0" w:color="D9D9E3"/>
                          </w:divBdr>
                          <w:divsChild>
                            <w:div w:id="1684940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88312182">
      <w:bodyDiv w:val="1"/>
      <w:marLeft w:val="0"/>
      <w:marRight w:val="0"/>
      <w:marTop w:val="0"/>
      <w:marBottom w:val="0"/>
      <w:divBdr>
        <w:top w:val="none" w:sz="0" w:space="0" w:color="auto"/>
        <w:left w:val="none" w:sz="0" w:space="0" w:color="auto"/>
        <w:bottom w:val="none" w:sz="0" w:space="0" w:color="auto"/>
        <w:right w:val="none" w:sz="0" w:space="0" w:color="auto"/>
      </w:divBdr>
    </w:div>
    <w:div w:id="1089080931">
      <w:bodyDiv w:val="1"/>
      <w:marLeft w:val="0"/>
      <w:marRight w:val="0"/>
      <w:marTop w:val="0"/>
      <w:marBottom w:val="0"/>
      <w:divBdr>
        <w:top w:val="none" w:sz="0" w:space="0" w:color="auto"/>
        <w:left w:val="none" w:sz="0" w:space="0" w:color="auto"/>
        <w:bottom w:val="none" w:sz="0" w:space="0" w:color="auto"/>
        <w:right w:val="none" w:sz="0" w:space="0" w:color="auto"/>
      </w:divBdr>
      <w:divsChild>
        <w:div w:id="644703070">
          <w:marLeft w:val="0"/>
          <w:marRight w:val="0"/>
          <w:marTop w:val="0"/>
          <w:marBottom w:val="0"/>
          <w:divBdr>
            <w:top w:val="none" w:sz="0" w:space="0" w:color="auto"/>
            <w:left w:val="none" w:sz="0" w:space="0" w:color="auto"/>
            <w:bottom w:val="none" w:sz="0" w:space="0" w:color="auto"/>
            <w:right w:val="none" w:sz="0" w:space="0" w:color="auto"/>
          </w:divBdr>
          <w:divsChild>
            <w:div w:id="899558130">
              <w:marLeft w:val="0"/>
              <w:marRight w:val="0"/>
              <w:marTop w:val="30"/>
              <w:marBottom w:val="30"/>
              <w:divBdr>
                <w:top w:val="none" w:sz="0" w:space="0" w:color="auto"/>
                <w:left w:val="none" w:sz="0" w:space="0" w:color="auto"/>
                <w:bottom w:val="none" w:sz="0" w:space="0" w:color="auto"/>
                <w:right w:val="none" w:sz="0" w:space="0" w:color="auto"/>
              </w:divBdr>
              <w:divsChild>
                <w:div w:id="32585896">
                  <w:marLeft w:val="0"/>
                  <w:marRight w:val="0"/>
                  <w:marTop w:val="0"/>
                  <w:marBottom w:val="0"/>
                  <w:divBdr>
                    <w:top w:val="none" w:sz="0" w:space="0" w:color="auto"/>
                    <w:left w:val="none" w:sz="0" w:space="0" w:color="auto"/>
                    <w:bottom w:val="none" w:sz="0" w:space="0" w:color="auto"/>
                    <w:right w:val="none" w:sz="0" w:space="0" w:color="auto"/>
                  </w:divBdr>
                  <w:divsChild>
                    <w:div w:id="1310750328">
                      <w:marLeft w:val="0"/>
                      <w:marRight w:val="0"/>
                      <w:marTop w:val="0"/>
                      <w:marBottom w:val="0"/>
                      <w:divBdr>
                        <w:top w:val="none" w:sz="0" w:space="0" w:color="auto"/>
                        <w:left w:val="none" w:sz="0" w:space="0" w:color="auto"/>
                        <w:bottom w:val="none" w:sz="0" w:space="0" w:color="auto"/>
                        <w:right w:val="none" w:sz="0" w:space="0" w:color="auto"/>
                      </w:divBdr>
                    </w:div>
                  </w:divsChild>
                </w:div>
                <w:div w:id="88357317">
                  <w:marLeft w:val="0"/>
                  <w:marRight w:val="0"/>
                  <w:marTop w:val="0"/>
                  <w:marBottom w:val="0"/>
                  <w:divBdr>
                    <w:top w:val="none" w:sz="0" w:space="0" w:color="auto"/>
                    <w:left w:val="none" w:sz="0" w:space="0" w:color="auto"/>
                    <w:bottom w:val="none" w:sz="0" w:space="0" w:color="auto"/>
                    <w:right w:val="none" w:sz="0" w:space="0" w:color="auto"/>
                  </w:divBdr>
                  <w:divsChild>
                    <w:div w:id="1463305157">
                      <w:marLeft w:val="0"/>
                      <w:marRight w:val="0"/>
                      <w:marTop w:val="0"/>
                      <w:marBottom w:val="0"/>
                      <w:divBdr>
                        <w:top w:val="none" w:sz="0" w:space="0" w:color="auto"/>
                        <w:left w:val="none" w:sz="0" w:space="0" w:color="auto"/>
                        <w:bottom w:val="none" w:sz="0" w:space="0" w:color="auto"/>
                        <w:right w:val="none" w:sz="0" w:space="0" w:color="auto"/>
                      </w:divBdr>
                    </w:div>
                  </w:divsChild>
                </w:div>
                <w:div w:id="223443933">
                  <w:marLeft w:val="0"/>
                  <w:marRight w:val="0"/>
                  <w:marTop w:val="0"/>
                  <w:marBottom w:val="0"/>
                  <w:divBdr>
                    <w:top w:val="none" w:sz="0" w:space="0" w:color="auto"/>
                    <w:left w:val="none" w:sz="0" w:space="0" w:color="auto"/>
                    <w:bottom w:val="none" w:sz="0" w:space="0" w:color="auto"/>
                    <w:right w:val="none" w:sz="0" w:space="0" w:color="auto"/>
                  </w:divBdr>
                  <w:divsChild>
                    <w:div w:id="582253747">
                      <w:marLeft w:val="0"/>
                      <w:marRight w:val="0"/>
                      <w:marTop w:val="0"/>
                      <w:marBottom w:val="0"/>
                      <w:divBdr>
                        <w:top w:val="none" w:sz="0" w:space="0" w:color="auto"/>
                        <w:left w:val="none" w:sz="0" w:space="0" w:color="auto"/>
                        <w:bottom w:val="none" w:sz="0" w:space="0" w:color="auto"/>
                        <w:right w:val="none" w:sz="0" w:space="0" w:color="auto"/>
                      </w:divBdr>
                    </w:div>
                  </w:divsChild>
                </w:div>
                <w:div w:id="227541920">
                  <w:marLeft w:val="0"/>
                  <w:marRight w:val="0"/>
                  <w:marTop w:val="0"/>
                  <w:marBottom w:val="0"/>
                  <w:divBdr>
                    <w:top w:val="none" w:sz="0" w:space="0" w:color="auto"/>
                    <w:left w:val="none" w:sz="0" w:space="0" w:color="auto"/>
                    <w:bottom w:val="none" w:sz="0" w:space="0" w:color="auto"/>
                    <w:right w:val="none" w:sz="0" w:space="0" w:color="auto"/>
                  </w:divBdr>
                  <w:divsChild>
                    <w:div w:id="54091309">
                      <w:marLeft w:val="0"/>
                      <w:marRight w:val="0"/>
                      <w:marTop w:val="0"/>
                      <w:marBottom w:val="0"/>
                      <w:divBdr>
                        <w:top w:val="none" w:sz="0" w:space="0" w:color="auto"/>
                        <w:left w:val="none" w:sz="0" w:space="0" w:color="auto"/>
                        <w:bottom w:val="none" w:sz="0" w:space="0" w:color="auto"/>
                        <w:right w:val="none" w:sz="0" w:space="0" w:color="auto"/>
                      </w:divBdr>
                    </w:div>
                  </w:divsChild>
                </w:div>
                <w:div w:id="234823111">
                  <w:marLeft w:val="0"/>
                  <w:marRight w:val="0"/>
                  <w:marTop w:val="0"/>
                  <w:marBottom w:val="0"/>
                  <w:divBdr>
                    <w:top w:val="none" w:sz="0" w:space="0" w:color="auto"/>
                    <w:left w:val="none" w:sz="0" w:space="0" w:color="auto"/>
                    <w:bottom w:val="none" w:sz="0" w:space="0" w:color="auto"/>
                    <w:right w:val="none" w:sz="0" w:space="0" w:color="auto"/>
                  </w:divBdr>
                  <w:divsChild>
                    <w:div w:id="1372917851">
                      <w:marLeft w:val="0"/>
                      <w:marRight w:val="0"/>
                      <w:marTop w:val="0"/>
                      <w:marBottom w:val="0"/>
                      <w:divBdr>
                        <w:top w:val="none" w:sz="0" w:space="0" w:color="auto"/>
                        <w:left w:val="none" w:sz="0" w:space="0" w:color="auto"/>
                        <w:bottom w:val="none" w:sz="0" w:space="0" w:color="auto"/>
                        <w:right w:val="none" w:sz="0" w:space="0" w:color="auto"/>
                      </w:divBdr>
                    </w:div>
                  </w:divsChild>
                </w:div>
                <w:div w:id="320546657">
                  <w:marLeft w:val="0"/>
                  <w:marRight w:val="0"/>
                  <w:marTop w:val="0"/>
                  <w:marBottom w:val="0"/>
                  <w:divBdr>
                    <w:top w:val="none" w:sz="0" w:space="0" w:color="auto"/>
                    <w:left w:val="none" w:sz="0" w:space="0" w:color="auto"/>
                    <w:bottom w:val="none" w:sz="0" w:space="0" w:color="auto"/>
                    <w:right w:val="none" w:sz="0" w:space="0" w:color="auto"/>
                  </w:divBdr>
                  <w:divsChild>
                    <w:div w:id="1084449229">
                      <w:marLeft w:val="0"/>
                      <w:marRight w:val="0"/>
                      <w:marTop w:val="0"/>
                      <w:marBottom w:val="0"/>
                      <w:divBdr>
                        <w:top w:val="none" w:sz="0" w:space="0" w:color="auto"/>
                        <w:left w:val="none" w:sz="0" w:space="0" w:color="auto"/>
                        <w:bottom w:val="none" w:sz="0" w:space="0" w:color="auto"/>
                        <w:right w:val="none" w:sz="0" w:space="0" w:color="auto"/>
                      </w:divBdr>
                    </w:div>
                  </w:divsChild>
                </w:div>
                <w:div w:id="586426258">
                  <w:marLeft w:val="0"/>
                  <w:marRight w:val="0"/>
                  <w:marTop w:val="0"/>
                  <w:marBottom w:val="0"/>
                  <w:divBdr>
                    <w:top w:val="none" w:sz="0" w:space="0" w:color="auto"/>
                    <w:left w:val="none" w:sz="0" w:space="0" w:color="auto"/>
                    <w:bottom w:val="none" w:sz="0" w:space="0" w:color="auto"/>
                    <w:right w:val="none" w:sz="0" w:space="0" w:color="auto"/>
                  </w:divBdr>
                  <w:divsChild>
                    <w:div w:id="133960279">
                      <w:marLeft w:val="0"/>
                      <w:marRight w:val="0"/>
                      <w:marTop w:val="0"/>
                      <w:marBottom w:val="0"/>
                      <w:divBdr>
                        <w:top w:val="none" w:sz="0" w:space="0" w:color="auto"/>
                        <w:left w:val="none" w:sz="0" w:space="0" w:color="auto"/>
                        <w:bottom w:val="none" w:sz="0" w:space="0" w:color="auto"/>
                        <w:right w:val="none" w:sz="0" w:space="0" w:color="auto"/>
                      </w:divBdr>
                    </w:div>
                  </w:divsChild>
                </w:div>
                <w:div w:id="739056159">
                  <w:marLeft w:val="0"/>
                  <w:marRight w:val="0"/>
                  <w:marTop w:val="0"/>
                  <w:marBottom w:val="0"/>
                  <w:divBdr>
                    <w:top w:val="none" w:sz="0" w:space="0" w:color="auto"/>
                    <w:left w:val="none" w:sz="0" w:space="0" w:color="auto"/>
                    <w:bottom w:val="none" w:sz="0" w:space="0" w:color="auto"/>
                    <w:right w:val="none" w:sz="0" w:space="0" w:color="auto"/>
                  </w:divBdr>
                  <w:divsChild>
                    <w:div w:id="602227641">
                      <w:marLeft w:val="0"/>
                      <w:marRight w:val="0"/>
                      <w:marTop w:val="0"/>
                      <w:marBottom w:val="0"/>
                      <w:divBdr>
                        <w:top w:val="none" w:sz="0" w:space="0" w:color="auto"/>
                        <w:left w:val="none" w:sz="0" w:space="0" w:color="auto"/>
                        <w:bottom w:val="none" w:sz="0" w:space="0" w:color="auto"/>
                        <w:right w:val="none" w:sz="0" w:space="0" w:color="auto"/>
                      </w:divBdr>
                    </w:div>
                  </w:divsChild>
                </w:div>
                <w:div w:id="808325512">
                  <w:marLeft w:val="0"/>
                  <w:marRight w:val="0"/>
                  <w:marTop w:val="0"/>
                  <w:marBottom w:val="0"/>
                  <w:divBdr>
                    <w:top w:val="none" w:sz="0" w:space="0" w:color="auto"/>
                    <w:left w:val="none" w:sz="0" w:space="0" w:color="auto"/>
                    <w:bottom w:val="none" w:sz="0" w:space="0" w:color="auto"/>
                    <w:right w:val="none" w:sz="0" w:space="0" w:color="auto"/>
                  </w:divBdr>
                  <w:divsChild>
                    <w:div w:id="591351344">
                      <w:marLeft w:val="0"/>
                      <w:marRight w:val="0"/>
                      <w:marTop w:val="0"/>
                      <w:marBottom w:val="0"/>
                      <w:divBdr>
                        <w:top w:val="none" w:sz="0" w:space="0" w:color="auto"/>
                        <w:left w:val="none" w:sz="0" w:space="0" w:color="auto"/>
                        <w:bottom w:val="none" w:sz="0" w:space="0" w:color="auto"/>
                        <w:right w:val="none" w:sz="0" w:space="0" w:color="auto"/>
                      </w:divBdr>
                    </w:div>
                  </w:divsChild>
                </w:div>
                <w:div w:id="843208294">
                  <w:marLeft w:val="0"/>
                  <w:marRight w:val="0"/>
                  <w:marTop w:val="0"/>
                  <w:marBottom w:val="0"/>
                  <w:divBdr>
                    <w:top w:val="none" w:sz="0" w:space="0" w:color="auto"/>
                    <w:left w:val="none" w:sz="0" w:space="0" w:color="auto"/>
                    <w:bottom w:val="none" w:sz="0" w:space="0" w:color="auto"/>
                    <w:right w:val="none" w:sz="0" w:space="0" w:color="auto"/>
                  </w:divBdr>
                  <w:divsChild>
                    <w:div w:id="1286501515">
                      <w:marLeft w:val="0"/>
                      <w:marRight w:val="0"/>
                      <w:marTop w:val="0"/>
                      <w:marBottom w:val="0"/>
                      <w:divBdr>
                        <w:top w:val="none" w:sz="0" w:space="0" w:color="auto"/>
                        <w:left w:val="none" w:sz="0" w:space="0" w:color="auto"/>
                        <w:bottom w:val="none" w:sz="0" w:space="0" w:color="auto"/>
                        <w:right w:val="none" w:sz="0" w:space="0" w:color="auto"/>
                      </w:divBdr>
                    </w:div>
                  </w:divsChild>
                </w:div>
                <w:div w:id="1060446185">
                  <w:marLeft w:val="0"/>
                  <w:marRight w:val="0"/>
                  <w:marTop w:val="0"/>
                  <w:marBottom w:val="0"/>
                  <w:divBdr>
                    <w:top w:val="none" w:sz="0" w:space="0" w:color="auto"/>
                    <w:left w:val="none" w:sz="0" w:space="0" w:color="auto"/>
                    <w:bottom w:val="none" w:sz="0" w:space="0" w:color="auto"/>
                    <w:right w:val="none" w:sz="0" w:space="0" w:color="auto"/>
                  </w:divBdr>
                  <w:divsChild>
                    <w:div w:id="1257401817">
                      <w:marLeft w:val="0"/>
                      <w:marRight w:val="0"/>
                      <w:marTop w:val="0"/>
                      <w:marBottom w:val="0"/>
                      <w:divBdr>
                        <w:top w:val="none" w:sz="0" w:space="0" w:color="auto"/>
                        <w:left w:val="none" w:sz="0" w:space="0" w:color="auto"/>
                        <w:bottom w:val="none" w:sz="0" w:space="0" w:color="auto"/>
                        <w:right w:val="none" w:sz="0" w:space="0" w:color="auto"/>
                      </w:divBdr>
                    </w:div>
                  </w:divsChild>
                </w:div>
                <w:div w:id="1168517869">
                  <w:marLeft w:val="0"/>
                  <w:marRight w:val="0"/>
                  <w:marTop w:val="0"/>
                  <w:marBottom w:val="0"/>
                  <w:divBdr>
                    <w:top w:val="none" w:sz="0" w:space="0" w:color="auto"/>
                    <w:left w:val="none" w:sz="0" w:space="0" w:color="auto"/>
                    <w:bottom w:val="none" w:sz="0" w:space="0" w:color="auto"/>
                    <w:right w:val="none" w:sz="0" w:space="0" w:color="auto"/>
                  </w:divBdr>
                  <w:divsChild>
                    <w:div w:id="602155103">
                      <w:marLeft w:val="0"/>
                      <w:marRight w:val="0"/>
                      <w:marTop w:val="0"/>
                      <w:marBottom w:val="0"/>
                      <w:divBdr>
                        <w:top w:val="none" w:sz="0" w:space="0" w:color="auto"/>
                        <w:left w:val="none" w:sz="0" w:space="0" w:color="auto"/>
                        <w:bottom w:val="none" w:sz="0" w:space="0" w:color="auto"/>
                        <w:right w:val="none" w:sz="0" w:space="0" w:color="auto"/>
                      </w:divBdr>
                    </w:div>
                  </w:divsChild>
                </w:div>
                <w:div w:id="1333071790">
                  <w:marLeft w:val="0"/>
                  <w:marRight w:val="0"/>
                  <w:marTop w:val="0"/>
                  <w:marBottom w:val="0"/>
                  <w:divBdr>
                    <w:top w:val="none" w:sz="0" w:space="0" w:color="auto"/>
                    <w:left w:val="none" w:sz="0" w:space="0" w:color="auto"/>
                    <w:bottom w:val="none" w:sz="0" w:space="0" w:color="auto"/>
                    <w:right w:val="none" w:sz="0" w:space="0" w:color="auto"/>
                  </w:divBdr>
                  <w:divsChild>
                    <w:div w:id="778447090">
                      <w:marLeft w:val="0"/>
                      <w:marRight w:val="0"/>
                      <w:marTop w:val="0"/>
                      <w:marBottom w:val="0"/>
                      <w:divBdr>
                        <w:top w:val="none" w:sz="0" w:space="0" w:color="auto"/>
                        <w:left w:val="none" w:sz="0" w:space="0" w:color="auto"/>
                        <w:bottom w:val="none" w:sz="0" w:space="0" w:color="auto"/>
                        <w:right w:val="none" w:sz="0" w:space="0" w:color="auto"/>
                      </w:divBdr>
                    </w:div>
                  </w:divsChild>
                </w:div>
                <w:div w:id="1381782651">
                  <w:marLeft w:val="0"/>
                  <w:marRight w:val="0"/>
                  <w:marTop w:val="0"/>
                  <w:marBottom w:val="0"/>
                  <w:divBdr>
                    <w:top w:val="none" w:sz="0" w:space="0" w:color="auto"/>
                    <w:left w:val="none" w:sz="0" w:space="0" w:color="auto"/>
                    <w:bottom w:val="none" w:sz="0" w:space="0" w:color="auto"/>
                    <w:right w:val="none" w:sz="0" w:space="0" w:color="auto"/>
                  </w:divBdr>
                  <w:divsChild>
                    <w:div w:id="1979339227">
                      <w:marLeft w:val="0"/>
                      <w:marRight w:val="0"/>
                      <w:marTop w:val="0"/>
                      <w:marBottom w:val="0"/>
                      <w:divBdr>
                        <w:top w:val="none" w:sz="0" w:space="0" w:color="auto"/>
                        <w:left w:val="none" w:sz="0" w:space="0" w:color="auto"/>
                        <w:bottom w:val="none" w:sz="0" w:space="0" w:color="auto"/>
                        <w:right w:val="none" w:sz="0" w:space="0" w:color="auto"/>
                      </w:divBdr>
                    </w:div>
                  </w:divsChild>
                </w:div>
                <w:div w:id="1398092901">
                  <w:marLeft w:val="0"/>
                  <w:marRight w:val="0"/>
                  <w:marTop w:val="0"/>
                  <w:marBottom w:val="0"/>
                  <w:divBdr>
                    <w:top w:val="none" w:sz="0" w:space="0" w:color="auto"/>
                    <w:left w:val="none" w:sz="0" w:space="0" w:color="auto"/>
                    <w:bottom w:val="none" w:sz="0" w:space="0" w:color="auto"/>
                    <w:right w:val="none" w:sz="0" w:space="0" w:color="auto"/>
                  </w:divBdr>
                  <w:divsChild>
                    <w:div w:id="1221479138">
                      <w:marLeft w:val="0"/>
                      <w:marRight w:val="0"/>
                      <w:marTop w:val="0"/>
                      <w:marBottom w:val="0"/>
                      <w:divBdr>
                        <w:top w:val="none" w:sz="0" w:space="0" w:color="auto"/>
                        <w:left w:val="none" w:sz="0" w:space="0" w:color="auto"/>
                        <w:bottom w:val="none" w:sz="0" w:space="0" w:color="auto"/>
                        <w:right w:val="none" w:sz="0" w:space="0" w:color="auto"/>
                      </w:divBdr>
                    </w:div>
                  </w:divsChild>
                </w:div>
                <w:div w:id="1429231029">
                  <w:marLeft w:val="0"/>
                  <w:marRight w:val="0"/>
                  <w:marTop w:val="0"/>
                  <w:marBottom w:val="0"/>
                  <w:divBdr>
                    <w:top w:val="none" w:sz="0" w:space="0" w:color="auto"/>
                    <w:left w:val="none" w:sz="0" w:space="0" w:color="auto"/>
                    <w:bottom w:val="none" w:sz="0" w:space="0" w:color="auto"/>
                    <w:right w:val="none" w:sz="0" w:space="0" w:color="auto"/>
                  </w:divBdr>
                  <w:divsChild>
                    <w:div w:id="792485747">
                      <w:marLeft w:val="0"/>
                      <w:marRight w:val="0"/>
                      <w:marTop w:val="0"/>
                      <w:marBottom w:val="0"/>
                      <w:divBdr>
                        <w:top w:val="none" w:sz="0" w:space="0" w:color="auto"/>
                        <w:left w:val="none" w:sz="0" w:space="0" w:color="auto"/>
                        <w:bottom w:val="none" w:sz="0" w:space="0" w:color="auto"/>
                        <w:right w:val="none" w:sz="0" w:space="0" w:color="auto"/>
                      </w:divBdr>
                    </w:div>
                  </w:divsChild>
                </w:div>
                <w:div w:id="1530098108">
                  <w:marLeft w:val="0"/>
                  <w:marRight w:val="0"/>
                  <w:marTop w:val="0"/>
                  <w:marBottom w:val="0"/>
                  <w:divBdr>
                    <w:top w:val="none" w:sz="0" w:space="0" w:color="auto"/>
                    <w:left w:val="none" w:sz="0" w:space="0" w:color="auto"/>
                    <w:bottom w:val="none" w:sz="0" w:space="0" w:color="auto"/>
                    <w:right w:val="none" w:sz="0" w:space="0" w:color="auto"/>
                  </w:divBdr>
                  <w:divsChild>
                    <w:div w:id="602961921">
                      <w:marLeft w:val="0"/>
                      <w:marRight w:val="0"/>
                      <w:marTop w:val="0"/>
                      <w:marBottom w:val="0"/>
                      <w:divBdr>
                        <w:top w:val="none" w:sz="0" w:space="0" w:color="auto"/>
                        <w:left w:val="none" w:sz="0" w:space="0" w:color="auto"/>
                        <w:bottom w:val="none" w:sz="0" w:space="0" w:color="auto"/>
                        <w:right w:val="none" w:sz="0" w:space="0" w:color="auto"/>
                      </w:divBdr>
                    </w:div>
                  </w:divsChild>
                </w:div>
                <w:div w:id="1551763939">
                  <w:marLeft w:val="0"/>
                  <w:marRight w:val="0"/>
                  <w:marTop w:val="0"/>
                  <w:marBottom w:val="0"/>
                  <w:divBdr>
                    <w:top w:val="none" w:sz="0" w:space="0" w:color="auto"/>
                    <w:left w:val="none" w:sz="0" w:space="0" w:color="auto"/>
                    <w:bottom w:val="none" w:sz="0" w:space="0" w:color="auto"/>
                    <w:right w:val="none" w:sz="0" w:space="0" w:color="auto"/>
                  </w:divBdr>
                  <w:divsChild>
                    <w:div w:id="858785151">
                      <w:marLeft w:val="0"/>
                      <w:marRight w:val="0"/>
                      <w:marTop w:val="0"/>
                      <w:marBottom w:val="0"/>
                      <w:divBdr>
                        <w:top w:val="none" w:sz="0" w:space="0" w:color="auto"/>
                        <w:left w:val="none" w:sz="0" w:space="0" w:color="auto"/>
                        <w:bottom w:val="none" w:sz="0" w:space="0" w:color="auto"/>
                        <w:right w:val="none" w:sz="0" w:space="0" w:color="auto"/>
                      </w:divBdr>
                    </w:div>
                  </w:divsChild>
                </w:div>
                <w:div w:id="1923097667">
                  <w:marLeft w:val="0"/>
                  <w:marRight w:val="0"/>
                  <w:marTop w:val="0"/>
                  <w:marBottom w:val="0"/>
                  <w:divBdr>
                    <w:top w:val="none" w:sz="0" w:space="0" w:color="auto"/>
                    <w:left w:val="none" w:sz="0" w:space="0" w:color="auto"/>
                    <w:bottom w:val="none" w:sz="0" w:space="0" w:color="auto"/>
                    <w:right w:val="none" w:sz="0" w:space="0" w:color="auto"/>
                  </w:divBdr>
                  <w:divsChild>
                    <w:div w:id="169295753">
                      <w:marLeft w:val="0"/>
                      <w:marRight w:val="0"/>
                      <w:marTop w:val="0"/>
                      <w:marBottom w:val="0"/>
                      <w:divBdr>
                        <w:top w:val="none" w:sz="0" w:space="0" w:color="auto"/>
                        <w:left w:val="none" w:sz="0" w:space="0" w:color="auto"/>
                        <w:bottom w:val="none" w:sz="0" w:space="0" w:color="auto"/>
                        <w:right w:val="none" w:sz="0" w:space="0" w:color="auto"/>
                      </w:divBdr>
                    </w:div>
                  </w:divsChild>
                </w:div>
                <w:div w:id="1970085511">
                  <w:marLeft w:val="0"/>
                  <w:marRight w:val="0"/>
                  <w:marTop w:val="0"/>
                  <w:marBottom w:val="0"/>
                  <w:divBdr>
                    <w:top w:val="none" w:sz="0" w:space="0" w:color="auto"/>
                    <w:left w:val="none" w:sz="0" w:space="0" w:color="auto"/>
                    <w:bottom w:val="none" w:sz="0" w:space="0" w:color="auto"/>
                    <w:right w:val="none" w:sz="0" w:space="0" w:color="auto"/>
                  </w:divBdr>
                  <w:divsChild>
                    <w:div w:id="94332484">
                      <w:marLeft w:val="0"/>
                      <w:marRight w:val="0"/>
                      <w:marTop w:val="0"/>
                      <w:marBottom w:val="0"/>
                      <w:divBdr>
                        <w:top w:val="none" w:sz="0" w:space="0" w:color="auto"/>
                        <w:left w:val="none" w:sz="0" w:space="0" w:color="auto"/>
                        <w:bottom w:val="none" w:sz="0" w:space="0" w:color="auto"/>
                        <w:right w:val="none" w:sz="0" w:space="0" w:color="auto"/>
                      </w:divBdr>
                    </w:div>
                  </w:divsChild>
                </w:div>
                <w:div w:id="2025594859">
                  <w:marLeft w:val="0"/>
                  <w:marRight w:val="0"/>
                  <w:marTop w:val="0"/>
                  <w:marBottom w:val="0"/>
                  <w:divBdr>
                    <w:top w:val="none" w:sz="0" w:space="0" w:color="auto"/>
                    <w:left w:val="none" w:sz="0" w:space="0" w:color="auto"/>
                    <w:bottom w:val="none" w:sz="0" w:space="0" w:color="auto"/>
                    <w:right w:val="none" w:sz="0" w:space="0" w:color="auto"/>
                  </w:divBdr>
                  <w:divsChild>
                    <w:div w:id="1861777840">
                      <w:marLeft w:val="0"/>
                      <w:marRight w:val="0"/>
                      <w:marTop w:val="0"/>
                      <w:marBottom w:val="0"/>
                      <w:divBdr>
                        <w:top w:val="none" w:sz="0" w:space="0" w:color="auto"/>
                        <w:left w:val="none" w:sz="0" w:space="0" w:color="auto"/>
                        <w:bottom w:val="none" w:sz="0" w:space="0" w:color="auto"/>
                        <w:right w:val="none" w:sz="0" w:space="0" w:color="auto"/>
                      </w:divBdr>
                    </w:div>
                  </w:divsChild>
                </w:div>
                <w:div w:id="2062557703">
                  <w:marLeft w:val="0"/>
                  <w:marRight w:val="0"/>
                  <w:marTop w:val="0"/>
                  <w:marBottom w:val="0"/>
                  <w:divBdr>
                    <w:top w:val="none" w:sz="0" w:space="0" w:color="auto"/>
                    <w:left w:val="none" w:sz="0" w:space="0" w:color="auto"/>
                    <w:bottom w:val="none" w:sz="0" w:space="0" w:color="auto"/>
                    <w:right w:val="none" w:sz="0" w:space="0" w:color="auto"/>
                  </w:divBdr>
                  <w:divsChild>
                    <w:div w:id="611135584">
                      <w:marLeft w:val="0"/>
                      <w:marRight w:val="0"/>
                      <w:marTop w:val="0"/>
                      <w:marBottom w:val="0"/>
                      <w:divBdr>
                        <w:top w:val="none" w:sz="0" w:space="0" w:color="auto"/>
                        <w:left w:val="none" w:sz="0" w:space="0" w:color="auto"/>
                        <w:bottom w:val="none" w:sz="0" w:space="0" w:color="auto"/>
                        <w:right w:val="none" w:sz="0" w:space="0" w:color="auto"/>
                      </w:divBdr>
                    </w:div>
                  </w:divsChild>
                </w:div>
                <w:div w:id="2135174279">
                  <w:marLeft w:val="0"/>
                  <w:marRight w:val="0"/>
                  <w:marTop w:val="0"/>
                  <w:marBottom w:val="0"/>
                  <w:divBdr>
                    <w:top w:val="none" w:sz="0" w:space="0" w:color="auto"/>
                    <w:left w:val="none" w:sz="0" w:space="0" w:color="auto"/>
                    <w:bottom w:val="none" w:sz="0" w:space="0" w:color="auto"/>
                    <w:right w:val="none" w:sz="0" w:space="0" w:color="auto"/>
                  </w:divBdr>
                  <w:divsChild>
                    <w:div w:id="7656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4393">
          <w:marLeft w:val="0"/>
          <w:marRight w:val="0"/>
          <w:marTop w:val="0"/>
          <w:marBottom w:val="0"/>
          <w:divBdr>
            <w:top w:val="none" w:sz="0" w:space="0" w:color="auto"/>
            <w:left w:val="none" w:sz="0" w:space="0" w:color="auto"/>
            <w:bottom w:val="none" w:sz="0" w:space="0" w:color="auto"/>
            <w:right w:val="none" w:sz="0" w:space="0" w:color="auto"/>
          </w:divBdr>
        </w:div>
      </w:divsChild>
    </w:div>
    <w:div w:id="1119488190">
      <w:bodyDiv w:val="1"/>
      <w:marLeft w:val="0"/>
      <w:marRight w:val="0"/>
      <w:marTop w:val="0"/>
      <w:marBottom w:val="0"/>
      <w:divBdr>
        <w:top w:val="none" w:sz="0" w:space="0" w:color="auto"/>
        <w:left w:val="none" w:sz="0" w:space="0" w:color="auto"/>
        <w:bottom w:val="none" w:sz="0" w:space="0" w:color="auto"/>
        <w:right w:val="none" w:sz="0" w:space="0" w:color="auto"/>
      </w:divBdr>
    </w:div>
    <w:div w:id="1134055272">
      <w:bodyDiv w:val="1"/>
      <w:marLeft w:val="0"/>
      <w:marRight w:val="0"/>
      <w:marTop w:val="0"/>
      <w:marBottom w:val="0"/>
      <w:divBdr>
        <w:top w:val="none" w:sz="0" w:space="0" w:color="auto"/>
        <w:left w:val="none" w:sz="0" w:space="0" w:color="auto"/>
        <w:bottom w:val="none" w:sz="0" w:space="0" w:color="auto"/>
        <w:right w:val="none" w:sz="0" w:space="0" w:color="auto"/>
      </w:divBdr>
      <w:divsChild>
        <w:div w:id="1069961290">
          <w:marLeft w:val="0"/>
          <w:marRight w:val="0"/>
          <w:marTop w:val="0"/>
          <w:marBottom w:val="0"/>
          <w:divBdr>
            <w:top w:val="none" w:sz="0" w:space="0" w:color="auto"/>
            <w:left w:val="none" w:sz="0" w:space="0" w:color="auto"/>
            <w:bottom w:val="none" w:sz="0" w:space="0" w:color="auto"/>
            <w:right w:val="none" w:sz="0" w:space="0" w:color="auto"/>
          </w:divBdr>
          <w:divsChild>
            <w:div w:id="1993097519">
              <w:marLeft w:val="0"/>
              <w:marRight w:val="0"/>
              <w:marTop w:val="0"/>
              <w:marBottom w:val="0"/>
              <w:divBdr>
                <w:top w:val="none" w:sz="0" w:space="0" w:color="auto"/>
                <w:left w:val="none" w:sz="0" w:space="0" w:color="auto"/>
                <w:bottom w:val="none" w:sz="0" w:space="0" w:color="auto"/>
                <w:right w:val="none" w:sz="0" w:space="0" w:color="auto"/>
              </w:divBdr>
              <w:divsChild>
                <w:div w:id="2293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7148">
      <w:bodyDiv w:val="1"/>
      <w:marLeft w:val="0"/>
      <w:marRight w:val="0"/>
      <w:marTop w:val="0"/>
      <w:marBottom w:val="0"/>
      <w:divBdr>
        <w:top w:val="none" w:sz="0" w:space="0" w:color="auto"/>
        <w:left w:val="none" w:sz="0" w:space="0" w:color="auto"/>
        <w:bottom w:val="none" w:sz="0" w:space="0" w:color="auto"/>
        <w:right w:val="none" w:sz="0" w:space="0" w:color="auto"/>
      </w:divBdr>
    </w:div>
    <w:div w:id="1154562159">
      <w:bodyDiv w:val="1"/>
      <w:marLeft w:val="0"/>
      <w:marRight w:val="0"/>
      <w:marTop w:val="0"/>
      <w:marBottom w:val="0"/>
      <w:divBdr>
        <w:top w:val="none" w:sz="0" w:space="0" w:color="auto"/>
        <w:left w:val="none" w:sz="0" w:space="0" w:color="auto"/>
        <w:bottom w:val="none" w:sz="0" w:space="0" w:color="auto"/>
        <w:right w:val="none" w:sz="0" w:space="0" w:color="auto"/>
      </w:divBdr>
      <w:divsChild>
        <w:div w:id="2000882687">
          <w:marLeft w:val="0"/>
          <w:marRight w:val="0"/>
          <w:marTop w:val="0"/>
          <w:marBottom w:val="0"/>
          <w:divBdr>
            <w:top w:val="single" w:sz="2" w:space="0" w:color="auto"/>
            <w:left w:val="single" w:sz="2" w:space="0" w:color="auto"/>
            <w:bottom w:val="single" w:sz="6" w:space="0" w:color="auto"/>
            <w:right w:val="single" w:sz="2" w:space="0" w:color="auto"/>
          </w:divBdr>
          <w:divsChild>
            <w:div w:id="887838746">
              <w:marLeft w:val="0"/>
              <w:marRight w:val="0"/>
              <w:marTop w:val="100"/>
              <w:marBottom w:val="100"/>
              <w:divBdr>
                <w:top w:val="single" w:sz="2" w:space="0" w:color="D9D9E3"/>
                <w:left w:val="single" w:sz="2" w:space="0" w:color="D9D9E3"/>
                <w:bottom w:val="single" w:sz="2" w:space="0" w:color="D9D9E3"/>
                <w:right w:val="single" w:sz="2" w:space="0" w:color="D9D9E3"/>
              </w:divBdr>
              <w:divsChild>
                <w:div w:id="1535800793">
                  <w:marLeft w:val="0"/>
                  <w:marRight w:val="0"/>
                  <w:marTop w:val="0"/>
                  <w:marBottom w:val="0"/>
                  <w:divBdr>
                    <w:top w:val="single" w:sz="2" w:space="0" w:color="D9D9E3"/>
                    <w:left w:val="single" w:sz="2" w:space="0" w:color="D9D9E3"/>
                    <w:bottom w:val="single" w:sz="2" w:space="0" w:color="D9D9E3"/>
                    <w:right w:val="single" w:sz="2" w:space="0" w:color="D9D9E3"/>
                  </w:divBdr>
                  <w:divsChild>
                    <w:div w:id="1851604982">
                      <w:marLeft w:val="0"/>
                      <w:marRight w:val="0"/>
                      <w:marTop w:val="0"/>
                      <w:marBottom w:val="0"/>
                      <w:divBdr>
                        <w:top w:val="single" w:sz="2" w:space="0" w:color="D9D9E3"/>
                        <w:left w:val="single" w:sz="2" w:space="0" w:color="D9D9E3"/>
                        <w:bottom w:val="single" w:sz="2" w:space="0" w:color="D9D9E3"/>
                        <w:right w:val="single" w:sz="2" w:space="0" w:color="D9D9E3"/>
                      </w:divBdr>
                      <w:divsChild>
                        <w:div w:id="486627934">
                          <w:marLeft w:val="0"/>
                          <w:marRight w:val="0"/>
                          <w:marTop w:val="0"/>
                          <w:marBottom w:val="0"/>
                          <w:divBdr>
                            <w:top w:val="single" w:sz="2" w:space="0" w:color="D9D9E3"/>
                            <w:left w:val="single" w:sz="2" w:space="0" w:color="D9D9E3"/>
                            <w:bottom w:val="single" w:sz="2" w:space="0" w:color="D9D9E3"/>
                            <w:right w:val="single" w:sz="2" w:space="0" w:color="D9D9E3"/>
                          </w:divBdr>
                          <w:divsChild>
                            <w:div w:id="189802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3475620">
      <w:bodyDiv w:val="1"/>
      <w:marLeft w:val="0"/>
      <w:marRight w:val="0"/>
      <w:marTop w:val="0"/>
      <w:marBottom w:val="0"/>
      <w:divBdr>
        <w:top w:val="none" w:sz="0" w:space="0" w:color="auto"/>
        <w:left w:val="none" w:sz="0" w:space="0" w:color="auto"/>
        <w:bottom w:val="none" w:sz="0" w:space="0" w:color="auto"/>
        <w:right w:val="none" w:sz="0" w:space="0" w:color="auto"/>
      </w:divBdr>
    </w:div>
    <w:div w:id="1180269508">
      <w:bodyDiv w:val="1"/>
      <w:marLeft w:val="0"/>
      <w:marRight w:val="0"/>
      <w:marTop w:val="0"/>
      <w:marBottom w:val="0"/>
      <w:divBdr>
        <w:top w:val="none" w:sz="0" w:space="0" w:color="auto"/>
        <w:left w:val="none" w:sz="0" w:space="0" w:color="auto"/>
        <w:bottom w:val="none" w:sz="0" w:space="0" w:color="auto"/>
        <w:right w:val="none" w:sz="0" w:space="0" w:color="auto"/>
      </w:divBdr>
      <w:divsChild>
        <w:div w:id="1487477480">
          <w:marLeft w:val="0"/>
          <w:marRight w:val="0"/>
          <w:marTop w:val="0"/>
          <w:marBottom w:val="0"/>
          <w:divBdr>
            <w:top w:val="single" w:sz="2" w:space="0" w:color="auto"/>
            <w:left w:val="single" w:sz="2" w:space="0" w:color="auto"/>
            <w:bottom w:val="single" w:sz="6" w:space="0" w:color="auto"/>
            <w:right w:val="single" w:sz="2" w:space="0" w:color="auto"/>
          </w:divBdr>
          <w:divsChild>
            <w:div w:id="1540439070">
              <w:marLeft w:val="0"/>
              <w:marRight w:val="0"/>
              <w:marTop w:val="100"/>
              <w:marBottom w:val="100"/>
              <w:divBdr>
                <w:top w:val="single" w:sz="2" w:space="0" w:color="D9D9E3"/>
                <w:left w:val="single" w:sz="2" w:space="0" w:color="D9D9E3"/>
                <w:bottom w:val="single" w:sz="2" w:space="0" w:color="D9D9E3"/>
                <w:right w:val="single" w:sz="2" w:space="0" w:color="D9D9E3"/>
              </w:divBdr>
              <w:divsChild>
                <w:div w:id="242036708">
                  <w:marLeft w:val="0"/>
                  <w:marRight w:val="0"/>
                  <w:marTop w:val="0"/>
                  <w:marBottom w:val="0"/>
                  <w:divBdr>
                    <w:top w:val="single" w:sz="2" w:space="0" w:color="D9D9E3"/>
                    <w:left w:val="single" w:sz="2" w:space="0" w:color="D9D9E3"/>
                    <w:bottom w:val="single" w:sz="2" w:space="0" w:color="D9D9E3"/>
                    <w:right w:val="single" w:sz="2" w:space="0" w:color="D9D9E3"/>
                  </w:divBdr>
                  <w:divsChild>
                    <w:div w:id="1319112795">
                      <w:marLeft w:val="0"/>
                      <w:marRight w:val="0"/>
                      <w:marTop w:val="0"/>
                      <w:marBottom w:val="0"/>
                      <w:divBdr>
                        <w:top w:val="single" w:sz="2" w:space="0" w:color="D9D9E3"/>
                        <w:left w:val="single" w:sz="2" w:space="0" w:color="D9D9E3"/>
                        <w:bottom w:val="single" w:sz="2" w:space="0" w:color="D9D9E3"/>
                        <w:right w:val="single" w:sz="2" w:space="0" w:color="D9D9E3"/>
                      </w:divBdr>
                      <w:divsChild>
                        <w:div w:id="1209145174">
                          <w:marLeft w:val="0"/>
                          <w:marRight w:val="0"/>
                          <w:marTop w:val="0"/>
                          <w:marBottom w:val="0"/>
                          <w:divBdr>
                            <w:top w:val="single" w:sz="2" w:space="0" w:color="D9D9E3"/>
                            <w:left w:val="single" w:sz="2" w:space="0" w:color="D9D9E3"/>
                            <w:bottom w:val="single" w:sz="2" w:space="0" w:color="D9D9E3"/>
                            <w:right w:val="single" w:sz="2" w:space="0" w:color="D9D9E3"/>
                          </w:divBdr>
                          <w:divsChild>
                            <w:div w:id="28604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78608347">
      <w:bodyDiv w:val="1"/>
      <w:marLeft w:val="0"/>
      <w:marRight w:val="0"/>
      <w:marTop w:val="0"/>
      <w:marBottom w:val="0"/>
      <w:divBdr>
        <w:top w:val="none" w:sz="0" w:space="0" w:color="auto"/>
        <w:left w:val="none" w:sz="0" w:space="0" w:color="auto"/>
        <w:bottom w:val="none" w:sz="0" w:space="0" w:color="auto"/>
        <w:right w:val="none" w:sz="0" w:space="0" w:color="auto"/>
      </w:divBdr>
    </w:div>
    <w:div w:id="1298150456">
      <w:bodyDiv w:val="1"/>
      <w:marLeft w:val="0"/>
      <w:marRight w:val="0"/>
      <w:marTop w:val="0"/>
      <w:marBottom w:val="0"/>
      <w:divBdr>
        <w:top w:val="none" w:sz="0" w:space="0" w:color="auto"/>
        <w:left w:val="none" w:sz="0" w:space="0" w:color="auto"/>
        <w:bottom w:val="none" w:sz="0" w:space="0" w:color="auto"/>
        <w:right w:val="none" w:sz="0" w:space="0" w:color="auto"/>
      </w:divBdr>
    </w:div>
    <w:div w:id="1311908323">
      <w:bodyDiv w:val="1"/>
      <w:marLeft w:val="0"/>
      <w:marRight w:val="0"/>
      <w:marTop w:val="0"/>
      <w:marBottom w:val="0"/>
      <w:divBdr>
        <w:top w:val="none" w:sz="0" w:space="0" w:color="auto"/>
        <w:left w:val="none" w:sz="0" w:space="0" w:color="auto"/>
        <w:bottom w:val="none" w:sz="0" w:space="0" w:color="auto"/>
        <w:right w:val="none" w:sz="0" w:space="0" w:color="auto"/>
      </w:divBdr>
    </w:div>
    <w:div w:id="1323504350">
      <w:bodyDiv w:val="1"/>
      <w:marLeft w:val="0"/>
      <w:marRight w:val="0"/>
      <w:marTop w:val="0"/>
      <w:marBottom w:val="0"/>
      <w:divBdr>
        <w:top w:val="none" w:sz="0" w:space="0" w:color="auto"/>
        <w:left w:val="none" w:sz="0" w:space="0" w:color="auto"/>
        <w:bottom w:val="none" w:sz="0" w:space="0" w:color="auto"/>
        <w:right w:val="none" w:sz="0" w:space="0" w:color="auto"/>
      </w:divBdr>
    </w:div>
    <w:div w:id="1342660450">
      <w:bodyDiv w:val="1"/>
      <w:marLeft w:val="0"/>
      <w:marRight w:val="0"/>
      <w:marTop w:val="0"/>
      <w:marBottom w:val="0"/>
      <w:divBdr>
        <w:top w:val="none" w:sz="0" w:space="0" w:color="auto"/>
        <w:left w:val="none" w:sz="0" w:space="0" w:color="auto"/>
        <w:bottom w:val="none" w:sz="0" w:space="0" w:color="auto"/>
        <w:right w:val="none" w:sz="0" w:space="0" w:color="auto"/>
      </w:divBdr>
      <w:divsChild>
        <w:div w:id="1323044957">
          <w:marLeft w:val="0"/>
          <w:marRight w:val="0"/>
          <w:marTop w:val="0"/>
          <w:marBottom w:val="0"/>
          <w:divBdr>
            <w:top w:val="none" w:sz="0" w:space="0" w:color="auto"/>
            <w:left w:val="none" w:sz="0" w:space="0" w:color="auto"/>
            <w:bottom w:val="none" w:sz="0" w:space="0" w:color="auto"/>
            <w:right w:val="none" w:sz="0" w:space="0" w:color="auto"/>
          </w:divBdr>
          <w:divsChild>
            <w:div w:id="879049787">
              <w:marLeft w:val="0"/>
              <w:marRight w:val="0"/>
              <w:marTop w:val="0"/>
              <w:marBottom w:val="0"/>
              <w:divBdr>
                <w:top w:val="none" w:sz="0" w:space="0" w:color="auto"/>
                <w:left w:val="none" w:sz="0" w:space="0" w:color="auto"/>
                <w:bottom w:val="none" w:sz="0" w:space="0" w:color="auto"/>
                <w:right w:val="none" w:sz="0" w:space="0" w:color="auto"/>
              </w:divBdr>
              <w:divsChild>
                <w:div w:id="1868712953">
                  <w:marLeft w:val="0"/>
                  <w:marRight w:val="0"/>
                  <w:marTop w:val="0"/>
                  <w:marBottom w:val="0"/>
                  <w:divBdr>
                    <w:top w:val="none" w:sz="0" w:space="0" w:color="auto"/>
                    <w:left w:val="none" w:sz="0" w:space="0" w:color="auto"/>
                    <w:bottom w:val="none" w:sz="0" w:space="0" w:color="auto"/>
                    <w:right w:val="none" w:sz="0" w:space="0" w:color="auto"/>
                  </w:divBdr>
                  <w:divsChild>
                    <w:div w:id="1905140187">
                      <w:marLeft w:val="0"/>
                      <w:marRight w:val="0"/>
                      <w:marTop w:val="0"/>
                      <w:marBottom w:val="0"/>
                      <w:divBdr>
                        <w:top w:val="none" w:sz="0" w:space="0" w:color="auto"/>
                        <w:left w:val="none" w:sz="0" w:space="0" w:color="auto"/>
                        <w:bottom w:val="none" w:sz="0" w:space="0" w:color="auto"/>
                        <w:right w:val="none" w:sz="0" w:space="0" w:color="auto"/>
                      </w:divBdr>
                      <w:divsChild>
                        <w:div w:id="304162818">
                          <w:marLeft w:val="0"/>
                          <w:marRight w:val="0"/>
                          <w:marTop w:val="0"/>
                          <w:marBottom w:val="0"/>
                          <w:divBdr>
                            <w:top w:val="none" w:sz="0" w:space="0" w:color="auto"/>
                            <w:left w:val="none" w:sz="0" w:space="0" w:color="auto"/>
                            <w:bottom w:val="none" w:sz="0" w:space="0" w:color="auto"/>
                            <w:right w:val="none" w:sz="0" w:space="0" w:color="auto"/>
                          </w:divBdr>
                          <w:divsChild>
                            <w:div w:id="12121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5345">
      <w:bodyDiv w:val="1"/>
      <w:marLeft w:val="0"/>
      <w:marRight w:val="0"/>
      <w:marTop w:val="0"/>
      <w:marBottom w:val="0"/>
      <w:divBdr>
        <w:top w:val="none" w:sz="0" w:space="0" w:color="auto"/>
        <w:left w:val="none" w:sz="0" w:space="0" w:color="auto"/>
        <w:bottom w:val="none" w:sz="0" w:space="0" w:color="auto"/>
        <w:right w:val="none" w:sz="0" w:space="0" w:color="auto"/>
      </w:divBdr>
    </w:div>
    <w:div w:id="1383600458">
      <w:bodyDiv w:val="1"/>
      <w:marLeft w:val="0"/>
      <w:marRight w:val="0"/>
      <w:marTop w:val="0"/>
      <w:marBottom w:val="0"/>
      <w:divBdr>
        <w:top w:val="none" w:sz="0" w:space="0" w:color="auto"/>
        <w:left w:val="none" w:sz="0" w:space="0" w:color="auto"/>
        <w:bottom w:val="none" w:sz="0" w:space="0" w:color="auto"/>
        <w:right w:val="none" w:sz="0" w:space="0" w:color="auto"/>
      </w:divBdr>
    </w:div>
    <w:div w:id="1397242893">
      <w:bodyDiv w:val="1"/>
      <w:marLeft w:val="0"/>
      <w:marRight w:val="0"/>
      <w:marTop w:val="0"/>
      <w:marBottom w:val="0"/>
      <w:divBdr>
        <w:top w:val="none" w:sz="0" w:space="0" w:color="auto"/>
        <w:left w:val="none" w:sz="0" w:space="0" w:color="auto"/>
        <w:bottom w:val="none" w:sz="0" w:space="0" w:color="auto"/>
        <w:right w:val="none" w:sz="0" w:space="0" w:color="auto"/>
      </w:divBdr>
    </w:div>
    <w:div w:id="1404991600">
      <w:bodyDiv w:val="1"/>
      <w:marLeft w:val="0"/>
      <w:marRight w:val="0"/>
      <w:marTop w:val="0"/>
      <w:marBottom w:val="0"/>
      <w:divBdr>
        <w:top w:val="none" w:sz="0" w:space="0" w:color="auto"/>
        <w:left w:val="none" w:sz="0" w:space="0" w:color="auto"/>
        <w:bottom w:val="none" w:sz="0" w:space="0" w:color="auto"/>
        <w:right w:val="none" w:sz="0" w:space="0" w:color="auto"/>
      </w:divBdr>
    </w:div>
    <w:div w:id="1408072145">
      <w:bodyDiv w:val="1"/>
      <w:marLeft w:val="0"/>
      <w:marRight w:val="0"/>
      <w:marTop w:val="0"/>
      <w:marBottom w:val="0"/>
      <w:divBdr>
        <w:top w:val="none" w:sz="0" w:space="0" w:color="auto"/>
        <w:left w:val="none" w:sz="0" w:space="0" w:color="auto"/>
        <w:bottom w:val="none" w:sz="0" w:space="0" w:color="auto"/>
        <w:right w:val="none" w:sz="0" w:space="0" w:color="auto"/>
      </w:divBdr>
    </w:div>
    <w:div w:id="1425229427">
      <w:bodyDiv w:val="1"/>
      <w:marLeft w:val="0"/>
      <w:marRight w:val="0"/>
      <w:marTop w:val="0"/>
      <w:marBottom w:val="0"/>
      <w:divBdr>
        <w:top w:val="none" w:sz="0" w:space="0" w:color="auto"/>
        <w:left w:val="none" w:sz="0" w:space="0" w:color="auto"/>
        <w:bottom w:val="none" w:sz="0" w:space="0" w:color="auto"/>
        <w:right w:val="none" w:sz="0" w:space="0" w:color="auto"/>
      </w:divBdr>
      <w:divsChild>
        <w:div w:id="362170081">
          <w:marLeft w:val="0"/>
          <w:marRight w:val="0"/>
          <w:marTop w:val="0"/>
          <w:marBottom w:val="0"/>
          <w:divBdr>
            <w:top w:val="none" w:sz="0" w:space="0" w:color="auto"/>
            <w:left w:val="none" w:sz="0" w:space="0" w:color="auto"/>
            <w:bottom w:val="none" w:sz="0" w:space="0" w:color="auto"/>
            <w:right w:val="none" w:sz="0" w:space="0" w:color="auto"/>
          </w:divBdr>
          <w:divsChild>
            <w:div w:id="2099280982">
              <w:marLeft w:val="0"/>
              <w:marRight w:val="0"/>
              <w:marTop w:val="0"/>
              <w:marBottom w:val="0"/>
              <w:divBdr>
                <w:top w:val="none" w:sz="0" w:space="0" w:color="auto"/>
                <w:left w:val="none" w:sz="0" w:space="0" w:color="auto"/>
                <w:bottom w:val="none" w:sz="0" w:space="0" w:color="auto"/>
                <w:right w:val="none" w:sz="0" w:space="0" w:color="auto"/>
              </w:divBdr>
              <w:divsChild>
                <w:div w:id="1022168889">
                  <w:marLeft w:val="0"/>
                  <w:marRight w:val="0"/>
                  <w:marTop w:val="0"/>
                  <w:marBottom w:val="0"/>
                  <w:divBdr>
                    <w:top w:val="none" w:sz="0" w:space="0" w:color="auto"/>
                    <w:left w:val="none" w:sz="0" w:space="0" w:color="auto"/>
                    <w:bottom w:val="none" w:sz="0" w:space="0" w:color="auto"/>
                    <w:right w:val="none" w:sz="0" w:space="0" w:color="auto"/>
                  </w:divBdr>
                  <w:divsChild>
                    <w:div w:id="1373724116">
                      <w:marLeft w:val="0"/>
                      <w:marRight w:val="0"/>
                      <w:marTop w:val="0"/>
                      <w:marBottom w:val="0"/>
                      <w:divBdr>
                        <w:top w:val="none" w:sz="0" w:space="0" w:color="auto"/>
                        <w:left w:val="none" w:sz="0" w:space="0" w:color="auto"/>
                        <w:bottom w:val="none" w:sz="0" w:space="0" w:color="auto"/>
                        <w:right w:val="none" w:sz="0" w:space="0" w:color="auto"/>
                      </w:divBdr>
                      <w:divsChild>
                        <w:div w:id="1540898742">
                          <w:marLeft w:val="0"/>
                          <w:marRight w:val="0"/>
                          <w:marTop w:val="0"/>
                          <w:marBottom w:val="0"/>
                          <w:divBdr>
                            <w:top w:val="none" w:sz="0" w:space="0" w:color="auto"/>
                            <w:left w:val="none" w:sz="0" w:space="0" w:color="auto"/>
                            <w:bottom w:val="none" w:sz="0" w:space="0" w:color="auto"/>
                            <w:right w:val="none" w:sz="0" w:space="0" w:color="auto"/>
                          </w:divBdr>
                          <w:divsChild>
                            <w:div w:id="5111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616999">
      <w:bodyDiv w:val="1"/>
      <w:marLeft w:val="0"/>
      <w:marRight w:val="0"/>
      <w:marTop w:val="0"/>
      <w:marBottom w:val="0"/>
      <w:divBdr>
        <w:top w:val="none" w:sz="0" w:space="0" w:color="auto"/>
        <w:left w:val="none" w:sz="0" w:space="0" w:color="auto"/>
        <w:bottom w:val="none" w:sz="0" w:space="0" w:color="auto"/>
        <w:right w:val="none" w:sz="0" w:space="0" w:color="auto"/>
      </w:divBdr>
    </w:div>
    <w:div w:id="1450247901">
      <w:bodyDiv w:val="1"/>
      <w:marLeft w:val="0"/>
      <w:marRight w:val="0"/>
      <w:marTop w:val="0"/>
      <w:marBottom w:val="0"/>
      <w:divBdr>
        <w:top w:val="none" w:sz="0" w:space="0" w:color="auto"/>
        <w:left w:val="none" w:sz="0" w:space="0" w:color="auto"/>
        <w:bottom w:val="none" w:sz="0" w:space="0" w:color="auto"/>
        <w:right w:val="none" w:sz="0" w:space="0" w:color="auto"/>
      </w:divBdr>
    </w:div>
    <w:div w:id="1457483617">
      <w:bodyDiv w:val="1"/>
      <w:marLeft w:val="0"/>
      <w:marRight w:val="0"/>
      <w:marTop w:val="0"/>
      <w:marBottom w:val="0"/>
      <w:divBdr>
        <w:top w:val="none" w:sz="0" w:space="0" w:color="auto"/>
        <w:left w:val="none" w:sz="0" w:space="0" w:color="auto"/>
        <w:bottom w:val="none" w:sz="0" w:space="0" w:color="auto"/>
        <w:right w:val="none" w:sz="0" w:space="0" w:color="auto"/>
      </w:divBdr>
    </w:div>
    <w:div w:id="1486631231">
      <w:bodyDiv w:val="1"/>
      <w:marLeft w:val="0"/>
      <w:marRight w:val="0"/>
      <w:marTop w:val="0"/>
      <w:marBottom w:val="0"/>
      <w:divBdr>
        <w:top w:val="none" w:sz="0" w:space="0" w:color="auto"/>
        <w:left w:val="none" w:sz="0" w:space="0" w:color="auto"/>
        <w:bottom w:val="none" w:sz="0" w:space="0" w:color="auto"/>
        <w:right w:val="none" w:sz="0" w:space="0" w:color="auto"/>
      </w:divBdr>
      <w:divsChild>
        <w:div w:id="409548639">
          <w:marLeft w:val="0"/>
          <w:marRight w:val="0"/>
          <w:marTop w:val="0"/>
          <w:marBottom w:val="0"/>
          <w:divBdr>
            <w:top w:val="none" w:sz="0" w:space="0" w:color="auto"/>
            <w:left w:val="none" w:sz="0" w:space="0" w:color="auto"/>
            <w:bottom w:val="none" w:sz="0" w:space="0" w:color="auto"/>
            <w:right w:val="none" w:sz="0" w:space="0" w:color="auto"/>
          </w:divBdr>
          <w:divsChild>
            <w:div w:id="1976981247">
              <w:marLeft w:val="0"/>
              <w:marRight w:val="0"/>
              <w:marTop w:val="0"/>
              <w:marBottom w:val="0"/>
              <w:divBdr>
                <w:top w:val="single" w:sz="2" w:space="0" w:color="D9D9E3"/>
                <w:left w:val="single" w:sz="2" w:space="0" w:color="D9D9E3"/>
                <w:bottom w:val="single" w:sz="2" w:space="0" w:color="D9D9E3"/>
                <w:right w:val="single" w:sz="2" w:space="0" w:color="D9D9E3"/>
              </w:divBdr>
              <w:divsChild>
                <w:div w:id="354773686">
                  <w:marLeft w:val="0"/>
                  <w:marRight w:val="0"/>
                  <w:marTop w:val="0"/>
                  <w:marBottom w:val="0"/>
                  <w:divBdr>
                    <w:top w:val="single" w:sz="2" w:space="0" w:color="D9D9E3"/>
                    <w:left w:val="single" w:sz="2" w:space="0" w:color="D9D9E3"/>
                    <w:bottom w:val="single" w:sz="2" w:space="0" w:color="D9D9E3"/>
                    <w:right w:val="single" w:sz="2" w:space="0" w:color="D9D9E3"/>
                  </w:divBdr>
                  <w:divsChild>
                    <w:div w:id="1276599710">
                      <w:marLeft w:val="0"/>
                      <w:marRight w:val="0"/>
                      <w:marTop w:val="0"/>
                      <w:marBottom w:val="0"/>
                      <w:divBdr>
                        <w:top w:val="single" w:sz="2" w:space="0" w:color="D9D9E3"/>
                        <w:left w:val="single" w:sz="2" w:space="0" w:color="D9D9E3"/>
                        <w:bottom w:val="single" w:sz="2" w:space="0" w:color="D9D9E3"/>
                        <w:right w:val="single" w:sz="2" w:space="0" w:color="D9D9E3"/>
                      </w:divBdr>
                      <w:divsChild>
                        <w:div w:id="2067337102">
                          <w:marLeft w:val="0"/>
                          <w:marRight w:val="0"/>
                          <w:marTop w:val="0"/>
                          <w:marBottom w:val="0"/>
                          <w:divBdr>
                            <w:top w:val="single" w:sz="2" w:space="0" w:color="D9D9E3"/>
                            <w:left w:val="single" w:sz="2" w:space="0" w:color="D9D9E3"/>
                            <w:bottom w:val="single" w:sz="2" w:space="0" w:color="D9D9E3"/>
                            <w:right w:val="single" w:sz="2" w:space="0" w:color="D9D9E3"/>
                          </w:divBdr>
                          <w:divsChild>
                            <w:div w:id="520624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5614386">
          <w:marLeft w:val="0"/>
          <w:marRight w:val="0"/>
          <w:marTop w:val="0"/>
          <w:marBottom w:val="0"/>
          <w:divBdr>
            <w:top w:val="single" w:sz="2" w:space="0" w:color="D9D9E3"/>
            <w:left w:val="single" w:sz="2" w:space="0" w:color="D9D9E3"/>
            <w:bottom w:val="single" w:sz="2" w:space="0" w:color="D9D9E3"/>
            <w:right w:val="single" w:sz="2" w:space="0" w:color="D9D9E3"/>
          </w:divBdr>
          <w:divsChild>
            <w:div w:id="515001485">
              <w:marLeft w:val="0"/>
              <w:marRight w:val="0"/>
              <w:marTop w:val="0"/>
              <w:marBottom w:val="0"/>
              <w:divBdr>
                <w:top w:val="single" w:sz="2" w:space="0" w:color="D9D9E3"/>
                <w:left w:val="single" w:sz="2" w:space="0" w:color="D9D9E3"/>
                <w:bottom w:val="single" w:sz="2" w:space="0" w:color="D9D9E3"/>
                <w:right w:val="single" w:sz="2" w:space="0" w:color="D9D9E3"/>
              </w:divBdr>
              <w:divsChild>
                <w:div w:id="1059593572">
                  <w:marLeft w:val="0"/>
                  <w:marRight w:val="0"/>
                  <w:marTop w:val="0"/>
                  <w:marBottom w:val="0"/>
                  <w:divBdr>
                    <w:top w:val="single" w:sz="2" w:space="0" w:color="D9D9E3"/>
                    <w:left w:val="single" w:sz="2" w:space="0" w:color="D9D9E3"/>
                    <w:bottom w:val="single" w:sz="2" w:space="0" w:color="D9D9E3"/>
                    <w:right w:val="single" w:sz="2" w:space="0" w:color="D9D9E3"/>
                  </w:divBdr>
                  <w:divsChild>
                    <w:div w:id="148057460">
                      <w:marLeft w:val="0"/>
                      <w:marRight w:val="0"/>
                      <w:marTop w:val="0"/>
                      <w:marBottom w:val="0"/>
                      <w:divBdr>
                        <w:top w:val="single" w:sz="2" w:space="0" w:color="D9D9E3"/>
                        <w:left w:val="single" w:sz="2" w:space="0" w:color="D9D9E3"/>
                        <w:bottom w:val="single" w:sz="2" w:space="0" w:color="D9D9E3"/>
                        <w:right w:val="single" w:sz="2" w:space="0" w:color="D9D9E3"/>
                      </w:divBdr>
                      <w:divsChild>
                        <w:div w:id="1373533516">
                          <w:marLeft w:val="0"/>
                          <w:marRight w:val="0"/>
                          <w:marTop w:val="0"/>
                          <w:marBottom w:val="0"/>
                          <w:divBdr>
                            <w:top w:val="single" w:sz="2" w:space="0" w:color="auto"/>
                            <w:left w:val="single" w:sz="2" w:space="0" w:color="auto"/>
                            <w:bottom w:val="single" w:sz="6" w:space="0" w:color="auto"/>
                            <w:right w:val="single" w:sz="2" w:space="0" w:color="auto"/>
                          </w:divBdr>
                          <w:divsChild>
                            <w:div w:id="1093552495">
                              <w:marLeft w:val="0"/>
                              <w:marRight w:val="0"/>
                              <w:marTop w:val="100"/>
                              <w:marBottom w:val="100"/>
                              <w:divBdr>
                                <w:top w:val="single" w:sz="2" w:space="0" w:color="D9D9E3"/>
                                <w:left w:val="single" w:sz="2" w:space="0" w:color="D9D9E3"/>
                                <w:bottom w:val="single" w:sz="2" w:space="0" w:color="D9D9E3"/>
                                <w:right w:val="single" w:sz="2" w:space="0" w:color="D9D9E3"/>
                              </w:divBdr>
                              <w:divsChild>
                                <w:div w:id="1928925997">
                                  <w:marLeft w:val="0"/>
                                  <w:marRight w:val="0"/>
                                  <w:marTop w:val="0"/>
                                  <w:marBottom w:val="0"/>
                                  <w:divBdr>
                                    <w:top w:val="single" w:sz="2" w:space="0" w:color="D9D9E3"/>
                                    <w:left w:val="single" w:sz="2" w:space="0" w:color="D9D9E3"/>
                                    <w:bottom w:val="single" w:sz="2" w:space="0" w:color="D9D9E3"/>
                                    <w:right w:val="single" w:sz="2" w:space="0" w:color="D9D9E3"/>
                                  </w:divBdr>
                                  <w:divsChild>
                                    <w:div w:id="462696287">
                                      <w:marLeft w:val="0"/>
                                      <w:marRight w:val="0"/>
                                      <w:marTop w:val="0"/>
                                      <w:marBottom w:val="0"/>
                                      <w:divBdr>
                                        <w:top w:val="single" w:sz="2" w:space="0" w:color="D9D9E3"/>
                                        <w:left w:val="single" w:sz="2" w:space="0" w:color="D9D9E3"/>
                                        <w:bottom w:val="single" w:sz="2" w:space="0" w:color="D9D9E3"/>
                                        <w:right w:val="single" w:sz="2" w:space="0" w:color="D9D9E3"/>
                                      </w:divBdr>
                                      <w:divsChild>
                                        <w:div w:id="1165821473">
                                          <w:marLeft w:val="0"/>
                                          <w:marRight w:val="0"/>
                                          <w:marTop w:val="0"/>
                                          <w:marBottom w:val="0"/>
                                          <w:divBdr>
                                            <w:top w:val="single" w:sz="2" w:space="0" w:color="D9D9E3"/>
                                            <w:left w:val="single" w:sz="2" w:space="0" w:color="D9D9E3"/>
                                            <w:bottom w:val="single" w:sz="2" w:space="0" w:color="D9D9E3"/>
                                            <w:right w:val="single" w:sz="2" w:space="0" w:color="D9D9E3"/>
                                          </w:divBdr>
                                          <w:divsChild>
                                            <w:div w:id="1104807174">
                                              <w:marLeft w:val="0"/>
                                              <w:marRight w:val="0"/>
                                              <w:marTop w:val="0"/>
                                              <w:marBottom w:val="0"/>
                                              <w:divBdr>
                                                <w:top w:val="single" w:sz="2" w:space="0" w:color="D9D9E3"/>
                                                <w:left w:val="single" w:sz="2" w:space="0" w:color="D9D9E3"/>
                                                <w:bottom w:val="single" w:sz="2" w:space="0" w:color="D9D9E3"/>
                                                <w:right w:val="single" w:sz="2" w:space="0" w:color="D9D9E3"/>
                                              </w:divBdr>
                                              <w:divsChild>
                                                <w:div w:id="641663124">
                                                  <w:marLeft w:val="0"/>
                                                  <w:marRight w:val="0"/>
                                                  <w:marTop w:val="0"/>
                                                  <w:marBottom w:val="0"/>
                                                  <w:divBdr>
                                                    <w:top w:val="single" w:sz="2" w:space="0" w:color="D9D9E3"/>
                                                    <w:left w:val="single" w:sz="2" w:space="0" w:color="D9D9E3"/>
                                                    <w:bottom w:val="single" w:sz="2" w:space="0" w:color="D9D9E3"/>
                                                    <w:right w:val="single" w:sz="2" w:space="0" w:color="D9D9E3"/>
                                                  </w:divBdr>
                                                  <w:divsChild>
                                                    <w:div w:id="1744142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91748954">
      <w:bodyDiv w:val="1"/>
      <w:marLeft w:val="0"/>
      <w:marRight w:val="0"/>
      <w:marTop w:val="0"/>
      <w:marBottom w:val="0"/>
      <w:divBdr>
        <w:top w:val="none" w:sz="0" w:space="0" w:color="auto"/>
        <w:left w:val="none" w:sz="0" w:space="0" w:color="auto"/>
        <w:bottom w:val="none" w:sz="0" w:space="0" w:color="auto"/>
        <w:right w:val="none" w:sz="0" w:space="0" w:color="auto"/>
      </w:divBdr>
    </w:div>
    <w:div w:id="1522285277">
      <w:bodyDiv w:val="1"/>
      <w:marLeft w:val="0"/>
      <w:marRight w:val="0"/>
      <w:marTop w:val="0"/>
      <w:marBottom w:val="0"/>
      <w:divBdr>
        <w:top w:val="none" w:sz="0" w:space="0" w:color="auto"/>
        <w:left w:val="none" w:sz="0" w:space="0" w:color="auto"/>
        <w:bottom w:val="none" w:sz="0" w:space="0" w:color="auto"/>
        <w:right w:val="none" w:sz="0" w:space="0" w:color="auto"/>
      </w:divBdr>
      <w:divsChild>
        <w:div w:id="2078437553">
          <w:marLeft w:val="0"/>
          <w:marRight w:val="0"/>
          <w:marTop w:val="0"/>
          <w:marBottom w:val="0"/>
          <w:divBdr>
            <w:top w:val="none" w:sz="0" w:space="0" w:color="auto"/>
            <w:left w:val="none" w:sz="0" w:space="0" w:color="auto"/>
            <w:bottom w:val="none" w:sz="0" w:space="0" w:color="auto"/>
            <w:right w:val="none" w:sz="0" w:space="0" w:color="auto"/>
          </w:divBdr>
          <w:divsChild>
            <w:div w:id="664434292">
              <w:marLeft w:val="0"/>
              <w:marRight w:val="0"/>
              <w:marTop w:val="0"/>
              <w:marBottom w:val="0"/>
              <w:divBdr>
                <w:top w:val="none" w:sz="0" w:space="0" w:color="auto"/>
                <w:left w:val="none" w:sz="0" w:space="0" w:color="auto"/>
                <w:bottom w:val="none" w:sz="0" w:space="0" w:color="auto"/>
                <w:right w:val="none" w:sz="0" w:space="0" w:color="auto"/>
              </w:divBdr>
              <w:divsChild>
                <w:div w:id="1448350485">
                  <w:marLeft w:val="0"/>
                  <w:marRight w:val="0"/>
                  <w:marTop w:val="0"/>
                  <w:marBottom w:val="0"/>
                  <w:divBdr>
                    <w:top w:val="none" w:sz="0" w:space="0" w:color="auto"/>
                    <w:left w:val="none" w:sz="0" w:space="0" w:color="auto"/>
                    <w:bottom w:val="none" w:sz="0" w:space="0" w:color="auto"/>
                    <w:right w:val="none" w:sz="0" w:space="0" w:color="auto"/>
                  </w:divBdr>
                  <w:divsChild>
                    <w:div w:id="1935623705">
                      <w:marLeft w:val="0"/>
                      <w:marRight w:val="0"/>
                      <w:marTop w:val="0"/>
                      <w:marBottom w:val="0"/>
                      <w:divBdr>
                        <w:top w:val="none" w:sz="0" w:space="0" w:color="auto"/>
                        <w:left w:val="none" w:sz="0" w:space="0" w:color="auto"/>
                        <w:bottom w:val="none" w:sz="0" w:space="0" w:color="auto"/>
                        <w:right w:val="none" w:sz="0" w:space="0" w:color="auto"/>
                      </w:divBdr>
                      <w:divsChild>
                        <w:div w:id="1004550961">
                          <w:marLeft w:val="0"/>
                          <w:marRight w:val="0"/>
                          <w:marTop w:val="0"/>
                          <w:marBottom w:val="0"/>
                          <w:divBdr>
                            <w:top w:val="none" w:sz="0" w:space="0" w:color="auto"/>
                            <w:left w:val="none" w:sz="0" w:space="0" w:color="auto"/>
                            <w:bottom w:val="none" w:sz="0" w:space="0" w:color="auto"/>
                            <w:right w:val="none" w:sz="0" w:space="0" w:color="auto"/>
                          </w:divBdr>
                          <w:divsChild>
                            <w:div w:id="175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3776">
      <w:bodyDiv w:val="1"/>
      <w:marLeft w:val="0"/>
      <w:marRight w:val="0"/>
      <w:marTop w:val="0"/>
      <w:marBottom w:val="0"/>
      <w:divBdr>
        <w:top w:val="none" w:sz="0" w:space="0" w:color="auto"/>
        <w:left w:val="none" w:sz="0" w:space="0" w:color="auto"/>
        <w:bottom w:val="none" w:sz="0" w:space="0" w:color="auto"/>
        <w:right w:val="none" w:sz="0" w:space="0" w:color="auto"/>
      </w:divBdr>
    </w:div>
    <w:div w:id="1549147236">
      <w:bodyDiv w:val="1"/>
      <w:marLeft w:val="0"/>
      <w:marRight w:val="0"/>
      <w:marTop w:val="0"/>
      <w:marBottom w:val="0"/>
      <w:divBdr>
        <w:top w:val="none" w:sz="0" w:space="0" w:color="auto"/>
        <w:left w:val="none" w:sz="0" w:space="0" w:color="auto"/>
        <w:bottom w:val="none" w:sz="0" w:space="0" w:color="auto"/>
        <w:right w:val="none" w:sz="0" w:space="0" w:color="auto"/>
      </w:divBdr>
    </w:div>
    <w:div w:id="1556310392">
      <w:bodyDiv w:val="1"/>
      <w:marLeft w:val="0"/>
      <w:marRight w:val="0"/>
      <w:marTop w:val="0"/>
      <w:marBottom w:val="0"/>
      <w:divBdr>
        <w:top w:val="none" w:sz="0" w:space="0" w:color="auto"/>
        <w:left w:val="none" w:sz="0" w:space="0" w:color="auto"/>
        <w:bottom w:val="none" w:sz="0" w:space="0" w:color="auto"/>
        <w:right w:val="none" w:sz="0" w:space="0" w:color="auto"/>
      </w:divBdr>
    </w:div>
    <w:div w:id="1589073497">
      <w:bodyDiv w:val="1"/>
      <w:marLeft w:val="0"/>
      <w:marRight w:val="0"/>
      <w:marTop w:val="0"/>
      <w:marBottom w:val="0"/>
      <w:divBdr>
        <w:top w:val="none" w:sz="0" w:space="0" w:color="auto"/>
        <w:left w:val="none" w:sz="0" w:space="0" w:color="auto"/>
        <w:bottom w:val="none" w:sz="0" w:space="0" w:color="auto"/>
        <w:right w:val="none" w:sz="0" w:space="0" w:color="auto"/>
      </w:divBdr>
    </w:div>
    <w:div w:id="1640497882">
      <w:bodyDiv w:val="1"/>
      <w:marLeft w:val="0"/>
      <w:marRight w:val="0"/>
      <w:marTop w:val="0"/>
      <w:marBottom w:val="0"/>
      <w:divBdr>
        <w:top w:val="none" w:sz="0" w:space="0" w:color="auto"/>
        <w:left w:val="none" w:sz="0" w:space="0" w:color="auto"/>
        <w:bottom w:val="none" w:sz="0" w:space="0" w:color="auto"/>
        <w:right w:val="none" w:sz="0" w:space="0" w:color="auto"/>
      </w:divBdr>
    </w:div>
    <w:div w:id="1671054998">
      <w:bodyDiv w:val="1"/>
      <w:marLeft w:val="0"/>
      <w:marRight w:val="0"/>
      <w:marTop w:val="0"/>
      <w:marBottom w:val="0"/>
      <w:divBdr>
        <w:top w:val="none" w:sz="0" w:space="0" w:color="auto"/>
        <w:left w:val="none" w:sz="0" w:space="0" w:color="auto"/>
        <w:bottom w:val="none" w:sz="0" w:space="0" w:color="auto"/>
        <w:right w:val="none" w:sz="0" w:space="0" w:color="auto"/>
      </w:divBdr>
    </w:div>
    <w:div w:id="1737706397">
      <w:bodyDiv w:val="1"/>
      <w:marLeft w:val="0"/>
      <w:marRight w:val="0"/>
      <w:marTop w:val="0"/>
      <w:marBottom w:val="0"/>
      <w:divBdr>
        <w:top w:val="none" w:sz="0" w:space="0" w:color="auto"/>
        <w:left w:val="none" w:sz="0" w:space="0" w:color="auto"/>
        <w:bottom w:val="none" w:sz="0" w:space="0" w:color="auto"/>
        <w:right w:val="none" w:sz="0" w:space="0" w:color="auto"/>
      </w:divBdr>
      <w:divsChild>
        <w:div w:id="1937249851">
          <w:marLeft w:val="0"/>
          <w:marRight w:val="0"/>
          <w:marTop w:val="0"/>
          <w:marBottom w:val="0"/>
          <w:divBdr>
            <w:top w:val="single" w:sz="2" w:space="0" w:color="auto"/>
            <w:left w:val="single" w:sz="2" w:space="0" w:color="auto"/>
            <w:bottom w:val="single" w:sz="6" w:space="0" w:color="auto"/>
            <w:right w:val="single" w:sz="2" w:space="0" w:color="auto"/>
          </w:divBdr>
          <w:divsChild>
            <w:div w:id="228730649">
              <w:marLeft w:val="0"/>
              <w:marRight w:val="0"/>
              <w:marTop w:val="100"/>
              <w:marBottom w:val="100"/>
              <w:divBdr>
                <w:top w:val="single" w:sz="2" w:space="0" w:color="D9D9E3"/>
                <w:left w:val="single" w:sz="2" w:space="0" w:color="D9D9E3"/>
                <w:bottom w:val="single" w:sz="2" w:space="0" w:color="D9D9E3"/>
                <w:right w:val="single" w:sz="2" w:space="0" w:color="D9D9E3"/>
              </w:divBdr>
              <w:divsChild>
                <w:div w:id="787894408">
                  <w:marLeft w:val="0"/>
                  <w:marRight w:val="0"/>
                  <w:marTop w:val="0"/>
                  <w:marBottom w:val="0"/>
                  <w:divBdr>
                    <w:top w:val="single" w:sz="2" w:space="0" w:color="D9D9E3"/>
                    <w:left w:val="single" w:sz="2" w:space="0" w:color="D9D9E3"/>
                    <w:bottom w:val="single" w:sz="2" w:space="0" w:color="D9D9E3"/>
                    <w:right w:val="single" w:sz="2" w:space="0" w:color="D9D9E3"/>
                  </w:divBdr>
                  <w:divsChild>
                    <w:div w:id="1230380792">
                      <w:marLeft w:val="0"/>
                      <w:marRight w:val="0"/>
                      <w:marTop w:val="0"/>
                      <w:marBottom w:val="0"/>
                      <w:divBdr>
                        <w:top w:val="single" w:sz="2" w:space="0" w:color="D9D9E3"/>
                        <w:left w:val="single" w:sz="2" w:space="0" w:color="D9D9E3"/>
                        <w:bottom w:val="single" w:sz="2" w:space="0" w:color="D9D9E3"/>
                        <w:right w:val="single" w:sz="2" w:space="0" w:color="D9D9E3"/>
                      </w:divBdr>
                      <w:divsChild>
                        <w:div w:id="1348364424">
                          <w:marLeft w:val="0"/>
                          <w:marRight w:val="0"/>
                          <w:marTop w:val="0"/>
                          <w:marBottom w:val="0"/>
                          <w:divBdr>
                            <w:top w:val="single" w:sz="2" w:space="0" w:color="D9D9E3"/>
                            <w:left w:val="single" w:sz="2" w:space="0" w:color="D9D9E3"/>
                            <w:bottom w:val="single" w:sz="2" w:space="0" w:color="D9D9E3"/>
                            <w:right w:val="single" w:sz="2" w:space="0" w:color="D9D9E3"/>
                          </w:divBdr>
                          <w:divsChild>
                            <w:div w:id="1753697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4663125">
      <w:bodyDiv w:val="1"/>
      <w:marLeft w:val="0"/>
      <w:marRight w:val="0"/>
      <w:marTop w:val="0"/>
      <w:marBottom w:val="0"/>
      <w:divBdr>
        <w:top w:val="none" w:sz="0" w:space="0" w:color="auto"/>
        <w:left w:val="none" w:sz="0" w:space="0" w:color="auto"/>
        <w:bottom w:val="none" w:sz="0" w:space="0" w:color="auto"/>
        <w:right w:val="none" w:sz="0" w:space="0" w:color="auto"/>
      </w:divBdr>
    </w:div>
    <w:div w:id="1775199675">
      <w:bodyDiv w:val="1"/>
      <w:marLeft w:val="0"/>
      <w:marRight w:val="0"/>
      <w:marTop w:val="0"/>
      <w:marBottom w:val="0"/>
      <w:divBdr>
        <w:top w:val="none" w:sz="0" w:space="0" w:color="auto"/>
        <w:left w:val="none" w:sz="0" w:space="0" w:color="auto"/>
        <w:bottom w:val="none" w:sz="0" w:space="0" w:color="auto"/>
        <w:right w:val="none" w:sz="0" w:space="0" w:color="auto"/>
      </w:divBdr>
      <w:divsChild>
        <w:div w:id="1771388555">
          <w:marLeft w:val="0"/>
          <w:marRight w:val="0"/>
          <w:marTop w:val="0"/>
          <w:marBottom w:val="0"/>
          <w:divBdr>
            <w:top w:val="none" w:sz="0" w:space="0" w:color="auto"/>
            <w:left w:val="none" w:sz="0" w:space="0" w:color="auto"/>
            <w:bottom w:val="none" w:sz="0" w:space="0" w:color="auto"/>
            <w:right w:val="none" w:sz="0" w:space="0" w:color="auto"/>
          </w:divBdr>
          <w:divsChild>
            <w:div w:id="659968732">
              <w:marLeft w:val="0"/>
              <w:marRight w:val="0"/>
              <w:marTop w:val="0"/>
              <w:marBottom w:val="0"/>
              <w:divBdr>
                <w:top w:val="none" w:sz="0" w:space="0" w:color="auto"/>
                <w:left w:val="none" w:sz="0" w:space="0" w:color="auto"/>
                <w:bottom w:val="none" w:sz="0" w:space="0" w:color="auto"/>
                <w:right w:val="none" w:sz="0" w:space="0" w:color="auto"/>
              </w:divBdr>
              <w:divsChild>
                <w:div w:id="480197050">
                  <w:marLeft w:val="0"/>
                  <w:marRight w:val="0"/>
                  <w:marTop w:val="0"/>
                  <w:marBottom w:val="0"/>
                  <w:divBdr>
                    <w:top w:val="none" w:sz="0" w:space="0" w:color="auto"/>
                    <w:left w:val="none" w:sz="0" w:space="0" w:color="auto"/>
                    <w:bottom w:val="none" w:sz="0" w:space="0" w:color="auto"/>
                    <w:right w:val="none" w:sz="0" w:space="0" w:color="auto"/>
                  </w:divBdr>
                  <w:divsChild>
                    <w:div w:id="19056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968827">
      <w:bodyDiv w:val="1"/>
      <w:marLeft w:val="0"/>
      <w:marRight w:val="0"/>
      <w:marTop w:val="0"/>
      <w:marBottom w:val="0"/>
      <w:divBdr>
        <w:top w:val="none" w:sz="0" w:space="0" w:color="auto"/>
        <w:left w:val="none" w:sz="0" w:space="0" w:color="auto"/>
        <w:bottom w:val="none" w:sz="0" w:space="0" w:color="auto"/>
        <w:right w:val="none" w:sz="0" w:space="0" w:color="auto"/>
      </w:divBdr>
    </w:div>
    <w:div w:id="1860779579">
      <w:bodyDiv w:val="1"/>
      <w:marLeft w:val="0"/>
      <w:marRight w:val="0"/>
      <w:marTop w:val="0"/>
      <w:marBottom w:val="0"/>
      <w:divBdr>
        <w:top w:val="none" w:sz="0" w:space="0" w:color="auto"/>
        <w:left w:val="none" w:sz="0" w:space="0" w:color="auto"/>
        <w:bottom w:val="none" w:sz="0" w:space="0" w:color="auto"/>
        <w:right w:val="none" w:sz="0" w:space="0" w:color="auto"/>
      </w:divBdr>
    </w:div>
    <w:div w:id="1942567029">
      <w:bodyDiv w:val="1"/>
      <w:marLeft w:val="0"/>
      <w:marRight w:val="0"/>
      <w:marTop w:val="0"/>
      <w:marBottom w:val="0"/>
      <w:divBdr>
        <w:top w:val="none" w:sz="0" w:space="0" w:color="auto"/>
        <w:left w:val="none" w:sz="0" w:space="0" w:color="auto"/>
        <w:bottom w:val="none" w:sz="0" w:space="0" w:color="auto"/>
        <w:right w:val="none" w:sz="0" w:space="0" w:color="auto"/>
      </w:divBdr>
    </w:div>
    <w:div w:id="1972784461">
      <w:bodyDiv w:val="1"/>
      <w:marLeft w:val="0"/>
      <w:marRight w:val="0"/>
      <w:marTop w:val="0"/>
      <w:marBottom w:val="0"/>
      <w:divBdr>
        <w:top w:val="none" w:sz="0" w:space="0" w:color="auto"/>
        <w:left w:val="none" w:sz="0" w:space="0" w:color="auto"/>
        <w:bottom w:val="none" w:sz="0" w:space="0" w:color="auto"/>
        <w:right w:val="none" w:sz="0" w:space="0" w:color="auto"/>
      </w:divBdr>
    </w:div>
    <w:div w:id="1986464907">
      <w:bodyDiv w:val="1"/>
      <w:marLeft w:val="0"/>
      <w:marRight w:val="0"/>
      <w:marTop w:val="0"/>
      <w:marBottom w:val="0"/>
      <w:divBdr>
        <w:top w:val="none" w:sz="0" w:space="0" w:color="auto"/>
        <w:left w:val="none" w:sz="0" w:space="0" w:color="auto"/>
        <w:bottom w:val="none" w:sz="0" w:space="0" w:color="auto"/>
        <w:right w:val="none" w:sz="0" w:space="0" w:color="auto"/>
      </w:divBdr>
    </w:div>
    <w:div w:id="2027972930">
      <w:bodyDiv w:val="1"/>
      <w:marLeft w:val="0"/>
      <w:marRight w:val="0"/>
      <w:marTop w:val="0"/>
      <w:marBottom w:val="0"/>
      <w:divBdr>
        <w:top w:val="none" w:sz="0" w:space="0" w:color="auto"/>
        <w:left w:val="none" w:sz="0" w:space="0" w:color="auto"/>
        <w:bottom w:val="none" w:sz="0" w:space="0" w:color="auto"/>
        <w:right w:val="none" w:sz="0" w:space="0" w:color="auto"/>
      </w:divBdr>
      <w:divsChild>
        <w:div w:id="1547519915">
          <w:marLeft w:val="0"/>
          <w:marRight w:val="0"/>
          <w:marTop w:val="0"/>
          <w:marBottom w:val="0"/>
          <w:divBdr>
            <w:top w:val="single" w:sz="2" w:space="0" w:color="auto"/>
            <w:left w:val="single" w:sz="2" w:space="0" w:color="auto"/>
            <w:bottom w:val="single" w:sz="6" w:space="0" w:color="auto"/>
            <w:right w:val="single" w:sz="2" w:space="0" w:color="auto"/>
          </w:divBdr>
          <w:divsChild>
            <w:div w:id="52780985">
              <w:marLeft w:val="0"/>
              <w:marRight w:val="0"/>
              <w:marTop w:val="100"/>
              <w:marBottom w:val="100"/>
              <w:divBdr>
                <w:top w:val="single" w:sz="2" w:space="0" w:color="D9D9E3"/>
                <w:left w:val="single" w:sz="2" w:space="0" w:color="D9D9E3"/>
                <w:bottom w:val="single" w:sz="2" w:space="0" w:color="D9D9E3"/>
                <w:right w:val="single" w:sz="2" w:space="0" w:color="D9D9E3"/>
              </w:divBdr>
              <w:divsChild>
                <w:div w:id="377901569">
                  <w:marLeft w:val="0"/>
                  <w:marRight w:val="0"/>
                  <w:marTop w:val="0"/>
                  <w:marBottom w:val="0"/>
                  <w:divBdr>
                    <w:top w:val="single" w:sz="2" w:space="0" w:color="D9D9E3"/>
                    <w:left w:val="single" w:sz="2" w:space="0" w:color="D9D9E3"/>
                    <w:bottom w:val="single" w:sz="2" w:space="0" w:color="D9D9E3"/>
                    <w:right w:val="single" w:sz="2" w:space="0" w:color="D9D9E3"/>
                  </w:divBdr>
                  <w:divsChild>
                    <w:div w:id="1314019595">
                      <w:marLeft w:val="0"/>
                      <w:marRight w:val="0"/>
                      <w:marTop w:val="0"/>
                      <w:marBottom w:val="0"/>
                      <w:divBdr>
                        <w:top w:val="single" w:sz="2" w:space="0" w:color="D9D9E3"/>
                        <w:left w:val="single" w:sz="2" w:space="0" w:color="D9D9E3"/>
                        <w:bottom w:val="single" w:sz="2" w:space="0" w:color="D9D9E3"/>
                        <w:right w:val="single" w:sz="2" w:space="0" w:color="D9D9E3"/>
                      </w:divBdr>
                      <w:divsChild>
                        <w:div w:id="1019699345">
                          <w:marLeft w:val="0"/>
                          <w:marRight w:val="0"/>
                          <w:marTop w:val="0"/>
                          <w:marBottom w:val="0"/>
                          <w:divBdr>
                            <w:top w:val="single" w:sz="2" w:space="0" w:color="D9D9E3"/>
                            <w:left w:val="single" w:sz="2" w:space="0" w:color="D9D9E3"/>
                            <w:bottom w:val="single" w:sz="2" w:space="0" w:color="D9D9E3"/>
                            <w:right w:val="single" w:sz="2" w:space="0" w:color="D9D9E3"/>
                          </w:divBdr>
                          <w:divsChild>
                            <w:div w:id="1393850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41196342">
      <w:bodyDiv w:val="1"/>
      <w:marLeft w:val="0"/>
      <w:marRight w:val="0"/>
      <w:marTop w:val="0"/>
      <w:marBottom w:val="0"/>
      <w:divBdr>
        <w:top w:val="none" w:sz="0" w:space="0" w:color="auto"/>
        <w:left w:val="none" w:sz="0" w:space="0" w:color="auto"/>
        <w:bottom w:val="none" w:sz="0" w:space="0" w:color="auto"/>
        <w:right w:val="none" w:sz="0" w:space="0" w:color="auto"/>
      </w:divBdr>
    </w:div>
    <w:div w:id="2065249684">
      <w:bodyDiv w:val="1"/>
      <w:marLeft w:val="0"/>
      <w:marRight w:val="0"/>
      <w:marTop w:val="0"/>
      <w:marBottom w:val="0"/>
      <w:divBdr>
        <w:top w:val="none" w:sz="0" w:space="0" w:color="auto"/>
        <w:left w:val="none" w:sz="0" w:space="0" w:color="auto"/>
        <w:bottom w:val="none" w:sz="0" w:space="0" w:color="auto"/>
        <w:right w:val="none" w:sz="0" w:space="0" w:color="auto"/>
      </w:divBdr>
    </w:div>
    <w:div w:id="2096128209">
      <w:bodyDiv w:val="1"/>
      <w:marLeft w:val="0"/>
      <w:marRight w:val="0"/>
      <w:marTop w:val="0"/>
      <w:marBottom w:val="0"/>
      <w:divBdr>
        <w:top w:val="none" w:sz="0" w:space="0" w:color="auto"/>
        <w:left w:val="none" w:sz="0" w:space="0" w:color="auto"/>
        <w:bottom w:val="none" w:sz="0" w:space="0" w:color="auto"/>
        <w:right w:val="none" w:sz="0" w:space="0" w:color="auto"/>
      </w:divBdr>
      <w:divsChild>
        <w:div w:id="1079909131">
          <w:marLeft w:val="0"/>
          <w:marRight w:val="0"/>
          <w:marTop w:val="0"/>
          <w:marBottom w:val="0"/>
          <w:divBdr>
            <w:top w:val="none" w:sz="0" w:space="0" w:color="auto"/>
            <w:left w:val="none" w:sz="0" w:space="0" w:color="auto"/>
            <w:bottom w:val="none" w:sz="0" w:space="0" w:color="auto"/>
            <w:right w:val="none" w:sz="0" w:space="0" w:color="auto"/>
          </w:divBdr>
          <w:divsChild>
            <w:div w:id="1950966759">
              <w:marLeft w:val="0"/>
              <w:marRight w:val="0"/>
              <w:marTop w:val="0"/>
              <w:marBottom w:val="0"/>
              <w:divBdr>
                <w:top w:val="none" w:sz="0" w:space="0" w:color="auto"/>
                <w:left w:val="none" w:sz="0" w:space="0" w:color="auto"/>
                <w:bottom w:val="none" w:sz="0" w:space="0" w:color="auto"/>
                <w:right w:val="none" w:sz="0" w:space="0" w:color="auto"/>
              </w:divBdr>
              <w:divsChild>
                <w:div w:id="1640457479">
                  <w:marLeft w:val="0"/>
                  <w:marRight w:val="0"/>
                  <w:marTop w:val="0"/>
                  <w:marBottom w:val="0"/>
                  <w:divBdr>
                    <w:top w:val="none" w:sz="0" w:space="0" w:color="auto"/>
                    <w:left w:val="none" w:sz="0" w:space="0" w:color="auto"/>
                    <w:bottom w:val="none" w:sz="0" w:space="0" w:color="auto"/>
                    <w:right w:val="none" w:sz="0" w:space="0" w:color="auto"/>
                  </w:divBdr>
                  <w:divsChild>
                    <w:div w:id="18144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1347">
      <w:bodyDiv w:val="1"/>
      <w:marLeft w:val="0"/>
      <w:marRight w:val="0"/>
      <w:marTop w:val="0"/>
      <w:marBottom w:val="0"/>
      <w:divBdr>
        <w:top w:val="none" w:sz="0" w:space="0" w:color="auto"/>
        <w:left w:val="none" w:sz="0" w:space="0" w:color="auto"/>
        <w:bottom w:val="none" w:sz="0" w:space="0" w:color="auto"/>
        <w:right w:val="none" w:sz="0" w:space="0" w:color="auto"/>
      </w:divBdr>
      <w:divsChild>
        <w:div w:id="1867253670">
          <w:marLeft w:val="0"/>
          <w:marRight w:val="0"/>
          <w:marTop w:val="0"/>
          <w:marBottom w:val="0"/>
          <w:divBdr>
            <w:top w:val="single" w:sz="2" w:space="0" w:color="auto"/>
            <w:left w:val="single" w:sz="2" w:space="0" w:color="auto"/>
            <w:bottom w:val="single" w:sz="6" w:space="0" w:color="auto"/>
            <w:right w:val="single" w:sz="2" w:space="0" w:color="auto"/>
          </w:divBdr>
          <w:divsChild>
            <w:div w:id="583032531">
              <w:marLeft w:val="0"/>
              <w:marRight w:val="0"/>
              <w:marTop w:val="100"/>
              <w:marBottom w:val="100"/>
              <w:divBdr>
                <w:top w:val="single" w:sz="2" w:space="0" w:color="D9D9E3"/>
                <w:left w:val="single" w:sz="2" w:space="0" w:color="D9D9E3"/>
                <w:bottom w:val="single" w:sz="2" w:space="0" w:color="D9D9E3"/>
                <w:right w:val="single" w:sz="2" w:space="0" w:color="D9D9E3"/>
              </w:divBdr>
              <w:divsChild>
                <w:div w:id="1198153659">
                  <w:marLeft w:val="0"/>
                  <w:marRight w:val="0"/>
                  <w:marTop w:val="0"/>
                  <w:marBottom w:val="0"/>
                  <w:divBdr>
                    <w:top w:val="single" w:sz="2" w:space="0" w:color="D9D9E3"/>
                    <w:left w:val="single" w:sz="2" w:space="0" w:color="D9D9E3"/>
                    <w:bottom w:val="single" w:sz="2" w:space="0" w:color="D9D9E3"/>
                    <w:right w:val="single" w:sz="2" w:space="0" w:color="D9D9E3"/>
                  </w:divBdr>
                  <w:divsChild>
                    <w:div w:id="1224364446">
                      <w:marLeft w:val="0"/>
                      <w:marRight w:val="0"/>
                      <w:marTop w:val="0"/>
                      <w:marBottom w:val="0"/>
                      <w:divBdr>
                        <w:top w:val="single" w:sz="2" w:space="0" w:color="D9D9E3"/>
                        <w:left w:val="single" w:sz="2" w:space="0" w:color="D9D9E3"/>
                        <w:bottom w:val="single" w:sz="2" w:space="0" w:color="D9D9E3"/>
                        <w:right w:val="single" w:sz="2" w:space="0" w:color="D9D9E3"/>
                      </w:divBdr>
                      <w:divsChild>
                        <w:div w:id="2039811552">
                          <w:marLeft w:val="0"/>
                          <w:marRight w:val="0"/>
                          <w:marTop w:val="0"/>
                          <w:marBottom w:val="0"/>
                          <w:divBdr>
                            <w:top w:val="single" w:sz="2" w:space="0" w:color="D9D9E3"/>
                            <w:left w:val="single" w:sz="2" w:space="0" w:color="D9D9E3"/>
                            <w:bottom w:val="single" w:sz="2" w:space="0" w:color="D9D9E3"/>
                            <w:right w:val="single" w:sz="2" w:space="0" w:color="D9D9E3"/>
                          </w:divBdr>
                          <w:divsChild>
                            <w:div w:id="258567342">
                              <w:marLeft w:val="0"/>
                              <w:marRight w:val="0"/>
                              <w:marTop w:val="0"/>
                              <w:marBottom w:val="0"/>
                              <w:divBdr>
                                <w:top w:val="single" w:sz="2" w:space="0" w:color="D9D9E3"/>
                                <w:left w:val="single" w:sz="2" w:space="0" w:color="D9D9E3"/>
                                <w:bottom w:val="single" w:sz="2" w:space="0" w:color="D9D9E3"/>
                                <w:right w:val="single" w:sz="2" w:space="0" w:color="D9D9E3"/>
                              </w:divBdr>
                              <w:divsChild>
                                <w:div w:id="307052992">
                                  <w:marLeft w:val="0"/>
                                  <w:marRight w:val="0"/>
                                  <w:marTop w:val="0"/>
                                  <w:marBottom w:val="0"/>
                                  <w:divBdr>
                                    <w:top w:val="single" w:sz="2" w:space="0" w:color="D9D9E3"/>
                                    <w:left w:val="single" w:sz="2" w:space="0" w:color="D9D9E3"/>
                                    <w:bottom w:val="single" w:sz="2" w:space="0" w:color="D9D9E3"/>
                                    <w:right w:val="single" w:sz="2" w:space="0" w:color="D9D9E3"/>
                                  </w:divBdr>
                                  <w:divsChild>
                                    <w:div w:id="16063829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12124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doi.org/10.1111/j.1468-2370.2005.00105.x" TargetMode="External"/><Relationship Id="rId39" Type="http://schemas.openxmlformats.org/officeDocument/2006/relationships/fontTable" Target="fontTable.xml"/><Relationship Id="rId21" Type="http://schemas.openxmlformats.org/officeDocument/2006/relationships/hyperlink" Target="https://charteredabs.org/academic-journal-guide-2021/" TargetMode="External"/><Relationship Id="rId34" Type="http://schemas.openxmlformats.org/officeDocument/2006/relationships/hyperlink" Target="https://www.gov.uk/government/statistics/company-insolvency-statistics-april-to-june-2023/commentary-company-insolvency-statistics-april-to-june-202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yperlink" Target="https://doi.org/10.1016/j.jclepro.2019.04.303" TargetMode="External"/><Relationship Id="rId33" Type="http://schemas.openxmlformats.org/officeDocument/2006/relationships/hyperlink" Target="https://doi.org/10.1016/j.ijproman.2005.02.002" TargetMode="External"/><Relationship Id="rId38" Type="http://schemas.openxmlformats.org/officeDocument/2006/relationships/hyperlink" Target="https://doi.org/10.1016/j.technovation.2008.10.001"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1.xml"/><Relationship Id="rId29" Type="http://schemas.openxmlformats.org/officeDocument/2006/relationships/hyperlink" Target="https://doi.org/10.1016/j.jclepro.2013.07.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oi.org/10.1016/j.emj.2020.11.002" TargetMode="External"/><Relationship Id="rId32" Type="http://schemas.openxmlformats.org/officeDocument/2006/relationships/hyperlink" Target="https://doi.org/10.1787/8d707502-en" TargetMode="External"/><Relationship Id="rId37" Type="http://schemas.openxmlformats.org/officeDocument/2006/relationships/hyperlink" Target="https://doi.org/10.1016/j.ijproman.2013.03.004"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s://www.bbc.co.uk/news/uk-politics-66998692" TargetMode="External"/><Relationship Id="rId28" Type="http://schemas.openxmlformats.org/officeDocument/2006/relationships/hyperlink" Target="https://doi.org/10.1016/j.ijpe.2009.07.002" TargetMode="External"/><Relationship Id="rId36" Type="http://schemas.openxmlformats.org/officeDocument/2006/relationships/hyperlink" Target="https://doi.org/10.1016/j.cie.2018.11.045"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doi.org/10.1016/j.pursup.2015.02.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doi.org/10.1016/j.jclepro.2016.11.023" TargetMode="External"/><Relationship Id="rId27" Type="http://schemas.openxmlformats.org/officeDocument/2006/relationships/hyperlink" Target="https://doi.org/10.1016/j.ijpe.2015.06.032" TargetMode="External"/><Relationship Id="rId30" Type="http://schemas.openxmlformats.org/officeDocument/2006/relationships/hyperlink" Target="https://doi.org/10.1016/j.jclepro.2022.135230" TargetMode="External"/><Relationship Id="rId35" Type="http://schemas.openxmlformats.org/officeDocument/2006/relationships/hyperlink" Target="https://doi.org/10.1016/j.jclepro.2008.04.02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8337352362204728E-2"/>
          <c:y val="9.1271524897174897E-2"/>
          <c:w val="0.90445952263779528"/>
          <c:h val="0.7777530894590865"/>
        </c:manualLayout>
      </c:layout>
      <c:barChart>
        <c:barDir val="col"/>
        <c:grouping val="clustered"/>
        <c:varyColors val="0"/>
        <c:ser>
          <c:idx val="0"/>
          <c:order val="0"/>
          <c:tx>
            <c:strRef>
              <c:f>Sheet1!$B$1</c:f>
              <c:strCache>
                <c:ptCount val="1"/>
                <c:pt idx="0">
                  <c:v>系列 1</c:v>
                </c:pt>
              </c:strCache>
            </c:strRef>
          </c:tx>
          <c:spPr>
            <a:gradFill rotWithShape="1">
              <a:gsLst>
                <a:gs pos="0">
                  <a:schemeClr val="accent1">
                    <a:tint val="65000"/>
                    <a:tint val="100000"/>
                    <a:shade val="100000"/>
                    <a:satMod val="130000"/>
                  </a:schemeClr>
                </a:gs>
                <a:gs pos="100000">
                  <a:schemeClr val="accent1">
                    <a:tint val="65000"/>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 (Nov)</c:v>
                </c:pt>
              </c:strCache>
            </c:strRef>
          </c:cat>
          <c:val>
            <c:numRef>
              <c:f>Sheet1!$B$2:$B$19</c:f>
              <c:numCache>
                <c:formatCode>General</c:formatCode>
                <c:ptCount val="18"/>
                <c:pt idx="0">
                  <c:v>2</c:v>
                </c:pt>
                <c:pt idx="1">
                  <c:v>1</c:v>
                </c:pt>
                <c:pt idx="2">
                  <c:v>3</c:v>
                </c:pt>
                <c:pt idx="3">
                  <c:v>3</c:v>
                </c:pt>
                <c:pt idx="4">
                  <c:v>6</c:v>
                </c:pt>
                <c:pt idx="5">
                  <c:v>1</c:v>
                </c:pt>
                <c:pt idx="6">
                  <c:v>5</c:v>
                </c:pt>
                <c:pt idx="7">
                  <c:v>3</c:v>
                </c:pt>
                <c:pt idx="8">
                  <c:v>1</c:v>
                </c:pt>
                <c:pt idx="9">
                  <c:v>3</c:v>
                </c:pt>
                <c:pt idx="10">
                  <c:v>4</c:v>
                </c:pt>
                <c:pt idx="11">
                  <c:v>8</c:v>
                </c:pt>
                <c:pt idx="12">
                  <c:v>10</c:v>
                </c:pt>
                <c:pt idx="13">
                  <c:v>6</c:v>
                </c:pt>
                <c:pt idx="14">
                  <c:v>8</c:v>
                </c:pt>
                <c:pt idx="15">
                  <c:v>18</c:v>
                </c:pt>
                <c:pt idx="16">
                  <c:v>13</c:v>
                </c:pt>
                <c:pt idx="17">
                  <c:v>11</c:v>
                </c:pt>
              </c:numCache>
            </c:numRef>
          </c:val>
          <c:extLst>
            <c:ext xmlns:c16="http://schemas.microsoft.com/office/drawing/2014/chart" uri="{C3380CC4-5D6E-409C-BE32-E72D297353CC}">
              <c16:uniqueId val="{00000000-D9FC-7B4D-870F-E36E3885B990}"/>
            </c:ext>
          </c:extLst>
        </c:ser>
        <c:ser>
          <c:idx val="1"/>
          <c:order val="1"/>
          <c:tx>
            <c:strRef>
              <c:f>Sheet1!$C$1</c:f>
              <c:strCache>
                <c:ptCount val="1"/>
                <c:pt idx="0">
                  <c:v>列2</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 (Nov)</c:v>
                </c:pt>
              </c:strCache>
            </c:strRef>
          </c:cat>
          <c:val>
            <c:numRef>
              <c:f>Sheet1!$C$2:$C$19</c:f>
              <c:numCache>
                <c:formatCode>General</c:formatCode>
                <c:ptCount val="18"/>
              </c:numCache>
            </c:numRef>
          </c:val>
          <c:extLst>
            <c:ext xmlns:c16="http://schemas.microsoft.com/office/drawing/2014/chart" uri="{C3380CC4-5D6E-409C-BE32-E72D297353CC}">
              <c16:uniqueId val="{00000001-D9FC-7B4D-870F-E36E3885B990}"/>
            </c:ext>
          </c:extLst>
        </c:ser>
        <c:dLbls>
          <c:dLblPos val="outEnd"/>
          <c:showLegendKey val="0"/>
          <c:showVal val="1"/>
          <c:showCatName val="0"/>
          <c:showSerName val="0"/>
          <c:showPercent val="0"/>
          <c:showBubbleSize val="0"/>
        </c:dLbls>
        <c:gapWidth val="269"/>
        <c:axId val="883887376"/>
        <c:axId val="883909808"/>
      </c:barChart>
      <c:lineChart>
        <c:grouping val="standard"/>
        <c:varyColors val="0"/>
        <c:ser>
          <c:idx val="2"/>
          <c:order val="2"/>
          <c:tx>
            <c:strRef>
              <c:f>Sheet1!$D$1</c:f>
              <c:strCache>
                <c:ptCount val="1"/>
                <c:pt idx="0">
                  <c:v>系列 3</c:v>
                </c:pt>
              </c:strCache>
            </c:strRef>
          </c:tx>
          <c:spPr>
            <a:ln w="31750" cap="rnd">
              <a:solidFill>
                <a:schemeClr val="accent1">
                  <a:shade val="65000"/>
                </a:schemeClr>
              </a:solidFill>
              <a:round/>
            </a:ln>
            <a:effectLst>
              <a:outerShdw blurRad="40000" dist="23000" dir="5400000" rotWithShape="0">
                <a:srgbClr val="000000">
                  <a:alpha val="35000"/>
                </a:srgbClr>
              </a:outerShdw>
            </a:effectLst>
          </c:spPr>
          <c:marker>
            <c:symbol val="none"/>
          </c:marker>
          <c:dLbls>
            <c:delete val="1"/>
          </c:dLbls>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 (Nov)</c:v>
                </c:pt>
              </c:strCache>
            </c:strRef>
          </c:cat>
          <c:val>
            <c:numRef>
              <c:f>Sheet1!$D$2:$D$19</c:f>
              <c:numCache>
                <c:formatCode>General</c:formatCode>
                <c:ptCount val="18"/>
                <c:pt idx="0">
                  <c:v>2</c:v>
                </c:pt>
                <c:pt idx="1">
                  <c:v>1</c:v>
                </c:pt>
                <c:pt idx="2">
                  <c:v>3</c:v>
                </c:pt>
                <c:pt idx="3">
                  <c:v>3</c:v>
                </c:pt>
                <c:pt idx="4">
                  <c:v>6</c:v>
                </c:pt>
                <c:pt idx="5">
                  <c:v>1</c:v>
                </c:pt>
                <c:pt idx="6">
                  <c:v>5</c:v>
                </c:pt>
                <c:pt idx="7">
                  <c:v>3</c:v>
                </c:pt>
                <c:pt idx="8">
                  <c:v>1</c:v>
                </c:pt>
                <c:pt idx="9">
                  <c:v>3</c:v>
                </c:pt>
                <c:pt idx="10">
                  <c:v>4</c:v>
                </c:pt>
                <c:pt idx="11">
                  <c:v>8</c:v>
                </c:pt>
                <c:pt idx="12">
                  <c:v>10</c:v>
                </c:pt>
                <c:pt idx="13">
                  <c:v>6</c:v>
                </c:pt>
                <c:pt idx="14">
                  <c:v>8</c:v>
                </c:pt>
                <c:pt idx="15">
                  <c:v>18</c:v>
                </c:pt>
                <c:pt idx="16">
                  <c:v>13</c:v>
                </c:pt>
                <c:pt idx="17">
                  <c:v>11</c:v>
                </c:pt>
              </c:numCache>
            </c:numRef>
          </c:val>
          <c:smooth val="0"/>
          <c:extLst>
            <c:ext xmlns:c16="http://schemas.microsoft.com/office/drawing/2014/chart" uri="{C3380CC4-5D6E-409C-BE32-E72D297353CC}">
              <c16:uniqueId val="{00000002-D9FC-7B4D-870F-E36E3885B990}"/>
            </c:ext>
          </c:extLst>
        </c:ser>
        <c:dLbls>
          <c:showLegendKey val="0"/>
          <c:showVal val="1"/>
          <c:showCatName val="0"/>
          <c:showSerName val="0"/>
          <c:showPercent val="0"/>
          <c:showBubbleSize val="0"/>
        </c:dLbls>
        <c:marker val="1"/>
        <c:smooth val="0"/>
        <c:axId val="328604303"/>
        <c:axId val="12913519"/>
      </c:lineChart>
      <c:catAx>
        <c:axId val="883887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883909808"/>
        <c:crosses val="autoZero"/>
        <c:auto val="1"/>
        <c:lblAlgn val="ctr"/>
        <c:lblOffset val="100"/>
        <c:noMultiLvlLbl val="0"/>
      </c:catAx>
      <c:valAx>
        <c:axId val="883909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papers</a:t>
                </a:r>
                <a:endParaRPr lang="zh-CN"/>
              </a:p>
            </c:rich>
          </c:tx>
          <c:layout>
            <c:manualLayout>
              <c:xMode val="edge"/>
              <c:yMode val="edge"/>
              <c:x val="6.685538013503188E-2"/>
              <c:y val="7.636728721172812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883887376"/>
        <c:crosses val="autoZero"/>
        <c:crossBetween val="between"/>
      </c:valAx>
      <c:valAx>
        <c:axId val="12913519"/>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28604303"/>
        <c:crosses val="max"/>
        <c:crossBetween val="between"/>
      </c:valAx>
      <c:catAx>
        <c:axId val="328604303"/>
        <c:scaling>
          <c:orientation val="minMax"/>
        </c:scaling>
        <c:delete val="1"/>
        <c:axPos val="b"/>
        <c:numFmt formatCode="General" sourceLinked="1"/>
        <c:majorTickMark val="none"/>
        <c:minorTickMark val="none"/>
        <c:tickLblPos val="nextTo"/>
        <c:crossAx val="1291351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8337352362204728E-2"/>
          <c:y val="9.1271524897174897E-2"/>
          <c:w val="0.90445952263779528"/>
          <c:h val="0.7777530894590865"/>
        </c:manualLayout>
      </c:layout>
      <c:barChart>
        <c:barDir val="col"/>
        <c:grouping val="clustered"/>
        <c:varyColors val="0"/>
        <c:ser>
          <c:idx val="0"/>
          <c:order val="0"/>
          <c:tx>
            <c:strRef>
              <c:f>Sheet1!$B$1</c:f>
              <c:strCache>
                <c:ptCount val="1"/>
                <c:pt idx="0">
                  <c:v>系列 1</c:v>
                </c:pt>
              </c:strCache>
            </c:strRef>
          </c:tx>
          <c:spPr>
            <a:gradFill rotWithShape="1">
              <a:gsLst>
                <a:gs pos="0">
                  <a:schemeClr val="accent1">
                    <a:tint val="65000"/>
                    <a:tint val="100000"/>
                    <a:shade val="100000"/>
                    <a:satMod val="130000"/>
                  </a:schemeClr>
                </a:gs>
                <a:gs pos="100000">
                  <a:schemeClr val="accent1">
                    <a:tint val="65000"/>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Sheet1!$A$2:$A$29</c:f>
              <c:strCache>
                <c:ptCount val="28"/>
                <c:pt idx="0">
                  <c:v>Botswana</c:v>
                </c:pt>
                <c:pt idx="1">
                  <c:v>Canada</c:v>
                </c:pt>
                <c:pt idx="2">
                  <c:v>Denmark</c:v>
                </c:pt>
                <c:pt idx="3">
                  <c:v>Norway</c:v>
                </c:pt>
                <c:pt idx="4">
                  <c:v>Qatar</c:v>
                </c:pt>
                <c:pt idx="5">
                  <c:v>Saudi Arabia</c:v>
                </c:pt>
                <c:pt idx="6">
                  <c:v>Singapore</c:v>
                </c:pt>
                <c:pt idx="7">
                  <c:v>Ukraine</c:v>
                </c:pt>
                <c:pt idx="8">
                  <c:v>Brazil</c:v>
                </c:pt>
                <c:pt idx="9">
                  <c:v>Egypt</c:v>
                </c:pt>
                <c:pt idx="10">
                  <c:v>Ghana</c:v>
                </c:pt>
                <c:pt idx="11">
                  <c:v>Pakistan</c:v>
                </c:pt>
                <c:pt idx="12">
                  <c:v>South Africa</c:v>
                </c:pt>
                <c:pt idx="13">
                  <c:v>South Korea</c:v>
                </c:pt>
                <c:pt idx="14">
                  <c:v>Sweden</c:v>
                </c:pt>
                <c:pt idx="15">
                  <c:v>The Netherlands</c:v>
                </c:pt>
                <c:pt idx="16">
                  <c:v>Indonesia</c:v>
                </c:pt>
                <c:pt idx="17">
                  <c:v>Iran</c:v>
                </c:pt>
                <c:pt idx="18">
                  <c:v>Italy</c:v>
                </c:pt>
                <c:pt idx="19">
                  <c:v>Turkey</c:v>
                </c:pt>
                <c:pt idx="20">
                  <c:v>Vietnam</c:v>
                </c:pt>
                <c:pt idx="21">
                  <c:v>France</c:v>
                </c:pt>
                <c:pt idx="22">
                  <c:v>Malaysia</c:v>
                </c:pt>
                <c:pt idx="23">
                  <c:v>India</c:v>
                </c:pt>
                <c:pt idx="24">
                  <c:v>Australia</c:v>
                </c:pt>
                <c:pt idx="25">
                  <c:v>USA</c:v>
                </c:pt>
                <c:pt idx="26">
                  <c:v>China</c:v>
                </c:pt>
                <c:pt idx="27">
                  <c:v>UK</c:v>
                </c:pt>
              </c:strCache>
            </c:strRef>
          </c:cat>
          <c:val>
            <c:numRef>
              <c:f>Sheet1!$B$2:$B$29</c:f>
              <c:numCache>
                <c:formatCode>General</c:formatCode>
                <c:ptCount val="28"/>
                <c:pt idx="0">
                  <c:v>1</c:v>
                </c:pt>
                <c:pt idx="1">
                  <c:v>1</c:v>
                </c:pt>
                <c:pt idx="2">
                  <c:v>1</c:v>
                </c:pt>
                <c:pt idx="3">
                  <c:v>1</c:v>
                </c:pt>
                <c:pt idx="4">
                  <c:v>1</c:v>
                </c:pt>
                <c:pt idx="5">
                  <c:v>1</c:v>
                </c:pt>
                <c:pt idx="6">
                  <c:v>1</c:v>
                </c:pt>
                <c:pt idx="7">
                  <c:v>1</c:v>
                </c:pt>
                <c:pt idx="8">
                  <c:v>2</c:v>
                </c:pt>
                <c:pt idx="9">
                  <c:v>2</c:v>
                </c:pt>
                <c:pt idx="10">
                  <c:v>2</c:v>
                </c:pt>
                <c:pt idx="11">
                  <c:v>2</c:v>
                </c:pt>
                <c:pt idx="12">
                  <c:v>2</c:v>
                </c:pt>
                <c:pt idx="13">
                  <c:v>2</c:v>
                </c:pt>
                <c:pt idx="14">
                  <c:v>2</c:v>
                </c:pt>
                <c:pt idx="15">
                  <c:v>2</c:v>
                </c:pt>
                <c:pt idx="16">
                  <c:v>3</c:v>
                </c:pt>
                <c:pt idx="17">
                  <c:v>3</c:v>
                </c:pt>
                <c:pt idx="18">
                  <c:v>3</c:v>
                </c:pt>
                <c:pt idx="19">
                  <c:v>3</c:v>
                </c:pt>
                <c:pt idx="20">
                  <c:v>3</c:v>
                </c:pt>
                <c:pt idx="21">
                  <c:v>4</c:v>
                </c:pt>
                <c:pt idx="22">
                  <c:v>5</c:v>
                </c:pt>
                <c:pt idx="23">
                  <c:v>8</c:v>
                </c:pt>
                <c:pt idx="24">
                  <c:v>9</c:v>
                </c:pt>
                <c:pt idx="25">
                  <c:v>9</c:v>
                </c:pt>
                <c:pt idx="26">
                  <c:v>13</c:v>
                </c:pt>
                <c:pt idx="27">
                  <c:v>19</c:v>
                </c:pt>
              </c:numCache>
            </c:numRef>
          </c:val>
          <c:extLst>
            <c:ext xmlns:c16="http://schemas.microsoft.com/office/drawing/2014/chart" uri="{C3380CC4-5D6E-409C-BE32-E72D297353CC}">
              <c16:uniqueId val="{00000000-4EAA-0F46-893E-5C3B51C9D5E4}"/>
            </c:ext>
          </c:extLst>
        </c:ser>
        <c:ser>
          <c:idx val="1"/>
          <c:order val="1"/>
          <c:tx>
            <c:strRef>
              <c:f>Sheet1!$C$1</c:f>
              <c:strCache>
                <c:ptCount val="1"/>
                <c:pt idx="0">
                  <c:v>列2</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Sheet1!$A$2:$A$29</c:f>
              <c:strCache>
                <c:ptCount val="28"/>
                <c:pt idx="0">
                  <c:v>Botswana</c:v>
                </c:pt>
                <c:pt idx="1">
                  <c:v>Canada</c:v>
                </c:pt>
                <c:pt idx="2">
                  <c:v>Denmark</c:v>
                </c:pt>
                <c:pt idx="3">
                  <c:v>Norway</c:v>
                </c:pt>
                <c:pt idx="4">
                  <c:v>Qatar</c:v>
                </c:pt>
                <c:pt idx="5">
                  <c:v>Saudi Arabia</c:v>
                </c:pt>
                <c:pt idx="6">
                  <c:v>Singapore</c:v>
                </c:pt>
                <c:pt idx="7">
                  <c:v>Ukraine</c:v>
                </c:pt>
                <c:pt idx="8">
                  <c:v>Brazil</c:v>
                </c:pt>
                <c:pt idx="9">
                  <c:v>Egypt</c:v>
                </c:pt>
                <c:pt idx="10">
                  <c:v>Ghana</c:v>
                </c:pt>
                <c:pt idx="11">
                  <c:v>Pakistan</c:v>
                </c:pt>
                <c:pt idx="12">
                  <c:v>South Africa</c:v>
                </c:pt>
                <c:pt idx="13">
                  <c:v>South Korea</c:v>
                </c:pt>
                <c:pt idx="14">
                  <c:v>Sweden</c:v>
                </c:pt>
                <c:pt idx="15">
                  <c:v>The Netherlands</c:v>
                </c:pt>
                <c:pt idx="16">
                  <c:v>Indonesia</c:v>
                </c:pt>
                <c:pt idx="17">
                  <c:v>Iran</c:v>
                </c:pt>
                <c:pt idx="18">
                  <c:v>Italy</c:v>
                </c:pt>
                <c:pt idx="19">
                  <c:v>Turkey</c:v>
                </c:pt>
                <c:pt idx="20">
                  <c:v>Vietnam</c:v>
                </c:pt>
                <c:pt idx="21">
                  <c:v>France</c:v>
                </c:pt>
                <c:pt idx="22">
                  <c:v>Malaysia</c:v>
                </c:pt>
                <c:pt idx="23">
                  <c:v>India</c:v>
                </c:pt>
                <c:pt idx="24">
                  <c:v>Australia</c:v>
                </c:pt>
                <c:pt idx="25">
                  <c:v>USA</c:v>
                </c:pt>
                <c:pt idx="26">
                  <c:v>China</c:v>
                </c:pt>
                <c:pt idx="27">
                  <c:v>UK</c:v>
                </c:pt>
              </c:strCache>
            </c:strRef>
          </c:cat>
          <c:val>
            <c:numRef>
              <c:f>Sheet1!$C$2:$C$29</c:f>
              <c:numCache>
                <c:formatCode>General</c:formatCode>
                <c:ptCount val="28"/>
              </c:numCache>
            </c:numRef>
          </c:val>
          <c:extLst>
            <c:ext xmlns:c16="http://schemas.microsoft.com/office/drawing/2014/chart" uri="{C3380CC4-5D6E-409C-BE32-E72D297353CC}">
              <c16:uniqueId val="{00000001-4EAA-0F46-893E-5C3B51C9D5E4}"/>
            </c:ext>
          </c:extLst>
        </c:ser>
        <c:dLbls>
          <c:dLblPos val="outEnd"/>
          <c:showLegendKey val="0"/>
          <c:showVal val="1"/>
          <c:showCatName val="0"/>
          <c:showSerName val="0"/>
          <c:showPercent val="0"/>
          <c:showBubbleSize val="0"/>
        </c:dLbls>
        <c:gapWidth val="269"/>
        <c:axId val="883887376"/>
        <c:axId val="883909808"/>
      </c:barChart>
      <c:lineChart>
        <c:grouping val="standard"/>
        <c:varyColors val="0"/>
        <c:ser>
          <c:idx val="2"/>
          <c:order val="2"/>
          <c:tx>
            <c:strRef>
              <c:f>Sheet1!$D$1</c:f>
              <c:strCache>
                <c:ptCount val="1"/>
                <c:pt idx="0">
                  <c:v>系列 3</c:v>
                </c:pt>
              </c:strCache>
            </c:strRef>
          </c:tx>
          <c:spPr>
            <a:ln w="31750" cap="rnd">
              <a:solidFill>
                <a:schemeClr val="accent1">
                  <a:shade val="65000"/>
                </a:schemeClr>
              </a:solidFill>
              <a:round/>
            </a:ln>
            <a:effectLst>
              <a:outerShdw blurRad="40000" dist="23000" dir="5400000" rotWithShape="0">
                <a:srgbClr val="000000">
                  <a:alpha val="35000"/>
                </a:srgbClr>
              </a:outerShdw>
            </a:effectLst>
          </c:spPr>
          <c:marker>
            <c:symbol val="none"/>
          </c:marker>
          <c:dLbls>
            <c:delete val="1"/>
          </c:dLbls>
          <c:cat>
            <c:strRef>
              <c:f>Sheet1!$A$2:$A$29</c:f>
              <c:strCache>
                <c:ptCount val="28"/>
                <c:pt idx="0">
                  <c:v>Botswana</c:v>
                </c:pt>
                <c:pt idx="1">
                  <c:v>Canada</c:v>
                </c:pt>
                <c:pt idx="2">
                  <c:v>Denmark</c:v>
                </c:pt>
                <c:pt idx="3">
                  <c:v>Norway</c:v>
                </c:pt>
                <c:pt idx="4">
                  <c:v>Qatar</c:v>
                </c:pt>
                <c:pt idx="5">
                  <c:v>Saudi Arabia</c:v>
                </c:pt>
                <c:pt idx="6">
                  <c:v>Singapore</c:v>
                </c:pt>
                <c:pt idx="7">
                  <c:v>Ukraine</c:v>
                </c:pt>
                <c:pt idx="8">
                  <c:v>Brazil</c:v>
                </c:pt>
                <c:pt idx="9">
                  <c:v>Egypt</c:v>
                </c:pt>
                <c:pt idx="10">
                  <c:v>Ghana</c:v>
                </c:pt>
                <c:pt idx="11">
                  <c:v>Pakistan</c:v>
                </c:pt>
                <c:pt idx="12">
                  <c:v>South Africa</c:v>
                </c:pt>
                <c:pt idx="13">
                  <c:v>South Korea</c:v>
                </c:pt>
                <c:pt idx="14">
                  <c:v>Sweden</c:v>
                </c:pt>
                <c:pt idx="15">
                  <c:v>The Netherlands</c:v>
                </c:pt>
                <c:pt idx="16">
                  <c:v>Indonesia</c:v>
                </c:pt>
                <c:pt idx="17">
                  <c:v>Iran</c:v>
                </c:pt>
                <c:pt idx="18">
                  <c:v>Italy</c:v>
                </c:pt>
                <c:pt idx="19">
                  <c:v>Turkey</c:v>
                </c:pt>
                <c:pt idx="20">
                  <c:v>Vietnam</c:v>
                </c:pt>
                <c:pt idx="21">
                  <c:v>France</c:v>
                </c:pt>
                <c:pt idx="22">
                  <c:v>Malaysia</c:v>
                </c:pt>
                <c:pt idx="23">
                  <c:v>India</c:v>
                </c:pt>
                <c:pt idx="24">
                  <c:v>Australia</c:v>
                </c:pt>
                <c:pt idx="25">
                  <c:v>USA</c:v>
                </c:pt>
                <c:pt idx="26">
                  <c:v>China</c:v>
                </c:pt>
                <c:pt idx="27">
                  <c:v>UK</c:v>
                </c:pt>
              </c:strCache>
            </c:strRef>
          </c:cat>
          <c:val>
            <c:numRef>
              <c:f>Sheet1!$D$2:$D$29</c:f>
              <c:numCache>
                <c:formatCode>General</c:formatCode>
                <c:ptCount val="28"/>
              </c:numCache>
            </c:numRef>
          </c:val>
          <c:smooth val="0"/>
          <c:extLst>
            <c:ext xmlns:c16="http://schemas.microsoft.com/office/drawing/2014/chart" uri="{C3380CC4-5D6E-409C-BE32-E72D297353CC}">
              <c16:uniqueId val="{00000002-4EAA-0F46-893E-5C3B51C9D5E4}"/>
            </c:ext>
          </c:extLst>
        </c:ser>
        <c:dLbls>
          <c:showLegendKey val="0"/>
          <c:showVal val="1"/>
          <c:showCatName val="0"/>
          <c:showSerName val="0"/>
          <c:showPercent val="0"/>
          <c:showBubbleSize val="0"/>
        </c:dLbls>
        <c:marker val="1"/>
        <c:smooth val="0"/>
        <c:axId val="328604303"/>
        <c:axId val="12913519"/>
      </c:lineChart>
      <c:catAx>
        <c:axId val="883887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883909808"/>
        <c:crosses val="autoZero"/>
        <c:auto val="1"/>
        <c:lblAlgn val="ctr"/>
        <c:lblOffset val="100"/>
        <c:noMultiLvlLbl val="0"/>
      </c:catAx>
      <c:valAx>
        <c:axId val="883909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papers</a:t>
                </a:r>
                <a:endParaRPr lang="zh-CN"/>
              </a:p>
            </c:rich>
          </c:tx>
          <c:layout>
            <c:manualLayout>
              <c:xMode val="edge"/>
              <c:yMode val="edge"/>
              <c:x val="6.685538013503188E-2"/>
              <c:y val="7.636728721172812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883887376"/>
        <c:crosses val="autoZero"/>
        <c:crossBetween val="between"/>
      </c:valAx>
      <c:valAx>
        <c:axId val="12913519"/>
        <c:scaling>
          <c:orientation val="minMax"/>
        </c:scaling>
        <c:delete val="1"/>
        <c:axPos val="r"/>
        <c:numFmt formatCode="General" sourceLinked="1"/>
        <c:majorTickMark val="none"/>
        <c:minorTickMark val="none"/>
        <c:tickLblPos val="nextTo"/>
        <c:crossAx val="328604303"/>
        <c:crosses val="max"/>
        <c:crossBetween val="between"/>
      </c:valAx>
      <c:catAx>
        <c:axId val="328604303"/>
        <c:scaling>
          <c:orientation val="minMax"/>
        </c:scaling>
        <c:delete val="1"/>
        <c:axPos val="b"/>
        <c:numFmt formatCode="General" sourceLinked="1"/>
        <c:majorTickMark val="none"/>
        <c:minorTickMark val="none"/>
        <c:tickLblPos val="nextTo"/>
        <c:crossAx val="1291351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Empirical</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Sheet1!$B$2:$B$19</c:f>
              <c:numCache>
                <c:formatCode>General</c:formatCode>
                <c:ptCount val="18"/>
                <c:pt idx="0">
                  <c:v>1</c:v>
                </c:pt>
                <c:pt idx="1">
                  <c:v>2</c:v>
                </c:pt>
                <c:pt idx="2">
                  <c:v>4</c:v>
                </c:pt>
                <c:pt idx="3">
                  <c:v>7</c:v>
                </c:pt>
                <c:pt idx="4">
                  <c:v>11</c:v>
                </c:pt>
                <c:pt idx="5">
                  <c:v>11</c:v>
                </c:pt>
                <c:pt idx="6">
                  <c:v>15</c:v>
                </c:pt>
                <c:pt idx="7">
                  <c:v>18</c:v>
                </c:pt>
                <c:pt idx="8">
                  <c:v>19</c:v>
                </c:pt>
                <c:pt idx="9">
                  <c:v>21</c:v>
                </c:pt>
                <c:pt idx="10">
                  <c:v>25</c:v>
                </c:pt>
                <c:pt idx="11">
                  <c:v>25</c:v>
                </c:pt>
                <c:pt idx="12">
                  <c:v>31</c:v>
                </c:pt>
                <c:pt idx="13">
                  <c:v>40</c:v>
                </c:pt>
                <c:pt idx="14">
                  <c:v>48</c:v>
                </c:pt>
                <c:pt idx="15">
                  <c:v>53</c:v>
                </c:pt>
                <c:pt idx="16">
                  <c:v>57</c:v>
                </c:pt>
                <c:pt idx="17">
                  <c:v>61</c:v>
                </c:pt>
              </c:numCache>
            </c:numRef>
          </c:val>
          <c:smooth val="0"/>
          <c:extLst>
            <c:ext xmlns:c16="http://schemas.microsoft.com/office/drawing/2014/chart" uri="{C3380CC4-5D6E-409C-BE32-E72D297353CC}">
              <c16:uniqueId val="{00000000-5DAE-B249-AD4B-B1D355D26C95}"/>
            </c:ext>
          </c:extLst>
        </c:ser>
        <c:ser>
          <c:idx val="1"/>
          <c:order val="1"/>
          <c:tx>
            <c:strRef>
              <c:f>Sheet1!$C$1</c:f>
              <c:strCache>
                <c:ptCount val="1"/>
                <c:pt idx="0">
                  <c:v>Conceptual</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Sheet1!$C$2:$C$19</c:f>
              <c:numCache>
                <c:formatCode>General</c:formatCode>
                <c:ptCount val="18"/>
                <c:pt idx="0">
                  <c:v>1</c:v>
                </c:pt>
                <c:pt idx="1">
                  <c:v>1</c:v>
                </c:pt>
                <c:pt idx="2">
                  <c:v>1</c:v>
                </c:pt>
                <c:pt idx="3">
                  <c:v>1</c:v>
                </c:pt>
                <c:pt idx="4">
                  <c:v>2</c:v>
                </c:pt>
                <c:pt idx="5">
                  <c:v>2</c:v>
                </c:pt>
                <c:pt idx="6">
                  <c:v>3</c:v>
                </c:pt>
                <c:pt idx="7">
                  <c:v>3</c:v>
                </c:pt>
                <c:pt idx="8">
                  <c:v>3</c:v>
                </c:pt>
                <c:pt idx="9">
                  <c:v>4</c:v>
                </c:pt>
                <c:pt idx="10">
                  <c:v>4</c:v>
                </c:pt>
                <c:pt idx="11">
                  <c:v>7</c:v>
                </c:pt>
                <c:pt idx="12">
                  <c:v>9</c:v>
                </c:pt>
                <c:pt idx="13">
                  <c:v>9</c:v>
                </c:pt>
                <c:pt idx="14">
                  <c:v>10</c:v>
                </c:pt>
                <c:pt idx="15">
                  <c:v>14</c:v>
                </c:pt>
                <c:pt idx="16">
                  <c:v>16</c:v>
                </c:pt>
                <c:pt idx="17">
                  <c:v>19</c:v>
                </c:pt>
              </c:numCache>
            </c:numRef>
          </c:val>
          <c:smooth val="0"/>
          <c:extLst>
            <c:ext xmlns:c16="http://schemas.microsoft.com/office/drawing/2014/chart" uri="{C3380CC4-5D6E-409C-BE32-E72D297353CC}">
              <c16:uniqueId val="{00000001-5DAE-B249-AD4B-B1D355D26C95}"/>
            </c:ext>
          </c:extLst>
        </c:ser>
        <c:ser>
          <c:idx val="2"/>
          <c:order val="2"/>
          <c:tx>
            <c:strRef>
              <c:f>Sheet1!$D$1</c:f>
              <c:strCache>
                <c:ptCount val="1"/>
                <c:pt idx="0">
                  <c:v>Empirical and conceptual</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Sheet1!$D$2:$D$19</c:f>
              <c:numCache>
                <c:formatCode>General</c:formatCode>
                <c:ptCount val="18"/>
                <c:pt idx="0">
                  <c:v>0</c:v>
                </c:pt>
                <c:pt idx="1">
                  <c:v>0</c:v>
                </c:pt>
                <c:pt idx="2">
                  <c:v>1</c:v>
                </c:pt>
                <c:pt idx="3">
                  <c:v>1</c:v>
                </c:pt>
                <c:pt idx="4">
                  <c:v>1</c:v>
                </c:pt>
                <c:pt idx="5">
                  <c:v>2</c:v>
                </c:pt>
                <c:pt idx="6">
                  <c:v>2</c:v>
                </c:pt>
                <c:pt idx="7">
                  <c:v>2</c:v>
                </c:pt>
                <c:pt idx="8">
                  <c:v>2</c:v>
                </c:pt>
                <c:pt idx="9">
                  <c:v>2</c:v>
                </c:pt>
                <c:pt idx="10">
                  <c:v>2</c:v>
                </c:pt>
                <c:pt idx="11">
                  <c:v>7</c:v>
                </c:pt>
                <c:pt idx="12">
                  <c:v>9</c:v>
                </c:pt>
                <c:pt idx="13">
                  <c:v>10</c:v>
                </c:pt>
                <c:pt idx="14">
                  <c:v>13</c:v>
                </c:pt>
                <c:pt idx="15">
                  <c:v>18</c:v>
                </c:pt>
                <c:pt idx="16">
                  <c:v>21</c:v>
                </c:pt>
                <c:pt idx="17">
                  <c:v>26</c:v>
                </c:pt>
              </c:numCache>
            </c:numRef>
          </c:val>
          <c:smooth val="0"/>
          <c:extLst>
            <c:ext xmlns:c16="http://schemas.microsoft.com/office/drawing/2014/chart" uri="{C3380CC4-5D6E-409C-BE32-E72D297353CC}">
              <c16:uniqueId val="{00000002-5DAE-B249-AD4B-B1D355D26C95}"/>
            </c:ext>
          </c:extLst>
        </c:ser>
        <c:dLbls>
          <c:showLegendKey val="0"/>
          <c:showVal val="0"/>
          <c:showCatName val="0"/>
          <c:showSerName val="0"/>
          <c:showPercent val="0"/>
          <c:showBubbleSize val="0"/>
        </c:dLbls>
        <c:marker val="1"/>
        <c:smooth val="0"/>
        <c:axId val="626581664"/>
        <c:axId val="626584544"/>
      </c:lineChart>
      <c:catAx>
        <c:axId val="62658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宋体" panose="02010600030101010101" pitchFamily="2" charset="-122"/>
                <a:cs typeface="+mn-cs"/>
              </a:defRPr>
            </a:pPr>
            <a:endParaRPr lang="zh-CN"/>
          </a:p>
        </c:txPr>
        <c:crossAx val="626584544"/>
        <c:crosses val="autoZero"/>
        <c:auto val="1"/>
        <c:lblAlgn val="ctr"/>
        <c:lblOffset val="100"/>
        <c:noMultiLvlLbl val="0"/>
      </c:catAx>
      <c:valAx>
        <c:axId val="62658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rPr>
                  <a:t>numbter of papers</a:t>
                </a:r>
                <a:endParaRPr lang="zh-CN" altLang="zh-CN" sz="10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lt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658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Literature review </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Sheet1!$B$2:$B$19</c:f>
              <c:numCache>
                <c:formatCode>General</c:formatCode>
                <c:ptCount val="18"/>
                <c:pt idx="0">
                  <c:v>0</c:v>
                </c:pt>
                <c:pt idx="1">
                  <c:v>0</c:v>
                </c:pt>
                <c:pt idx="2">
                  <c:v>0</c:v>
                </c:pt>
                <c:pt idx="3">
                  <c:v>0</c:v>
                </c:pt>
                <c:pt idx="4">
                  <c:v>4</c:v>
                </c:pt>
                <c:pt idx="5">
                  <c:v>4</c:v>
                </c:pt>
                <c:pt idx="6">
                  <c:v>6</c:v>
                </c:pt>
                <c:pt idx="7">
                  <c:v>7</c:v>
                </c:pt>
                <c:pt idx="8">
                  <c:v>7</c:v>
                </c:pt>
                <c:pt idx="9">
                  <c:v>8</c:v>
                </c:pt>
                <c:pt idx="10">
                  <c:v>9</c:v>
                </c:pt>
                <c:pt idx="11">
                  <c:v>10</c:v>
                </c:pt>
                <c:pt idx="12">
                  <c:v>12</c:v>
                </c:pt>
                <c:pt idx="13">
                  <c:v>15</c:v>
                </c:pt>
                <c:pt idx="14">
                  <c:v>17</c:v>
                </c:pt>
                <c:pt idx="15">
                  <c:v>21</c:v>
                </c:pt>
                <c:pt idx="16">
                  <c:v>23</c:v>
                </c:pt>
                <c:pt idx="17">
                  <c:v>25</c:v>
                </c:pt>
              </c:numCache>
            </c:numRef>
          </c:val>
          <c:smooth val="0"/>
          <c:extLst>
            <c:ext xmlns:c16="http://schemas.microsoft.com/office/drawing/2014/chart" uri="{C3380CC4-5D6E-409C-BE32-E72D297353CC}">
              <c16:uniqueId val="{00000000-39D9-2748-8728-15DBB38E09DC}"/>
            </c:ext>
          </c:extLst>
        </c:ser>
        <c:ser>
          <c:idx val="1"/>
          <c:order val="1"/>
          <c:tx>
            <c:strRef>
              <c:f>Sheet1!$C$1</c:f>
              <c:strCache>
                <c:ptCount val="1"/>
                <c:pt idx="0">
                  <c:v>Case study</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Sheet1!$C$2:$C$19</c:f>
              <c:numCache>
                <c:formatCode>General</c:formatCode>
                <c:ptCount val="18"/>
                <c:pt idx="0">
                  <c:v>1</c:v>
                </c:pt>
                <c:pt idx="1">
                  <c:v>1</c:v>
                </c:pt>
                <c:pt idx="2">
                  <c:v>3</c:v>
                </c:pt>
                <c:pt idx="3">
                  <c:v>5</c:v>
                </c:pt>
                <c:pt idx="4">
                  <c:v>6</c:v>
                </c:pt>
                <c:pt idx="5">
                  <c:v>6</c:v>
                </c:pt>
                <c:pt idx="6">
                  <c:v>7</c:v>
                </c:pt>
                <c:pt idx="7">
                  <c:v>7</c:v>
                </c:pt>
                <c:pt idx="8">
                  <c:v>7</c:v>
                </c:pt>
                <c:pt idx="9">
                  <c:v>7</c:v>
                </c:pt>
                <c:pt idx="10">
                  <c:v>8</c:v>
                </c:pt>
                <c:pt idx="11">
                  <c:v>9</c:v>
                </c:pt>
                <c:pt idx="12">
                  <c:v>10</c:v>
                </c:pt>
                <c:pt idx="13">
                  <c:v>14</c:v>
                </c:pt>
                <c:pt idx="14">
                  <c:v>17</c:v>
                </c:pt>
                <c:pt idx="15">
                  <c:v>17</c:v>
                </c:pt>
                <c:pt idx="16">
                  <c:v>19</c:v>
                </c:pt>
                <c:pt idx="17">
                  <c:v>20</c:v>
                </c:pt>
              </c:numCache>
            </c:numRef>
          </c:val>
          <c:smooth val="0"/>
          <c:extLst>
            <c:ext xmlns:c16="http://schemas.microsoft.com/office/drawing/2014/chart" uri="{C3380CC4-5D6E-409C-BE32-E72D297353CC}">
              <c16:uniqueId val="{00000001-39D9-2748-8728-15DBB38E09DC}"/>
            </c:ext>
          </c:extLst>
        </c:ser>
        <c:ser>
          <c:idx val="2"/>
          <c:order val="2"/>
          <c:tx>
            <c:strRef>
              <c:f>Sheet1!$D$1</c:f>
              <c:strCache>
                <c:ptCount val="1"/>
                <c:pt idx="0">
                  <c:v>Mixed method</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Sheet1!$D$2:$D$19</c:f>
              <c:numCache>
                <c:formatCode>General</c:formatCode>
                <c:ptCount val="18"/>
                <c:pt idx="0">
                  <c:v>0</c:v>
                </c:pt>
                <c:pt idx="1">
                  <c:v>0</c:v>
                </c:pt>
                <c:pt idx="2">
                  <c:v>0</c:v>
                </c:pt>
                <c:pt idx="3">
                  <c:v>0</c:v>
                </c:pt>
                <c:pt idx="4">
                  <c:v>1</c:v>
                </c:pt>
                <c:pt idx="5">
                  <c:v>1</c:v>
                </c:pt>
                <c:pt idx="6">
                  <c:v>2</c:v>
                </c:pt>
                <c:pt idx="7">
                  <c:v>3</c:v>
                </c:pt>
                <c:pt idx="8">
                  <c:v>3</c:v>
                </c:pt>
                <c:pt idx="9">
                  <c:v>4</c:v>
                </c:pt>
                <c:pt idx="10">
                  <c:v>5</c:v>
                </c:pt>
                <c:pt idx="11">
                  <c:v>6</c:v>
                </c:pt>
                <c:pt idx="12">
                  <c:v>8</c:v>
                </c:pt>
                <c:pt idx="13">
                  <c:v>11</c:v>
                </c:pt>
                <c:pt idx="14">
                  <c:v>15</c:v>
                </c:pt>
                <c:pt idx="15">
                  <c:v>19</c:v>
                </c:pt>
                <c:pt idx="16">
                  <c:v>19</c:v>
                </c:pt>
                <c:pt idx="17">
                  <c:v>24</c:v>
                </c:pt>
              </c:numCache>
            </c:numRef>
          </c:val>
          <c:smooth val="0"/>
          <c:extLst>
            <c:ext xmlns:c16="http://schemas.microsoft.com/office/drawing/2014/chart" uri="{C3380CC4-5D6E-409C-BE32-E72D297353CC}">
              <c16:uniqueId val="{00000002-39D9-2748-8728-15DBB38E09DC}"/>
            </c:ext>
          </c:extLst>
        </c:ser>
        <c:ser>
          <c:idx val="3"/>
          <c:order val="3"/>
          <c:tx>
            <c:strRef>
              <c:f>Sheet1!$E$1</c:f>
              <c:strCache>
                <c:ptCount val="1"/>
                <c:pt idx="0">
                  <c:v>Quantitative</c:v>
                </c:pt>
              </c:strCache>
            </c:strRef>
          </c:tx>
          <c:spPr>
            <a:ln w="28575" cap="rnd">
              <a:solidFill>
                <a:schemeClr val="accent4"/>
              </a:solidFill>
              <a:round/>
            </a:ln>
            <a:effectLst/>
          </c:spPr>
          <c:marker>
            <c:symbol val="x"/>
            <c:size val="5"/>
            <c:spPr>
              <a:noFill/>
              <a:ln w="9525">
                <a:solidFill>
                  <a:schemeClr val="accent4"/>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Sheet1!$E$2:$E$19</c:f>
              <c:numCache>
                <c:formatCode>General</c:formatCode>
                <c:ptCount val="18"/>
                <c:pt idx="0">
                  <c:v>0</c:v>
                </c:pt>
                <c:pt idx="1">
                  <c:v>1</c:v>
                </c:pt>
                <c:pt idx="2">
                  <c:v>1</c:v>
                </c:pt>
                <c:pt idx="3">
                  <c:v>1</c:v>
                </c:pt>
                <c:pt idx="4">
                  <c:v>1</c:v>
                </c:pt>
                <c:pt idx="5">
                  <c:v>1</c:v>
                </c:pt>
                <c:pt idx="6">
                  <c:v>2</c:v>
                </c:pt>
                <c:pt idx="7">
                  <c:v>2</c:v>
                </c:pt>
                <c:pt idx="8">
                  <c:v>2</c:v>
                </c:pt>
                <c:pt idx="9">
                  <c:v>2</c:v>
                </c:pt>
                <c:pt idx="10">
                  <c:v>2</c:v>
                </c:pt>
                <c:pt idx="11">
                  <c:v>6</c:v>
                </c:pt>
                <c:pt idx="12">
                  <c:v>6</c:v>
                </c:pt>
                <c:pt idx="13">
                  <c:v>6</c:v>
                </c:pt>
                <c:pt idx="14">
                  <c:v>6</c:v>
                </c:pt>
                <c:pt idx="15">
                  <c:v>10</c:v>
                </c:pt>
                <c:pt idx="16">
                  <c:v>14</c:v>
                </c:pt>
                <c:pt idx="17">
                  <c:v>16</c:v>
                </c:pt>
              </c:numCache>
            </c:numRef>
          </c:val>
          <c:smooth val="0"/>
          <c:extLst>
            <c:ext xmlns:c16="http://schemas.microsoft.com/office/drawing/2014/chart" uri="{C3380CC4-5D6E-409C-BE32-E72D297353CC}">
              <c16:uniqueId val="{00000003-39D9-2748-8728-15DBB38E09DC}"/>
            </c:ext>
          </c:extLst>
        </c:ser>
        <c:ser>
          <c:idx val="4"/>
          <c:order val="4"/>
          <c:tx>
            <c:strRef>
              <c:f>Sheet1!$F$1</c:f>
              <c:strCache>
                <c:ptCount val="1"/>
                <c:pt idx="0">
                  <c:v>Survey</c:v>
                </c:pt>
              </c:strCache>
            </c:strRef>
          </c:tx>
          <c:spPr>
            <a:ln w="28575" cap="rnd">
              <a:solidFill>
                <a:schemeClr val="accent5"/>
              </a:solidFill>
              <a:round/>
            </a:ln>
            <a:effectLst/>
          </c:spPr>
          <c:marker>
            <c:symbol val="star"/>
            <c:size val="5"/>
            <c:spPr>
              <a:noFill/>
              <a:ln w="9525">
                <a:solidFill>
                  <a:schemeClr val="accent5"/>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Sheet1!$F$2:$F$19</c:f>
              <c:numCache>
                <c:formatCode>General</c:formatCode>
                <c:ptCount val="18"/>
                <c:pt idx="0">
                  <c:v>1</c:v>
                </c:pt>
                <c:pt idx="1">
                  <c:v>1</c:v>
                </c:pt>
                <c:pt idx="2">
                  <c:v>1</c:v>
                </c:pt>
                <c:pt idx="3">
                  <c:v>2</c:v>
                </c:pt>
                <c:pt idx="4">
                  <c:v>2</c:v>
                </c:pt>
                <c:pt idx="5">
                  <c:v>2</c:v>
                </c:pt>
                <c:pt idx="6">
                  <c:v>3</c:v>
                </c:pt>
                <c:pt idx="7">
                  <c:v>3</c:v>
                </c:pt>
                <c:pt idx="8">
                  <c:v>4</c:v>
                </c:pt>
                <c:pt idx="9">
                  <c:v>4</c:v>
                </c:pt>
                <c:pt idx="10">
                  <c:v>4</c:v>
                </c:pt>
                <c:pt idx="11">
                  <c:v>4</c:v>
                </c:pt>
                <c:pt idx="12">
                  <c:v>5</c:v>
                </c:pt>
                <c:pt idx="13">
                  <c:v>5</c:v>
                </c:pt>
                <c:pt idx="14">
                  <c:v>6</c:v>
                </c:pt>
                <c:pt idx="15">
                  <c:v>6</c:v>
                </c:pt>
                <c:pt idx="16">
                  <c:v>6</c:v>
                </c:pt>
                <c:pt idx="17">
                  <c:v>7</c:v>
                </c:pt>
              </c:numCache>
            </c:numRef>
          </c:val>
          <c:smooth val="0"/>
          <c:extLst>
            <c:ext xmlns:c16="http://schemas.microsoft.com/office/drawing/2014/chart" uri="{C3380CC4-5D6E-409C-BE32-E72D297353CC}">
              <c16:uniqueId val="{00000004-39D9-2748-8728-15DBB38E09DC}"/>
            </c:ext>
          </c:extLst>
        </c:ser>
        <c:ser>
          <c:idx val="5"/>
          <c:order val="5"/>
          <c:tx>
            <c:strRef>
              <c:f>Sheet1!$G$1</c:f>
              <c:strCache>
                <c:ptCount val="1"/>
                <c:pt idx="0">
                  <c:v>Questionnaire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Sheet1!$G$2:$G$19</c:f>
              <c:numCache>
                <c:formatCode>General</c:formatCode>
                <c:ptCount val="18"/>
                <c:pt idx="0">
                  <c:v>0</c:v>
                </c:pt>
                <c:pt idx="1">
                  <c:v>0</c:v>
                </c:pt>
                <c:pt idx="2">
                  <c:v>1</c:v>
                </c:pt>
                <c:pt idx="3">
                  <c:v>1</c:v>
                </c:pt>
                <c:pt idx="4">
                  <c:v>1</c:v>
                </c:pt>
                <c:pt idx="5">
                  <c:v>1</c:v>
                </c:pt>
                <c:pt idx="6">
                  <c:v>1</c:v>
                </c:pt>
                <c:pt idx="7">
                  <c:v>2</c:v>
                </c:pt>
                <c:pt idx="8">
                  <c:v>2</c:v>
                </c:pt>
                <c:pt idx="9">
                  <c:v>3</c:v>
                </c:pt>
                <c:pt idx="10">
                  <c:v>3</c:v>
                </c:pt>
                <c:pt idx="11">
                  <c:v>4</c:v>
                </c:pt>
                <c:pt idx="12">
                  <c:v>6</c:v>
                </c:pt>
                <c:pt idx="13">
                  <c:v>6</c:v>
                </c:pt>
                <c:pt idx="14">
                  <c:v>7</c:v>
                </c:pt>
                <c:pt idx="15">
                  <c:v>8</c:v>
                </c:pt>
                <c:pt idx="16">
                  <c:v>8</c:v>
                </c:pt>
                <c:pt idx="17">
                  <c:v>9</c:v>
                </c:pt>
              </c:numCache>
            </c:numRef>
          </c:val>
          <c:smooth val="0"/>
          <c:extLst>
            <c:ext xmlns:c16="http://schemas.microsoft.com/office/drawing/2014/chart" uri="{C3380CC4-5D6E-409C-BE32-E72D297353CC}">
              <c16:uniqueId val="{00000005-39D9-2748-8728-15DBB38E09DC}"/>
            </c:ext>
          </c:extLst>
        </c:ser>
        <c:ser>
          <c:idx val="6"/>
          <c:order val="6"/>
          <c:tx>
            <c:strRef>
              <c:f>Sheet1!$H$1</c:f>
              <c:strCache>
                <c:ptCount val="1"/>
                <c:pt idx="0">
                  <c:v>Interview </c:v>
                </c:pt>
              </c:strCache>
            </c:strRef>
          </c:tx>
          <c:spPr>
            <a:ln w="28575" cap="rnd">
              <a:solidFill>
                <a:schemeClr val="accent1">
                  <a:lumMod val="60000"/>
                </a:schemeClr>
              </a:solidFill>
              <a:round/>
            </a:ln>
            <a:effectLst/>
          </c:spPr>
          <c:marker>
            <c:symbol val="plus"/>
            <c:size val="5"/>
            <c:spPr>
              <a:noFill/>
              <a:ln w="9525">
                <a:solidFill>
                  <a:schemeClr val="accent1">
                    <a:lumMod val="60000"/>
                  </a:schemeClr>
                </a:solidFill>
              </a:ln>
              <a:effectLst/>
            </c:spPr>
          </c:marker>
          <c:cat>
            <c:strRef>
              <c:f>Sheet1!$A$2:$A$19</c:f>
              <c:strCache>
                <c:ptCount val="18"/>
                <c:pt idx="0">
                  <c:v>2005</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2023(Nov)</c:v>
                </c:pt>
              </c:strCache>
            </c:strRef>
          </c:cat>
          <c:val>
            <c:numRef>
              <c:f>Sheet1!$H$2:$H$19</c:f>
              <c:numCache>
                <c:formatCode>General</c:formatCode>
                <c:ptCount val="18"/>
                <c:pt idx="0">
                  <c:v>0</c:v>
                </c:pt>
                <c:pt idx="1">
                  <c:v>0</c:v>
                </c:pt>
                <c:pt idx="2">
                  <c:v>0</c:v>
                </c:pt>
                <c:pt idx="3">
                  <c:v>0</c:v>
                </c:pt>
                <c:pt idx="4">
                  <c:v>0</c:v>
                </c:pt>
                <c:pt idx="5">
                  <c:v>0</c:v>
                </c:pt>
                <c:pt idx="6">
                  <c:v>0</c:v>
                </c:pt>
                <c:pt idx="7">
                  <c:v>0</c:v>
                </c:pt>
                <c:pt idx="8">
                  <c:v>0</c:v>
                </c:pt>
                <c:pt idx="9">
                  <c:v>0</c:v>
                </c:pt>
                <c:pt idx="10">
                  <c:v>1</c:v>
                </c:pt>
                <c:pt idx="11">
                  <c:v>1</c:v>
                </c:pt>
                <c:pt idx="12">
                  <c:v>3</c:v>
                </c:pt>
                <c:pt idx="13">
                  <c:v>3</c:v>
                </c:pt>
                <c:pt idx="14">
                  <c:v>4</c:v>
                </c:pt>
                <c:pt idx="15">
                  <c:v>4</c:v>
                </c:pt>
                <c:pt idx="16">
                  <c:v>5</c:v>
                </c:pt>
                <c:pt idx="17">
                  <c:v>5</c:v>
                </c:pt>
              </c:numCache>
            </c:numRef>
          </c:val>
          <c:smooth val="0"/>
          <c:extLst>
            <c:ext xmlns:c16="http://schemas.microsoft.com/office/drawing/2014/chart" uri="{C3380CC4-5D6E-409C-BE32-E72D297353CC}">
              <c16:uniqueId val="{00000006-39D9-2748-8728-15DBB38E09DC}"/>
            </c:ext>
          </c:extLst>
        </c:ser>
        <c:dLbls>
          <c:showLegendKey val="0"/>
          <c:showVal val="0"/>
          <c:showCatName val="0"/>
          <c:showSerName val="0"/>
          <c:showPercent val="0"/>
          <c:showBubbleSize val="0"/>
        </c:dLbls>
        <c:marker val="1"/>
        <c:smooth val="0"/>
        <c:axId val="1042226496"/>
        <c:axId val="1042221456"/>
      </c:lineChart>
      <c:catAx>
        <c:axId val="104222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1042221456"/>
        <c:crosses val="autoZero"/>
        <c:auto val="1"/>
        <c:lblAlgn val="ctr"/>
        <c:lblOffset val="100"/>
        <c:noMultiLvlLbl val="0"/>
      </c:catAx>
      <c:valAx>
        <c:axId val="104222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en-US" altLang="zh-CN" sz="8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rPr>
                  <a:t>Number of papers</a:t>
                </a:r>
                <a:endParaRPr lang="zh-CN" altLang="zh-CN" sz="8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lt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1042226496"/>
        <c:crosses val="autoZero"/>
        <c:crossBetween val="between"/>
      </c:valAx>
      <c:spPr>
        <a:noFill/>
        <a:ln>
          <a:noFill/>
        </a:ln>
        <a:effectLst/>
      </c:spPr>
    </c:plotArea>
    <c:legend>
      <c:legendPos val="b"/>
      <c:layout>
        <c:manualLayout>
          <c:xMode val="edge"/>
          <c:yMode val="edge"/>
          <c:x val="7.1584908736877437E-2"/>
          <c:y val="0.83462389182776298"/>
          <c:w val="0.78309996947468008"/>
          <c:h val="0.115758595191080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074E76B107D3274A9DE0D055D9EB7AE6" ma:contentTypeVersion="8" ma:contentTypeDescription="新建文档。" ma:contentTypeScope="" ma:versionID="8ea2e3974a383af9dfc2cefab2fb522a">
  <xsd:schema xmlns:xsd="http://www.w3.org/2001/XMLSchema" xmlns:xs="http://www.w3.org/2001/XMLSchema" xmlns:p="http://schemas.microsoft.com/office/2006/metadata/properties" xmlns:ns2="162f41ff-3ca7-4e46-b027-cc43f372579d" xmlns:ns3="2e7761ce-8ab5-4d4a-bfec-088bf4d02bbc" targetNamespace="http://schemas.microsoft.com/office/2006/metadata/properties" ma:root="true" ma:fieldsID="fbbbbb64bfac47356fa0e38afb80c5fa" ns2:_="" ns3:_="">
    <xsd:import namespace="162f41ff-3ca7-4e46-b027-cc43f372579d"/>
    <xsd:import namespace="2e7761ce-8ab5-4d4a-bfec-088bf4d02b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f41ff-3ca7-4e46-b027-cc43f3725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761ce-8ab5-4d4a-bfec-088bf4d02bbc" elementFormDefault="qualified">
    <xsd:import namespace="http://schemas.microsoft.com/office/2006/documentManagement/types"/>
    <xsd:import namespace="http://schemas.microsoft.com/office/infopath/2007/PartnerControls"/>
    <xsd:element name="SharedWithUsers" ma:index="1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8943D-9725-4956-9FC9-B5636353ED2F}">
  <ds:schemaRefs>
    <ds:schemaRef ds:uri="http://schemas.microsoft.com/sharepoint/v3/contenttype/forms"/>
  </ds:schemaRefs>
</ds:datastoreItem>
</file>

<file path=customXml/itemProps2.xml><?xml version="1.0" encoding="utf-8"?>
<ds:datastoreItem xmlns:ds="http://schemas.openxmlformats.org/officeDocument/2006/customXml" ds:itemID="{DB123D61-0AF3-4EA2-8B0A-DB799E0E14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7BB70F-14E0-4A41-85C2-0BC5B9B3B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f41ff-3ca7-4e46-b027-cc43f372579d"/>
    <ds:schemaRef ds:uri="2e7761ce-8ab5-4d4a-bfec-088bf4d02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4BAA31-24B5-4BC8-8FDC-8B2464B3ECD5}">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52</Pages>
  <Words>35597</Words>
  <Characters>202908</Characters>
  <Application>Microsoft Office Word</Application>
  <DocSecurity>0</DocSecurity>
  <Lines>1690</Lines>
  <Paragraphs>476</Paragraphs>
  <ScaleCrop>false</ScaleCrop>
  <Company/>
  <LinksUpToDate>false</LinksUpToDate>
  <CharactersWithSpaces>238029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 A</dc:creator>
  <cp:keywords/>
  <dc:description/>
  <cp:lastModifiedBy>Shicheng Chen</cp:lastModifiedBy>
  <cp:revision>2</cp:revision>
  <dcterms:created xsi:type="dcterms:W3CDTF">2025-01-13T10:03:00Z</dcterms:created>
  <dcterms:modified xsi:type="dcterms:W3CDTF">2025-01-13T10:03:00Z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0x010100074E76B107D3274A9DE0D055D9EB7AE6</vt:lpwstr>
  </property>
  <property fmtid="{D5CDD505-2E9C-101B-9397-08002B2CF9AE}" pid="3" name="ZOTERO_PREF_1">
    <vt:lpwstr>&lt;data data-version="3" zotero-version="6.0.23"&gt;&lt;session id="xbgmq0K6"/&gt;&lt;style id="http://www.zotero.org/styles/cardiff-university-harvard" locale="en-GB" hasBibliography="1" bibliographyStyleHasBeenSet="1"/&gt;&lt;prefs&gt;&lt;pref name="fieldType" value="Field"/&gt;&lt;/p</vt:lpwstr>
  </property>
  <property fmtid="{D5CDD505-2E9C-101B-9397-08002B2CF9AE}" pid="4" name="ZOTERO_PREF_2">
    <vt:lpwstr>refs&gt;&lt;/data&gt;</vt:lpwstr>
  </property>
</Properties>
</file>