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CFB64" w14:textId="60B7C536" w:rsidR="00C317CE" w:rsidRPr="00C317CE" w:rsidRDefault="00C317CE" w:rsidP="00C317CE">
      <w:pPr>
        <w:rPr>
          <w:rFonts w:ascii="Times New Roman" w:hAnsi="Times New Roman" w:cs="Times New Roman"/>
          <w:b/>
          <w:bCs/>
          <w:i/>
          <w:iCs/>
        </w:rPr>
      </w:pPr>
      <w:r w:rsidRPr="00C317CE">
        <w:rPr>
          <w:rFonts w:ascii="Times New Roman" w:hAnsi="Times New Roman" w:cs="Times New Roman"/>
          <w:b/>
          <w:bCs/>
        </w:rPr>
        <w:t xml:space="preserve">The Version of Record of this manuscript has been published and is available in </w:t>
      </w:r>
      <w:r w:rsidRPr="00C317CE">
        <w:rPr>
          <w:rFonts w:ascii="Times New Roman" w:hAnsi="Times New Roman" w:cs="Times New Roman"/>
          <w:b/>
          <w:bCs/>
          <w:i/>
          <w:iCs/>
        </w:rPr>
        <w:t xml:space="preserve">The Journal of the English </w:t>
      </w:r>
      <w:r>
        <w:rPr>
          <w:rFonts w:ascii="Times New Roman" w:hAnsi="Times New Roman" w:cs="Times New Roman"/>
          <w:b/>
          <w:bCs/>
          <w:i/>
          <w:iCs/>
        </w:rPr>
        <w:t>P</w:t>
      </w:r>
      <w:r w:rsidRPr="00C317CE">
        <w:rPr>
          <w:rFonts w:ascii="Times New Roman" w:hAnsi="Times New Roman" w:cs="Times New Roman"/>
          <w:b/>
          <w:bCs/>
          <w:i/>
          <w:iCs/>
        </w:rPr>
        <w:t>lace-</w:t>
      </w:r>
      <w:r>
        <w:rPr>
          <w:rFonts w:ascii="Times New Roman" w:hAnsi="Times New Roman" w:cs="Times New Roman"/>
          <w:b/>
          <w:bCs/>
          <w:i/>
          <w:iCs/>
        </w:rPr>
        <w:t>N</w:t>
      </w:r>
      <w:r w:rsidRPr="00C317CE">
        <w:rPr>
          <w:rFonts w:ascii="Times New Roman" w:hAnsi="Times New Roman" w:cs="Times New Roman"/>
          <w:b/>
          <w:bCs/>
          <w:i/>
          <w:iCs/>
        </w:rPr>
        <w:t xml:space="preserve">ame Society </w:t>
      </w:r>
      <w:r w:rsidRPr="00C317CE">
        <w:rPr>
          <w:rFonts w:ascii="Times New Roman" w:hAnsi="Times New Roman" w:cs="Times New Roman"/>
          <w:b/>
          <w:bCs/>
        </w:rPr>
        <w:t>55 (2023)</w:t>
      </w:r>
    </w:p>
    <w:p w14:paraId="36C21763" w14:textId="6B1F0418" w:rsidR="00B46E75" w:rsidRPr="00077830" w:rsidRDefault="00B46E75" w:rsidP="00847700">
      <w:pPr>
        <w:pStyle w:val="Heading1"/>
        <w:rPr>
          <w:rFonts w:ascii="Times New Roman" w:hAnsi="Times New Roman" w:cs="Times New Roman"/>
          <w:sz w:val="28"/>
          <w:szCs w:val="28"/>
        </w:rPr>
      </w:pPr>
      <w:r w:rsidRPr="00077830">
        <w:rPr>
          <w:rFonts w:ascii="Times New Roman" w:hAnsi="Times New Roman" w:cs="Times New Roman"/>
          <w:sz w:val="28"/>
          <w:szCs w:val="28"/>
        </w:rPr>
        <w:t>Archaeology and place-names and landscape history: place-name studies and the ‘Lordship and Landscape in East Anglia’ project’</w:t>
      </w:r>
    </w:p>
    <w:p w14:paraId="23C236A5" w14:textId="77777777" w:rsidR="00E94679" w:rsidRPr="00077830" w:rsidRDefault="00E94679" w:rsidP="00E94679">
      <w:pPr>
        <w:rPr>
          <w:rFonts w:ascii="Times New Roman" w:hAnsi="Times New Roman" w:cs="Times New Roman"/>
        </w:rPr>
      </w:pPr>
      <w:r w:rsidRPr="00077830">
        <w:rPr>
          <w:rFonts w:ascii="Times New Roman" w:hAnsi="Times New Roman" w:cs="Times New Roman"/>
        </w:rPr>
        <w:t>Eleanor Rye, University of York (eleanor.rye@york.ac.uk)</w:t>
      </w:r>
    </w:p>
    <w:p w14:paraId="4F07F932" w14:textId="77777777" w:rsidR="00B46E75" w:rsidRPr="00077830" w:rsidRDefault="00B46E75" w:rsidP="00EC7628">
      <w:pPr>
        <w:rPr>
          <w:rFonts w:ascii="Times New Roman" w:hAnsi="Times New Roman" w:cs="Times New Roman"/>
        </w:rPr>
      </w:pPr>
      <w:r w:rsidRPr="00077830">
        <w:rPr>
          <w:rFonts w:ascii="Times New Roman" w:hAnsi="Times New Roman" w:cs="Times New Roman"/>
        </w:rPr>
        <w:t>Tom Williamson, University of East Anglia (t.williamson@uea.ac.uk)</w:t>
      </w:r>
    </w:p>
    <w:p w14:paraId="2E2DEA50" w14:textId="77777777" w:rsidR="00B46E75" w:rsidRPr="00077830" w:rsidRDefault="00B46E75" w:rsidP="004D769B">
      <w:pPr>
        <w:pStyle w:val="Heading2"/>
        <w:tabs>
          <w:tab w:val="left" w:pos="2694"/>
        </w:tabs>
        <w:rPr>
          <w:rFonts w:ascii="Times New Roman" w:hAnsi="Times New Roman" w:cs="Times New Roman"/>
          <w:sz w:val="24"/>
          <w:szCs w:val="24"/>
        </w:rPr>
      </w:pPr>
      <w:r w:rsidRPr="00077830">
        <w:rPr>
          <w:rFonts w:ascii="Times New Roman" w:hAnsi="Times New Roman" w:cs="Times New Roman"/>
          <w:sz w:val="24"/>
          <w:szCs w:val="24"/>
        </w:rPr>
        <w:t>Introduction</w:t>
      </w:r>
    </w:p>
    <w:p w14:paraId="3282C220" w14:textId="21EAE913" w:rsidR="00B46E75" w:rsidRPr="00077830" w:rsidRDefault="00B46E75" w:rsidP="008B6E8A">
      <w:pPr>
        <w:rPr>
          <w:rFonts w:ascii="Times New Roman" w:hAnsi="Times New Roman" w:cs="Times New Roman"/>
        </w:rPr>
      </w:pPr>
      <w:r w:rsidRPr="00077830">
        <w:rPr>
          <w:rFonts w:ascii="Times New Roman" w:hAnsi="Times New Roman" w:cs="Times New Roman"/>
        </w:rPr>
        <w:t xml:space="preserve">In this summary paper, we outline the contribution of place-names to the Leverhulme Trust funded research project </w:t>
      </w:r>
      <w:r w:rsidRPr="00077830">
        <w:rPr>
          <w:rFonts w:ascii="Times New Roman" w:hAnsi="Times New Roman" w:cs="Times New Roman"/>
          <w:i/>
          <w:iCs/>
        </w:rPr>
        <w:t>Lordship and Landscape in East Anglia AD 400–800</w:t>
      </w:r>
      <w:r w:rsidRPr="00077830">
        <w:rPr>
          <w:rFonts w:ascii="Times New Roman" w:hAnsi="Times New Roman" w:cs="Times New Roman"/>
        </w:rPr>
        <w:t xml:space="preserve"> (henceforth </w:t>
      </w:r>
      <w:r w:rsidRPr="00077830">
        <w:rPr>
          <w:rFonts w:ascii="Times New Roman" w:hAnsi="Times New Roman" w:cs="Times New Roman"/>
          <w:i/>
          <w:iCs/>
        </w:rPr>
        <w:t>Lordship and Landscape</w:t>
      </w:r>
      <w:r w:rsidRPr="00077830">
        <w:rPr>
          <w:rFonts w:ascii="Times New Roman" w:hAnsi="Times New Roman" w:cs="Times New Roman"/>
        </w:rPr>
        <w:t>).</w:t>
      </w:r>
      <w:r w:rsidRPr="00077830">
        <w:rPr>
          <w:rStyle w:val="EndnoteReference"/>
          <w:rFonts w:ascii="Times New Roman" w:hAnsi="Times New Roman" w:cs="Times New Roman"/>
        </w:rPr>
        <w:endnoteReference w:id="1"/>
      </w:r>
      <w:r w:rsidRPr="00077830">
        <w:rPr>
          <w:rFonts w:ascii="Times New Roman" w:hAnsi="Times New Roman" w:cs="Times New Roman"/>
        </w:rPr>
        <w:t xml:space="preserve">  </w:t>
      </w:r>
      <w:r w:rsidRPr="00077830">
        <w:rPr>
          <w:rFonts w:ascii="Times New Roman" w:hAnsi="Times New Roman" w:cs="Times New Roman"/>
          <w:i/>
          <w:iCs/>
        </w:rPr>
        <w:t>Lordship and Landscape</w:t>
      </w:r>
      <w:r w:rsidRPr="00077830">
        <w:rPr>
          <w:rFonts w:ascii="Times New Roman" w:hAnsi="Times New Roman" w:cs="Times New Roman"/>
        </w:rPr>
        <w:t>, headed by Chris Scull (principal investigator) with Tim Pestell and Tom Williamson (co-investigators)</w:t>
      </w:r>
      <w:r w:rsidR="00385CE1">
        <w:rPr>
          <w:rFonts w:ascii="Times New Roman" w:hAnsi="Times New Roman" w:cs="Times New Roman"/>
        </w:rPr>
        <w:t>,</w:t>
      </w:r>
      <w:r w:rsidRPr="00077830">
        <w:rPr>
          <w:rFonts w:ascii="Times New Roman" w:hAnsi="Times New Roman" w:cs="Times New Roman"/>
        </w:rPr>
        <w:t xml:space="preserve"> was inherently multidisciplinary, bringing together a team of researchers with expertise in archaeology, early medieval history, landscape history and archaeology, numismatics, onomastics and materials science.  The multidisciplinary team investigated the emergence of territorial lordship in East Anglia </w:t>
      </w:r>
      <w:r w:rsidR="00385CE1">
        <w:rPr>
          <w:rFonts w:ascii="Times New Roman" w:hAnsi="Times New Roman" w:cs="Times New Roman"/>
        </w:rPr>
        <w:t>through</w:t>
      </w:r>
      <w:r w:rsidR="00385CE1" w:rsidRPr="00077830">
        <w:rPr>
          <w:rFonts w:ascii="Times New Roman" w:hAnsi="Times New Roman" w:cs="Times New Roman"/>
        </w:rPr>
        <w:t xml:space="preserve"> </w:t>
      </w:r>
      <w:r w:rsidRPr="00077830">
        <w:rPr>
          <w:rFonts w:ascii="Times New Roman" w:hAnsi="Times New Roman" w:cs="Times New Roman"/>
        </w:rPr>
        <w:t xml:space="preserve">close investigation of the recently discovered elite settlement at Rendlesham (Suffolk), almost certainly a royal estate, </w:t>
      </w:r>
      <w:r w:rsidR="00385CE1">
        <w:rPr>
          <w:rFonts w:ascii="Times New Roman" w:hAnsi="Times New Roman" w:cs="Times New Roman"/>
        </w:rPr>
        <w:t>and assessment</w:t>
      </w:r>
      <w:r w:rsidRPr="00077830">
        <w:rPr>
          <w:rFonts w:ascii="Times New Roman" w:hAnsi="Times New Roman" w:cs="Times New Roman"/>
        </w:rPr>
        <w:t xml:space="preserve"> of other comparable – or potentially comparable – elite sites in East Anglia.  This paper focusses on the authors’ collaborative work on landscape history, which made extensive use of place-name evidence.</w:t>
      </w:r>
    </w:p>
    <w:p w14:paraId="5D5E0EE7" w14:textId="77777777" w:rsidR="00B46E75" w:rsidRPr="00077830" w:rsidRDefault="00B46E75" w:rsidP="00C134E9">
      <w:pPr>
        <w:pStyle w:val="Heading2"/>
        <w:rPr>
          <w:rFonts w:ascii="Times New Roman" w:hAnsi="Times New Roman" w:cs="Times New Roman"/>
          <w:sz w:val="24"/>
          <w:szCs w:val="24"/>
        </w:rPr>
      </w:pPr>
      <w:r w:rsidRPr="00077830">
        <w:rPr>
          <w:rFonts w:ascii="Times New Roman" w:hAnsi="Times New Roman" w:cs="Times New Roman"/>
          <w:sz w:val="24"/>
          <w:szCs w:val="24"/>
        </w:rPr>
        <w:t>Rendlesham: site and survey</w:t>
      </w:r>
    </w:p>
    <w:p w14:paraId="7C6EA67B" w14:textId="197BF7DC" w:rsidR="00B46E75" w:rsidRPr="00077830" w:rsidRDefault="00B46E75" w:rsidP="00EF7E18">
      <w:pPr>
        <w:rPr>
          <w:rFonts w:ascii="Times New Roman" w:hAnsi="Times New Roman" w:cs="Times New Roman"/>
        </w:rPr>
      </w:pPr>
      <w:r w:rsidRPr="00077830">
        <w:rPr>
          <w:rFonts w:ascii="Times New Roman" w:hAnsi="Times New Roman" w:cs="Times New Roman"/>
        </w:rPr>
        <w:t xml:space="preserve">Rendlesham has long been known as the site of the </w:t>
      </w:r>
      <w:r w:rsidRPr="00077830">
        <w:rPr>
          <w:rFonts w:ascii="Times New Roman" w:hAnsi="Times New Roman" w:cs="Times New Roman"/>
          <w:i/>
          <w:iCs/>
        </w:rPr>
        <w:t>uicus</w:t>
      </w:r>
      <w:r w:rsidRPr="00077830">
        <w:rPr>
          <w:rFonts w:ascii="Times New Roman" w:hAnsi="Times New Roman" w:cs="Times New Roman"/>
        </w:rPr>
        <w:t xml:space="preserve"> </w:t>
      </w:r>
      <w:r w:rsidRPr="00077830">
        <w:rPr>
          <w:rFonts w:ascii="Times New Roman" w:hAnsi="Times New Roman" w:cs="Times New Roman"/>
          <w:i/>
          <w:iCs/>
        </w:rPr>
        <w:t xml:space="preserve">regius </w:t>
      </w:r>
      <w:r w:rsidRPr="00077830">
        <w:rPr>
          <w:rFonts w:ascii="Times New Roman" w:hAnsi="Times New Roman" w:cs="Times New Roman"/>
        </w:rPr>
        <w:t xml:space="preserve">‘royal vill’ where the East Saxon king Swithhelm was baptised in the mid seventh century, with the East Anglian king Æthelwald as his sponsor </w:t>
      </w:r>
      <w:r w:rsidRPr="00077830">
        <w:rPr>
          <w:rFonts w:ascii="Times New Roman" w:hAnsi="Times New Roman" w:cs="Times New Roman"/>
          <w:noProof/>
        </w:rPr>
        <w:t>(Colgrave and Mynors 1969: 284–85)</w:t>
      </w:r>
      <w:r w:rsidRPr="00077830">
        <w:rPr>
          <w:rFonts w:ascii="Times New Roman" w:hAnsi="Times New Roman" w:cs="Times New Roman"/>
        </w:rPr>
        <w:t xml:space="preserve">.  It is usually assumed that the princely burials at Sutton Hoo, only </w:t>
      </w:r>
      <w:r w:rsidR="00E94679">
        <w:rPr>
          <w:rFonts w:ascii="Times New Roman" w:hAnsi="Times New Roman" w:cs="Times New Roman"/>
        </w:rPr>
        <w:t>seven</w:t>
      </w:r>
      <w:r w:rsidR="00385CE1">
        <w:rPr>
          <w:rFonts w:ascii="Times New Roman" w:hAnsi="Times New Roman" w:cs="Times New Roman"/>
        </w:rPr>
        <w:t xml:space="preserve"> kilometres</w:t>
      </w:r>
      <w:r w:rsidRPr="00077830">
        <w:rPr>
          <w:rFonts w:ascii="Times New Roman" w:hAnsi="Times New Roman" w:cs="Times New Roman"/>
        </w:rPr>
        <w:t xml:space="preserve"> downstream along the River Deben from Rendlesham, were </w:t>
      </w:r>
      <w:r w:rsidR="00F5352F">
        <w:rPr>
          <w:rFonts w:ascii="Times New Roman" w:hAnsi="Times New Roman" w:cs="Times New Roman"/>
        </w:rPr>
        <w:t>those of</w:t>
      </w:r>
      <w:r w:rsidRPr="00077830">
        <w:rPr>
          <w:rFonts w:ascii="Times New Roman" w:hAnsi="Times New Roman" w:cs="Times New Roman"/>
        </w:rPr>
        <w:t xml:space="preserve"> members of the East Anglian royal dynasty</w:t>
      </w:r>
      <w:r w:rsidR="00BE2C66">
        <w:rPr>
          <w:rFonts w:ascii="Times New Roman" w:hAnsi="Times New Roman" w:cs="Times New Roman"/>
        </w:rPr>
        <w:t>, the Wuffingas</w:t>
      </w:r>
      <w:r w:rsidRPr="00077830">
        <w:rPr>
          <w:rFonts w:ascii="Times New Roman" w:hAnsi="Times New Roman" w:cs="Times New Roman"/>
        </w:rPr>
        <w:t xml:space="preserve">.  However, the exact location of the royal vill at Rendlesham was until relatively recently unknown, though a location in the north of the parish had been tentatively suggested from the existence of an oval enclosure and field names containing ‘Hall’ and ‘Woodenhall(s)’ </w:t>
      </w:r>
      <w:r w:rsidRPr="00077830">
        <w:rPr>
          <w:rFonts w:ascii="Times New Roman" w:hAnsi="Times New Roman" w:cs="Times New Roman"/>
          <w:noProof/>
        </w:rPr>
        <w:t>(Bruce-Mitford 1948: 250–51)</w:t>
      </w:r>
      <w:r w:rsidRPr="00077830">
        <w:rPr>
          <w:rFonts w:ascii="Times New Roman" w:hAnsi="Times New Roman" w:cs="Times New Roman"/>
        </w:rPr>
        <w:t xml:space="preserve">. Some </w:t>
      </w:r>
      <w:r w:rsidR="00F5352F">
        <w:rPr>
          <w:rFonts w:ascii="Times New Roman" w:hAnsi="Times New Roman" w:cs="Times New Roman"/>
        </w:rPr>
        <w:t>M</w:t>
      </w:r>
      <w:r w:rsidRPr="00077830">
        <w:rPr>
          <w:rFonts w:ascii="Times New Roman" w:hAnsi="Times New Roman" w:cs="Times New Roman"/>
        </w:rPr>
        <w:t xml:space="preserve">iddle Saxon Ipswich ware had been recovered by field-walking in 1981–82 north of the church of St Gregory the Great, but there were no clear indications of high-status settlement </w:t>
      </w:r>
      <w:r w:rsidRPr="00077830">
        <w:rPr>
          <w:rFonts w:ascii="Times New Roman" w:hAnsi="Times New Roman" w:cs="Times New Roman"/>
          <w:noProof/>
        </w:rPr>
        <w:t>(Newman 1992: 36–38; Newman 2005: 486)</w:t>
      </w:r>
      <w:r w:rsidRPr="00077830">
        <w:rPr>
          <w:rFonts w:ascii="Times New Roman" w:hAnsi="Times New Roman" w:cs="Times New Roman"/>
        </w:rPr>
        <w:t xml:space="preserve">. </w:t>
      </w:r>
    </w:p>
    <w:p w14:paraId="3BF5B279" w14:textId="53451EDB" w:rsidR="00B46E75" w:rsidRPr="00077830" w:rsidRDefault="00B46E75" w:rsidP="004C3C44">
      <w:pPr>
        <w:spacing w:before="120"/>
        <w:rPr>
          <w:rFonts w:ascii="Times New Roman" w:hAnsi="Times New Roman" w:cs="Times New Roman"/>
        </w:rPr>
      </w:pPr>
      <w:r w:rsidRPr="00077830">
        <w:rPr>
          <w:rFonts w:ascii="Times New Roman" w:hAnsi="Times New Roman" w:cs="Times New Roman"/>
        </w:rPr>
        <w:t>By 2008, however, repeated instances of illegal metal-detecting on an area of land including</w:t>
      </w:r>
      <w:r w:rsidR="00385CE1">
        <w:rPr>
          <w:rFonts w:ascii="Times New Roman" w:hAnsi="Times New Roman" w:cs="Times New Roman"/>
        </w:rPr>
        <w:t xml:space="preserve"> </w:t>
      </w:r>
      <w:r w:rsidRPr="00077830">
        <w:rPr>
          <w:rFonts w:ascii="Times New Roman" w:hAnsi="Times New Roman" w:cs="Times New Roman"/>
        </w:rPr>
        <w:t>—</w:t>
      </w:r>
      <w:r w:rsidR="00385CE1">
        <w:rPr>
          <w:rFonts w:ascii="Times New Roman" w:hAnsi="Times New Roman" w:cs="Times New Roman"/>
        </w:rPr>
        <w:t xml:space="preserve"> </w:t>
      </w:r>
      <w:r w:rsidRPr="00077830">
        <w:rPr>
          <w:rFonts w:ascii="Times New Roman" w:hAnsi="Times New Roman" w:cs="Times New Roman"/>
        </w:rPr>
        <w:t>but extending beyond</w:t>
      </w:r>
      <w:r w:rsidR="00385CE1">
        <w:rPr>
          <w:rFonts w:ascii="Times New Roman" w:hAnsi="Times New Roman" w:cs="Times New Roman"/>
        </w:rPr>
        <w:t xml:space="preserve"> </w:t>
      </w:r>
      <w:r w:rsidR="00385CE1" w:rsidRPr="00077830">
        <w:rPr>
          <w:rFonts w:ascii="Times New Roman" w:hAnsi="Times New Roman" w:cs="Times New Roman"/>
        </w:rPr>
        <w:t>—</w:t>
      </w:r>
      <w:r w:rsidR="00385CE1">
        <w:rPr>
          <w:rFonts w:ascii="Times New Roman" w:hAnsi="Times New Roman" w:cs="Times New Roman"/>
        </w:rPr>
        <w:t xml:space="preserve"> </w:t>
      </w:r>
      <w:r w:rsidRPr="00077830">
        <w:rPr>
          <w:rFonts w:ascii="Times New Roman" w:hAnsi="Times New Roman" w:cs="Times New Roman"/>
        </w:rPr>
        <w:t>the area field-walked in 1981–82 had aroused the landowner’s suspicion that archaeological material was being stolen.  As a result, between 2008 and 2017, a controlled and systematic metal-detector survey and other forms of archaeological investigation were organised and overseen by Suffolk County Council Archaeological Service in the south-west and north-</w:t>
      </w:r>
      <w:r w:rsidR="00E94679">
        <w:rPr>
          <w:rFonts w:ascii="Times New Roman" w:hAnsi="Times New Roman" w:cs="Times New Roman"/>
        </w:rPr>
        <w:t>we</w:t>
      </w:r>
      <w:r w:rsidRPr="00077830">
        <w:rPr>
          <w:rFonts w:ascii="Times New Roman" w:hAnsi="Times New Roman" w:cs="Times New Roman"/>
        </w:rPr>
        <w:t>st of the parishes of Rendlesham and Eyke respectively.</w:t>
      </w:r>
      <w:r w:rsidRPr="00077830">
        <w:rPr>
          <w:rStyle w:val="EndnoteReference"/>
          <w:rFonts w:ascii="Times New Roman" w:hAnsi="Times New Roman" w:cs="Times New Roman"/>
        </w:rPr>
        <w:endnoteReference w:id="2"/>
      </w:r>
      <w:r w:rsidRPr="00077830">
        <w:rPr>
          <w:rFonts w:ascii="Times New Roman" w:hAnsi="Times New Roman" w:cs="Times New Roman"/>
        </w:rPr>
        <w:t xml:space="preserve">  The metal-detector survey and trial excavations revealed large quantities of metalwork and animal bone typical of elite activities that were concentrated on a plateau overlooking the Deben.  Of the nearly 4000 metal-detected finds dating from before AD 1650, 1,128 were identified as Anglo-Saxon and most of these date from the </w:t>
      </w:r>
      <w:r w:rsidR="00F5352F">
        <w:rPr>
          <w:rFonts w:ascii="Times New Roman" w:hAnsi="Times New Roman" w:cs="Times New Roman"/>
        </w:rPr>
        <w:t>fif</w:t>
      </w:r>
      <w:r w:rsidRPr="00077830">
        <w:rPr>
          <w:rFonts w:ascii="Times New Roman" w:hAnsi="Times New Roman" w:cs="Times New Roman"/>
        </w:rPr>
        <w:t xml:space="preserve">th to the early </w:t>
      </w:r>
      <w:r w:rsidR="00F5352F">
        <w:rPr>
          <w:rFonts w:ascii="Times New Roman" w:hAnsi="Times New Roman" w:cs="Times New Roman"/>
        </w:rPr>
        <w:t>eigh</w:t>
      </w:r>
      <w:r w:rsidRPr="00077830">
        <w:rPr>
          <w:rFonts w:ascii="Times New Roman" w:hAnsi="Times New Roman" w:cs="Times New Roman"/>
        </w:rPr>
        <w:t xml:space="preserve">th centuries.  The survey, and associated archaeological interventions, were followed by three seasons of more extensive excavation, directed by Chris Scull, in 2020–23. </w:t>
      </w:r>
    </w:p>
    <w:p w14:paraId="28738AEA" w14:textId="3006346E" w:rsidR="00AF6B85" w:rsidRDefault="00B46E75" w:rsidP="007550A2">
      <w:pPr>
        <w:spacing w:before="120"/>
        <w:rPr>
          <w:rFonts w:ascii="Times New Roman" w:hAnsi="Times New Roman" w:cs="Times New Roman"/>
        </w:rPr>
      </w:pPr>
      <w:r w:rsidRPr="00077830">
        <w:rPr>
          <w:rFonts w:ascii="Times New Roman" w:hAnsi="Times New Roman" w:cs="Times New Roman"/>
        </w:rPr>
        <w:lastRenderedPageBreak/>
        <w:t xml:space="preserve">All this has allowed the full extent of the site, its overall spatial organisation and its development over time, to be reconstructed (Scull et al 2016). To the north-east of the present Naunton Hall aerial photography, geophysics and excavation have revealed a dense scatter of pits and traces of numerous </w:t>
      </w:r>
      <w:r w:rsidRPr="00077830">
        <w:rPr>
          <w:rFonts w:ascii="Times New Roman" w:hAnsi="Times New Roman" w:cs="Times New Roman"/>
          <w:i/>
        </w:rPr>
        <w:t>Grubenhäuser</w:t>
      </w:r>
      <w:r w:rsidRPr="00077830">
        <w:rPr>
          <w:rFonts w:ascii="Times New Roman" w:hAnsi="Times New Roman" w:cs="Times New Roman"/>
        </w:rPr>
        <w:t xml:space="preserve"> – sunken floored buildings, used mainly for storage and as workshops. Evidence for animal butchery, textile production and other activities was recovered, suggesting a low-status if extensive area of occupation. In addition, fifth- and sixth-century dress accessories and decorated pottery indicate areas of burial, involving both cremations and inhumations. Settlement in the area lying to the south of Naunton Hall took a very different form. From the 570s this developed as a zone of high-status occupation, with large timber halls and abundant evidence for an elite lifestyle in the form of sophisticated dress jewellery, and weapon and harness fittings, much of it of gold and embellished with garnets, and the consumption of cattle, pigs and sheep when often still young and tender. The elite inhabitants enjoyed connections with distant lands; their possessions included brooches from Frankish Gaul, hanging-bowls from western Britain and vessels from Byzantium. There are quantities of Frankish gold coins, as well as English gold shillings and silver ‘sceattas’. There was also extensive evidence of metalworking in bronze, silver and gold.  This low promontory, between the Deben to the west and a tributary valley to the east, was enclosed by a  substantial palisade. This, clearly, was the residence of the Wuffingas. It remained an important and wealthy place until the second quarter of the eighth century, then declin</w:t>
      </w:r>
      <w:r w:rsidR="00F5352F">
        <w:rPr>
          <w:rFonts w:ascii="Times New Roman" w:hAnsi="Times New Roman" w:cs="Times New Roman"/>
        </w:rPr>
        <w:t>ed</w:t>
      </w:r>
      <w:r w:rsidRPr="00077830">
        <w:rPr>
          <w:rFonts w:ascii="Times New Roman" w:hAnsi="Times New Roman" w:cs="Times New Roman"/>
        </w:rPr>
        <w:t xml:space="preserve"> rapidly in status. </w:t>
      </w:r>
      <w:r w:rsidRPr="00077830">
        <w:rPr>
          <w:rFonts w:ascii="Times New Roman" w:hAnsi="Times New Roman" w:cs="Times New Roman"/>
          <w:color w:val="000000" w:themeColor="text1"/>
        </w:rPr>
        <w:t xml:space="preserve"> </w:t>
      </w:r>
      <w:r w:rsidRPr="00077830">
        <w:rPr>
          <w:rFonts w:ascii="Times New Roman" w:hAnsi="Times New Roman" w:cs="Times New Roman"/>
        </w:rPr>
        <w:t>Later Saxon occupation in the area surveyed appears humdrum, purely agricultural in character.</w:t>
      </w:r>
    </w:p>
    <w:p w14:paraId="2D5AAF68" w14:textId="77777777" w:rsidR="00AF6B85" w:rsidRDefault="00AF6B85" w:rsidP="007550A2">
      <w:pPr>
        <w:spacing w:before="120"/>
        <w:rPr>
          <w:rFonts w:ascii="Times New Roman" w:hAnsi="Times New Roman" w:cs="Times New Roman"/>
          <w:color w:val="000000" w:themeColor="text1"/>
        </w:rPr>
      </w:pPr>
      <w:r w:rsidRPr="00AF6B85">
        <w:rPr>
          <w:rFonts w:ascii="Times New Roman" w:hAnsi="Times New Roman" w:cs="Times New Roman"/>
          <w:color w:val="000000" w:themeColor="text1"/>
        </w:rPr>
        <w:t>What is of particular interest is that the metalwork recovered from the site includes significant amounts of late Roman material, including the latest coinage to reach Britain, and military or official belt fittings. This appears to indicate that there was some kind of official establishment here, suggesting in turn that Rendlesham’s exceptional character in the sixth and seventh centuries owed something to its role as a centre of local or regional authority within the late Roman Empire.</w:t>
      </w:r>
    </w:p>
    <w:p w14:paraId="0634B7DA" w14:textId="77777777" w:rsidR="00B46E75" w:rsidRPr="00077830" w:rsidRDefault="00B46E75" w:rsidP="00C134E9">
      <w:pPr>
        <w:pStyle w:val="Heading2"/>
        <w:rPr>
          <w:rFonts w:ascii="Times New Roman" w:hAnsi="Times New Roman" w:cs="Times New Roman"/>
          <w:sz w:val="24"/>
          <w:szCs w:val="24"/>
        </w:rPr>
      </w:pPr>
      <w:r w:rsidRPr="00077830">
        <w:rPr>
          <w:rFonts w:ascii="Times New Roman" w:hAnsi="Times New Roman" w:cs="Times New Roman"/>
          <w:sz w:val="24"/>
          <w:szCs w:val="24"/>
        </w:rPr>
        <w:t xml:space="preserve">Rendlesham and the ‘river-and-wold’ model </w:t>
      </w:r>
    </w:p>
    <w:p w14:paraId="2F7DE8BC" w14:textId="1DBD9572" w:rsidR="00B46E75" w:rsidRPr="00077830" w:rsidRDefault="00B46E75" w:rsidP="00444217">
      <w:pPr>
        <w:rPr>
          <w:rFonts w:ascii="Times New Roman" w:hAnsi="Times New Roman" w:cs="Times New Roman"/>
        </w:rPr>
      </w:pPr>
      <w:r w:rsidRPr="00077830">
        <w:rPr>
          <w:rFonts w:ascii="Times New Roman" w:hAnsi="Times New Roman" w:cs="Times New Roman"/>
        </w:rPr>
        <w:t xml:space="preserve">A major aim of the project was to understand the site at Rendlesham within its wider environmental, topographic and if possible territorial contexts, and to achieve this we adopted aspects of the influential ‘river-and-wold’ model, developed by Everitt and Phythian and Everitt in the 1970s and 1980s </w:t>
      </w:r>
      <w:r w:rsidRPr="00077830">
        <w:rPr>
          <w:rFonts w:ascii="Times New Roman" w:hAnsi="Times New Roman" w:cs="Times New Roman"/>
          <w:noProof/>
        </w:rPr>
        <w:t>(Everitt 1977; Phythian Adams 1987).</w:t>
      </w:r>
      <w:r w:rsidRPr="00077830">
        <w:rPr>
          <w:rFonts w:ascii="Times New Roman" w:hAnsi="Times New Roman" w:cs="Times New Roman"/>
        </w:rPr>
        <w:t xml:space="preserve">  This takes as its starting point the contrast between soils in the lower parts of river valleys, which are often at least moderately fertile and suitable for use as arable land, and those of the intervening uplands (or </w:t>
      </w:r>
      <w:r w:rsidRPr="00077830">
        <w:rPr>
          <w:rFonts w:ascii="Times New Roman" w:hAnsi="Times New Roman" w:cs="Times New Roman"/>
          <w:i/>
          <w:iCs/>
        </w:rPr>
        <w:t>wolds</w:t>
      </w:r>
      <w:r w:rsidRPr="00077830">
        <w:rPr>
          <w:rFonts w:ascii="Times New Roman" w:hAnsi="Times New Roman" w:cs="Times New Roman"/>
        </w:rPr>
        <w:t>), often characterised by wide areas of heavy, poorly-draining clays or acid soils poorly suited for arable farming.  The model predicts that settlement would be earliest, and most extensive, on the most productive soils in or near valley bottoms, whereas the wold-landscapes of the higher valley sides and interfluves would be occupied by areas of woodland and pasture.  And, because upland wolds are agriculturally marginal, they remain sparsely settled for longer and tend to be marginal also to social territories.</w:t>
      </w:r>
    </w:p>
    <w:p w14:paraId="0C56332A" w14:textId="61D7A38C" w:rsidR="00B46E75" w:rsidRPr="00077830" w:rsidRDefault="00B46E75" w:rsidP="00A03E36">
      <w:pPr>
        <w:rPr>
          <w:rFonts w:ascii="Times New Roman" w:hAnsi="Times New Roman" w:cs="Times New Roman"/>
        </w:rPr>
      </w:pPr>
      <w:r w:rsidRPr="00077830">
        <w:rPr>
          <w:rFonts w:ascii="Times New Roman" w:hAnsi="Times New Roman" w:cs="Times New Roman"/>
        </w:rPr>
        <w:t xml:space="preserve">Interdisciplinary working by the authors enabled complementary evidence-types to be used to explore the applicability of the river-and-wold model to early medieval territories in East Anglia.  Some of this evidence contributed to the identification of zones of non-cultivated land.  Woodland recorded in Domesday Book provides an approximation of the distribution of woodland in 1086, though the recording and mapping of woodland by vills means this will </w:t>
      </w:r>
      <w:r w:rsidRPr="00077830">
        <w:rPr>
          <w:rFonts w:ascii="Times New Roman" w:hAnsi="Times New Roman" w:cs="Times New Roman"/>
        </w:rPr>
        <w:lastRenderedPageBreak/>
        <w:t xml:space="preserve">be locationally imprecise, especially where vills had rights to detached areas of woodland.  However, the modern distributions of ancient woodland (i.e., woodland in existence by 1600 CE), post-medieval heaths and commons, and deer parks likely established before the fourteenth century </w:t>
      </w:r>
      <w:r w:rsidRPr="00077830">
        <w:rPr>
          <w:rFonts w:ascii="Times New Roman" w:hAnsi="Times New Roman" w:cs="Times New Roman"/>
          <w:noProof/>
        </w:rPr>
        <w:t>(from Hoppitt 2020)</w:t>
      </w:r>
      <w:r w:rsidRPr="00077830">
        <w:rPr>
          <w:rFonts w:ascii="Times New Roman" w:hAnsi="Times New Roman" w:cs="Times New Roman"/>
        </w:rPr>
        <w:t xml:space="preserve"> provided further, spatially precise, indications of the former extent of the upland ‘wolds’, representing as they do their tattered remnants.  Place-names referring to woodland and wood-pasture (e.g., OE </w:t>
      </w:r>
      <w:r w:rsidRPr="00077830">
        <w:rPr>
          <w:rFonts w:ascii="Times New Roman" w:hAnsi="Times New Roman" w:cs="Times New Roman"/>
          <w:i/>
          <w:iCs/>
        </w:rPr>
        <w:t xml:space="preserve">lēah </w:t>
      </w:r>
      <w:r w:rsidRPr="00077830">
        <w:rPr>
          <w:rFonts w:ascii="Times New Roman" w:hAnsi="Times New Roman" w:cs="Times New Roman"/>
        </w:rPr>
        <w:t xml:space="preserve">‘clearing, wood’, ON </w:t>
      </w:r>
      <w:r w:rsidRPr="00077830">
        <w:rPr>
          <w:rFonts w:ascii="Times New Roman" w:hAnsi="Times New Roman" w:cs="Times New Roman"/>
          <w:i/>
          <w:iCs/>
        </w:rPr>
        <w:t>skógr</w:t>
      </w:r>
      <w:r w:rsidRPr="00077830">
        <w:rPr>
          <w:rFonts w:ascii="Times New Roman" w:hAnsi="Times New Roman" w:cs="Times New Roman"/>
        </w:rPr>
        <w:t xml:space="preserve"> ‘wood’, OE </w:t>
      </w:r>
      <w:r w:rsidRPr="00077830">
        <w:rPr>
          <w:rFonts w:ascii="Times New Roman" w:hAnsi="Times New Roman" w:cs="Times New Roman"/>
          <w:i/>
          <w:iCs/>
        </w:rPr>
        <w:t>wudu</w:t>
      </w:r>
      <w:r w:rsidRPr="00077830">
        <w:rPr>
          <w:rFonts w:ascii="Times New Roman" w:hAnsi="Times New Roman" w:cs="Times New Roman"/>
        </w:rPr>
        <w:t xml:space="preserve"> </w:t>
      </w:r>
      <w:r w:rsidR="00E94679">
        <w:rPr>
          <w:rFonts w:ascii="Times New Roman" w:hAnsi="Times New Roman" w:cs="Times New Roman"/>
        </w:rPr>
        <w:t>‘</w:t>
      </w:r>
      <w:r w:rsidRPr="00077830">
        <w:rPr>
          <w:rFonts w:ascii="Times New Roman" w:hAnsi="Times New Roman" w:cs="Times New Roman"/>
        </w:rPr>
        <w:t xml:space="preserve">wood’), open or uncultivated land (OE </w:t>
      </w:r>
      <w:r w:rsidRPr="00077830">
        <w:rPr>
          <w:rFonts w:ascii="Times New Roman" w:hAnsi="Times New Roman" w:cs="Times New Roman"/>
          <w:i/>
          <w:iCs/>
        </w:rPr>
        <w:t>feld</w:t>
      </w:r>
      <w:r w:rsidRPr="00077830">
        <w:rPr>
          <w:rFonts w:ascii="Times New Roman" w:hAnsi="Times New Roman" w:cs="Times New Roman"/>
        </w:rPr>
        <w:t>),</w:t>
      </w:r>
      <w:r w:rsidRPr="00077830">
        <w:rPr>
          <w:rStyle w:val="EndnoteReference"/>
          <w:rFonts w:ascii="Times New Roman" w:hAnsi="Times New Roman" w:cs="Times New Roman"/>
        </w:rPr>
        <w:endnoteReference w:id="3"/>
      </w:r>
      <w:r w:rsidRPr="00077830">
        <w:rPr>
          <w:rFonts w:ascii="Times New Roman" w:hAnsi="Times New Roman" w:cs="Times New Roman"/>
        </w:rPr>
        <w:t xml:space="preserve"> and heathland (</w:t>
      </w:r>
      <w:r w:rsidRPr="00077830">
        <w:rPr>
          <w:rFonts w:ascii="Times New Roman" w:hAnsi="Times New Roman" w:cs="Times New Roman"/>
          <w:i/>
          <w:iCs/>
        </w:rPr>
        <w:t>hǣð</w:t>
      </w:r>
      <w:r w:rsidRPr="00077830">
        <w:rPr>
          <w:rFonts w:ascii="Times New Roman" w:hAnsi="Times New Roman" w:cs="Times New Roman"/>
        </w:rPr>
        <w:t xml:space="preserve"> ‘heath, heather’) provide further evidence for the distribution of these areas of agriculturally marginal land.</w:t>
      </w:r>
      <w:r w:rsidRPr="00077830">
        <w:rPr>
          <w:rStyle w:val="EndnoteReference"/>
          <w:rFonts w:ascii="Times New Roman" w:hAnsi="Times New Roman" w:cs="Times New Roman"/>
        </w:rPr>
        <w:endnoteReference w:id="4"/>
      </w:r>
      <w:r w:rsidRPr="00077830">
        <w:rPr>
          <w:rFonts w:ascii="Times New Roman" w:hAnsi="Times New Roman" w:cs="Times New Roman"/>
        </w:rPr>
        <w:t xml:space="preserve">  These place-names, mostly recorded for the first time in 1086, may provide information about landscape that predates the evidence of Domesday Book, as names recorded in Domesday Book are likely to be somewhat older than the first records we have of them.  </w:t>
      </w:r>
    </w:p>
    <w:p w14:paraId="61F594F1" w14:textId="77777777" w:rsidR="00B46E75" w:rsidRPr="00077830" w:rsidRDefault="00B46E75" w:rsidP="00A03E36">
      <w:pPr>
        <w:rPr>
          <w:rFonts w:ascii="Times New Roman" w:hAnsi="Times New Roman" w:cs="Times New Roman"/>
        </w:rPr>
      </w:pPr>
      <w:r w:rsidRPr="00077830">
        <w:rPr>
          <w:rFonts w:ascii="Times New Roman" w:hAnsi="Times New Roman" w:cs="Times New Roman"/>
        </w:rPr>
        <w:t xml:space="preserve">Both place-name and archaeological evidence allows us to establish areas where settlement and other human activities were most extensive.  Place-names of types thought to mainly be used before the eighth century (names in </w:t>
      </w:r>
      <w:r w:rsidRPr="00077830">
        <w:rPr>
          <w:rFonts w:ascii="Times New Roman" w:hAnsi="Times New Roman" w:cs="Times New Roman"/>
        </w:rPr>
        <w:noBreakHyphen/>
      </w:r>
      <w:r w:rsidRPr="00077830">
        <w:rPr>
          <w:rFonts w:ascii="Times New Roman" w:hAnsi="Times New Roman" w:cs="Times New Roman"/>
          <w:i/>
          <w:iCs/>
        </w:rPr>
        <w:t xml:space="preserve">hām </w:t>
      </w:r>
      <w:r w:rsidRPr="00077830">
        <w:rPr>
          <w:rFonts w:ascii="Times New Roman" w:hAnsi="Times New Roman" w:cs="Times New Roman"/>
        </w:rPr>
        <w:t>and</w:t>
      </w:r>
      <w:r w:rsidRPr="00077830">
        <w:rPr>
          <w:rFonts w:ascii="Times New Roman" w:hAnsi="Times New Roman" w:cs="Times New Roman"/>
          <w:i/>
          <w:iCs/>
        </w:rPr>
        <w:t xml:space="preserve"> -inghahām</w:t>
      </w:r>
      <w:r w:rsidRPr="00077830">
        <w:rPr>
          <w:rFonts w:ascii="Times New Roman" w:hAnsi="Times New Roman" w:cs="Times New Roman"/>
        </w:rPr>
        <w:t>) provide an indication of the areas where many early and mid-Saxon settlements were situated.</w:t>
      </w:r>
      <w:r w:rsidRPr="00077830">
        <w:rPr>
          <w:rStyle w:val="EndnoteReference"/>
          <w:rFonts w:ascii="Times New Roman" w:hAnsi="Times New Roman" w:cs="Times New Roman"/>
        </w:rPr>
        <w:endnoteReference w:id="5"/>
      </w:r>
      <w:r w:rsidRPr="00077830">
        <w:rPr>
          <w:rFonts w:ascii="Times New Roman" w:hAnsi="Times New Roman" w:cs="Times New Roman"/>
        </w:rPr>
        <w:t xml:space="preserve">  Alongside the place-name evidence, artefactual and physical evidence from excavation or survey also allows us to identify foci of settlement and other activities.  The distributions of different types of evidence were compared using Geographical Information Systems (GIS) to reconstruct the historical, spatial distributions of early settlement  in East Anglia, and compare these with land-height and soils data.  </w:t>
      </w:r>
    </w:p>
    <w:p w14:paraId="255FD4B8" w14:textId="77777777" w:rsidR="00B46E75" w:rsidRPr="00077830" w:rsidRDefault="00B46E75" w:rsidP="00D61771">
      <w:pPr>
        <w:rPr>
          <w:rFonts w:ascii="Times New Roman" w:hAnsi="Times New Roman" w:cs="Times New Roman"/>
        </w:rPr>
      </w:pPr>
      <w:r w:rsidRPr="00077830">
        <w:rPr>
          <w:rFonts w:ascii="Times New Roman" w:hAnsi="Times New Roman" w:cs="Times New Roman"/>
        </w:rPr>
        <w:t>Multiple strands of evidence indicate that the river-and-wold model’s predictions play out in Rendlesham and the wider region in which it is located.  Early medieval artefacts from the project’s survey area were almost all found on soils that were both fertile and workable: loamy Newport 2 soils and sloping (and thus drainable) clay soils of the Burlingham 3 Association.  Such soils extend along the valleys of the River Deben and of its tributary the Fynn. Rendlesham and other names in -</w:t>
      </w:r>
      <w:r w:rsidRPr="00077830">
        <w:rPr>
          <w:rFonts w:ascii="Times New Roman" w:hAnsi="Times New Roman" w:cs="Times New Roman"/>
          <w:i/>
          <w:iCs/>
        </w:rPr>
        <w:t>hām</w:t>
      </w:r>
      <w:r w:rsidRPr="00077830">
        <w:rPr>
          <w:rFonts w:ascii="Times New Roman" w:hAnsi="Times New Roman" w:cs="Times New Roman"/>
        </w:rPr>
        <w:t xml:space="preserve"> ‘homestead, village’ and </w:t>
      </w:r>
      <w:r w:rsidRPr="00077830">
        <w:rPr>
          <w:rFonts w:ascii="Times New Roman" w:hAnsi="Times New Roman" w:cs="Times New Roman"/>
        </w:rPr>
        <w:noBreakHyphen/>
      </w:r>
      <w:r w:rsidRPr="00077830">
        <w:rPr>
          <w:rFonts w:ascii="Times New Roman" w:hAnsi="Times New Roman" w:cs="Times New Roman"/>
          <w:i/>
          <w:iCs/>
        </w:rPr>
        <w:t>ingahām</w:t>
      </w:r>
      <w:r w:rsidRPr="00077830">
        <w:rPr>
          <w:rFonts w:ascii="Times New Roman" w:hAnsi="Times New Roman" w:cs="Times New Roman"/>
        </w:rPr>
        <w:t xml:space="preserve"> (group-name forming suffix + </w:t>
      </w:r>
      <w:r w:rsidRPr="00077830">
        <w:rPr>
          <w:rFonts w:ascii="Times New Roman" w:hAnsi="Times New Roman" w:cs="Times New Roman"/>
          <w:i/>
          <w:iCs/>
        </w:rPr>
        <w:t>hām</w:t>
      </w:r>
      <w:r w:rsidRPr="00077830">
        <w:rPr>
          <w:rFonts w:ascii="Times New Roman" w:hAnsi="Times New Roman" w:cs="Times New Roman"/>
        </w:rPr>
        <w:t xml:space="preserve">) are similarly found on the light, fertile soils of the river-valleys. In contrast, ancient woodland, deer parks and place-names indicative of woodland and pasture tend to be found on the heavier clay soils on the higher ground north and west of the valleys of the rivers Fynn and Deben and on the acid, sandy soils of the Newport 4 Association to the south and east, which were additionally characterised by large tracts of heathland into the nineteenth century.  </w:t>
      </w:r>
    </w:p>
    <w:p w14:paraId="68705149" w14:textId="4EE5C630" w:rsidR="00B46E75" w:rsidRDefault="00B46E75" w:rsidP="00D61771">
      <w:pPr>
        <w:rPr>
          <w:rFonts w:ascii="Times New Roman" w:hAnsi="Times New Roman" w:cs="Times New Roman"/>
        </w:rPr>
      </w:pPr>
      <w:r w:rsidRPr="00077830">
        <w:rPr>
          <w:rFonts w:ascii="Times New Roman" w:hAnsi="Times New Roman" w:cs="Times New Roman"/>
        </w:rPr>
        <w:t>Rendlesham was thus centrally situated within a large area of fertile, workable soils in the Deben river-valley forming an arable core, which was surrounded by areas of uncultivated land forming a pastoral periphery.  Despite the relatively muted topographic contrast</w:t>
      </w:r>
      <w:r w:rsidR="004D2615">
        <w:rPr>
          <w:rFonts w:ascii="Times New Roman" w:hAnsi="Times New Roman" w:cs="Times New Roman"/>
        </w:rPr>
        <w:t>s</w:t>
      </w:r>
      <w:r w:rsidRPr="00077830">
        <w:rPr>
          <w:rFonts w:ascii="Times New Roman" w:hAnsi="Times New Roman" w:cs="Times New Roman"/>
        </w:rPr>
        <w:t xml:space="preserve"> which characterise this part of East Anglia, areas of wooded ‘wold’ (be it clayey upland or acid heathland), distinct from more intensively exploited river-valley areas, can nevertheless be discerned. It is striking, too, how the boundary of the grouping of five and a half hundreds of Wicklaw (Carlford, Colnes, Loose, Parham, Plomesgate and Wilford) follows the upland, clay wolds for most of its northern and western stretches.</w:t>
      </w:r>
      <w:r w:rsidRPr="00077830">
        <w:rPr>
          <w:rStyle w:val="EndnoteReference"/>
          <w:rFonts w:ascii="Times New Roman" w:hAnsi="Times New Roman" w:cs="Times New Roman"/>
        </w:rPr>
        <w:endnoteReference w:id="6"/>
      </w:r>
      <w:r w:rsidRPr="00077830">
        <w:rPr>
          <w:rFonts w:ascii="Times New Roman" w:hAnsi="Times New Roman" w:cs="Times New Roman"/>
        </w:rPr>
        <w:t xml:space="preserve">  The date at which the group of hundreds, already by the time of Domesday a jurisdictional Liberty annexed to the Abbey of Ely, emerged as a territorial unit is unclear, but Warner’s suggestion that this represents a territory associated with Rendlesham is plausible </w:t>
      </w:r>
      <w:r w:rsidRPr="00077830">
        <w:rPr>
          <w:rFonts w:ascii="Times New Roman" w:hAnsi="Times New Roman" w:cs="Times New Roman"/>
          <w:noProof/>
        </w:rPr>
        <w:t>(Warner 1996: 154–55)</w:t>
      </w:r>
      <w:r w:rsidRPr="00077830">
        <w:rPr>
          <w:rFonts w:ascii="Times New Roman" w:hAnsi="Times New Roman" w:cs="Times New Roman"/>
        </w:rPr>
        <w:t>.</w:t>
      </w:r>
      <w:r>
        <w:rPr>
          <w:rFonts w:ascii="Times New Roman" w:hAnsi="Times New Roman" w:cs="Times New Roman"/>
        </w:rPr>
        <w:t xml:space="preserve"> [</w:t>
      </w:r>
      <w:r w:rsidRPr="00367609">
        <w:rPr>
          <w:rFonts w:ascii="Times New Roman" w:hAnsi="Times New Roman" w:cs="Times New Roman"/>
          <w:highlight w:val="yellow"/>
        </w:rPr>
        <w:t>FIGURE 1 HERE]</w:t>
      </w:r>
    </w:p>
    <w:p w14:paraId="37EB516F" w14:textId="77777777" w:rsidR="00B46E75" w:rsidRPr="00913FCC" w:rsidRDefault="00B46E75" w:rsidP="000A3F71">
      <w:pPr>
        <w:rPr>
          <w:rFonts w:ascii="Times New Roman" w:hAnsi="Times New Roman" w:cs="Times New Roman"/>
          <w:highlight w:val="yellow"/>
        </w:rPr>
      </w:pPr>
      <w:r w:rsidRPr="00913FCC">
        <w:rPr>
          <w:rFonts w:ascii="Times New Roman" w:hAnsi="Times New Roman" w:cs="Times New Roman"/>
          <w:highlight w:val="yellow"/>
        </w:rPr>
        <w:lastRenderedPageBreak/>
        <w:t>Figure 1: The territory of Rendlesham.</w:t>
      </w:r>
    </w:p>
    <w:p w14:paraId="599FE916" w14:textId="787864AD" w:rsidR="00B46E75" w:rsidRPr="00077830" w:rsidRDefault="00B46E75" w:rsidP="000A3F71">
      <w:pPr>
        <w:rPr>
          <w:rFonts w:ascii="Times New Roman" w:hAnsi="Times New Roman" w:cs="Times New Roman"/>
        </w:rPr>
      </w:pPr>
      <w:r w:rsidRPr="00913FCC">
        <w:rPr>
          <w:rFonts w:ascii="Times New Roman" w:hAnsi="Times New Roman" w:cs="Times New Roman"/>
          <w:highlight w:val="yellow"/>
        </w:rPr>
        <w:t xml:space="preserve">1. – Deer parks recorded before 1300 (after Rosemary Hoppitt). 2. – Ancient woodland. </w:t>
      </w:r>
      <w:r w:rsidR="00903E88" w:rsidRPr="00913FCC">
        <w:rPr>
          <w:rFonts w:ascii="Times New Roman" w:hAnsi="Times New Roman" w:cs="Times New Roman"/>
          <w:highlight w:val="yellow"/>
        </w:rPr>
        <w:t>3. Parish with, or containing Domesday vill with, ‘woodland’ place-name . 4</w:t>
      </w:r>
      <w:r w:rsidRPr="00913FCC">
        <w:rPr>
          <w:rFonts w:ascii="Times New Roman" w:hAnsi="Times New Roman" w:cs="Times New Roman"/>
          <w:highlight w:val="yellow"/>
        </w:rPr>
        <w:t>. – Post-medieval commons and heaths.</w:t>
      </w:r>
    </w:p>
    <w:p w14:paraId="66BDE20F" w14:textId="77777777" w:rsidR="00B46E75" w:rsidRPr="00077830" w:rsidRDefault="00B46E75" w:rsidP="006C28F5">
      <w:pPr>
        <w:pStyle w:val="Heading2"/>
        <w:rPr>
          <w:rFonts w:ascii="Times New Roman" w:hAnsi="Times New Roman" w:cs="Times New Roman"/>
          <w:sz w:val="24"/>
          <w:szCs w:val="24"/>
        </w:rPr>
      </w:pPr>
      <w:r w:rsidRPr="00077830">
        <w:rPr>
          <w:rFonts w:ascii="Times New Roman" w:hAnsi="Times New Roman" w:cs="Times New Roman"/>
          <w:sz w:val="24"/>
          <w:szCs w:val="24"/>
        </w:rPr>
        <w:t>Rendlesham in context: sites and territories?</w:t>
      </w:r>
    </w:p>
    <w:p w14:paraId="1D9636F6" w14:textId="1B770565" w:rsidR="00B46E75" w:rsidRDefault="00B46E75" w:rsidP="001B2B4C">
      <w:pPr>
        <w:pStyle w:val="Default"/>
        <w:spacing w:line="276" w:lineRule="auto"/>
        <w:rPr>
          <w:rFonts w:ascii="Times New Roman" w:hAnsi="Times New Roman" w:cs="Times New Roman"/>
          <w:color w:val="auto"/>
        </w:rPr>
      </w:pPr>
      <w:bookmarkStart w:id="0" w:name="_Hlk173753292"/>
      <w:r w:rsidRPr="00077830">
        <w:rPr>
          <w:rFonts w:ascii="Times New Roman" w:hAnsi="Times New Roman" w:cs="Times New Roman"/>
          <w:color w:val="auto"/>
        </w:rPr>
        <w:t xml:space="preserve">The project investigated a number of other late-sixth/seventh-century sites in East Anglia which are primarily known as concentrations of wealthy metalwork (‘productive sites’) discovered by metal detectorists. It also explored their wider landscape context, using the same approaches as those employed for Rendlesham. Not all of these sites have precisely the same character. While those in the Suffolk parishes of Coddenham (in the valley of the Gipping) and Hoxne (in that of the Waveney), for example, appear to have been aristocratic residences, that lying immediately to the west of the Roman town of </w:t>
      </w:r>
      <w:r w:rsidRPr="00077830">
        <w:rPr>
          <w:rFonts w:ascii="Times New Roman" w:hAnsi="Times New Roman" w:cs="Times New Roman"/>
          <w:i/>
          <w:iCs/>
          <w:color w:val="auto"/>
        </w:rPr>
        <w:t>Venta Icenorum</w:t>
      </w:r>
      <w:r w:rsidRPr="00077830">
        <w:rPr>
          <w:rFonts w:ascii="Times New Roman" w:hAnsi="Times New Roman" w:cs="Times New Roman"/>
          <w:color w:val="auto"/>
        </w:rPr>
        <w:t xml:space="preserve"> in the Norfolk parish of Caistor St Edmunds seems to have been a trading place controlled by a powerful local family who buried their dead in the cemetery at nearby Harford Farm and whose actual residence was elsewhere, possibly within the walled town itself. All, however, are in ‘core’ river valley locations, in areas of well-drained and reasonably fertile soil, surrounded by drift covered uplands which archaeological evidence indicates were sparsely settled, and which place</w:t>
      </w:r>
      <w:r w:rsidR="00300D10">
        <w:rPr>
          <w:rFonts w:ascii="Times New Roman" w:hAnsi="Times New Roman" w:cs="Times New Roman"/>
          <w:color w:val="auto"/>
        </w:rPr>
        <w:t>-</w:t>
      </w:r>
      <w:r w:rsidRPr="00077830">
        <w:rPr>
          <w:rFonts w:ascii="Times New Roman" w:hAnsi="Times New Roman" w:cs="Times New Roman"/>
          <w:color w:val="auto"/>
        </w:rPr>
        <w:t>names and other evidence suggest were occupied by grazing grounds and woodland. In these cases, as with Rendlesham, the territories controlled by, and sustaining, these elite establishments seem to be fossilised in later patterns of administrative geography – in groups of hundreds whose outer boundaries run through the high ground between drainage basins, often following the precise line of watersheds. That associated with Caistor, for example, appears to have been based on the drainage basin of the River Tas, and to be preserved by the hundreds of Depwade, Humbleyard and Henstead; the divisions between which form T-junctions with outer boundaries which run through clay covered uplands, replete with ancient woods, former deer parks, and greens and commons (</w:t>
      </w:r>
      <w:r w:rsidRPr="000A3F71">
        <w:rPr>
          <w:rFonts w:ascii="Times New Roman" w:hAnsi="Times New Roman" w:cs="Times New Roman"/>
          <w:color w:val="auto"/>
          <w:highlight w:val="yellow"/>
        </w:rPr>
        <w:t>FIGURE 2 HERE</w:t>
      </w:r>
      <w:r w:rsidRPr="00077830">
        <w:rPr>
          <w:rFonts w:ascii="Times New Roman" w:hAnsi="Times New Roman" w:cs="Times New Roman"/>
          <w:color w:val="auto"/>
        </w:rPr>
        <w:t>).</w:t>
      </w:r>
    </w:p>
    <w:p w14:paraId="26C74938" w14:textId="77777777" w:rsidR="00B46E75" w:rsidRDefault="00B46E75" w:rsidP="001B2B4C">
      <w:pPr>
        <w:pStyle w:val="Default"/>
        <w:spacing w:line="276" w:lineRule="auto"/>
        <w:rPr>
          <w:rFonts w:ascii="Times New Roman" w:hAnsi="Times New Roman" w:cs="Times New Roman"/>
          <w:color w:val="auto"/>
        </w:rPr>
      </w:pPr>
    </w:p>
    <w:p w14:paraId="4650B89E" w14:textId="77777777" w:rsidR="00B46E75" w:rsidRPr="00913FCC" w:rsidRDefault="00B46E75" w:rsidP="000A3F71">
      <w:pPr>
        <w:pStyle w:val="Default"/>
        <w:spacing w:line="276" w:lineRule="auto"/>
        <w:rPr>
          <w:rFonts w:ascii="Times New Roman" w:hAnsi="Times New Roman" w:cs="Times New Roman"/>
          <w:color w:val="auto"/>
          <w:highlight w:val="yellow"/>
        </w:rPr>
      </w:pPr>
      <w:r w:rsidRPr="00913FCC">
        <w:rPr>
          <w:rFonts w:ascii="Times New Roman" w:hAnsi="Times New Roman" w:cs="Times New Roman"/>
          <w:color w:val="auto"/>
          <w:highlight w:val="yellow"/>
        </w:rPr>
        <w:t>Figure 2: The territory associated with the Anglo-Saxon site at Caistor-by-Norwich.</w:t>
      </w:r>
    </w:p>
    <w:p w14:paraId="21C765FC" w14:textId="77777777" w:rsidR="00B46E75" w:rsidRPr="00077830" w:rsidRDefault="00B46E75" w:rsidP="000A3F71">
      <w:pPr>
        <w:pStyle w:val="Default"/>
        <w:spacing w:line="276" w:lineRule="auto"/>
        <w:rPr>
          <w:rFonts w:ascii="Times New Roman" w:hAnsi="Times New Roman" w:cs="Times New Roman"/>
          <w:color w:val="auto"/>
        </w:rPr>
      </w:pPr>
      <w:r w:rsidRPr="00913FCC">
        <w:rPr>
          <w:rFonts w:ascii="Times New Roman" w:hAnsi="Times New Roman" w:cs="Times New Roman"/>
          <w:color w:val="auto"/>
          <w:highlight w:val="yellow"/>
        </w:rPr>
        <w:t>1. – Hundred boundaries. 2. – Post-medieval commons. 3. – Ancient Woodland. 4. – Deer parks recorded before 1300 – extent known. 5. - Deer parks recorded before 1300 – extent unknown (after Rob Liddiard).</w:t>
      </w:r>
    </w:p>
    <w:p w14:paraId="79A02D31" w14:textId="77777777" w:rsidR="00B46E75" w:rsidRPr="00077830" w:rsidRDefault="00B46E75" w:rsidP="001B2B4C">
      <w:pPr>
        <w:pStyle w:val="Default"/>
        <w:spacing w:line="276" w:lineRule="auto"/>
        <w:rPr>
          <w:rFonts w:ascii="Times New Roman" w:hAnsi="Times New Roman" w:cs="Times New Roman"/>
          <w:color w:val="auto"/>
        </w:rPr>
      </w:pPr>
    </w:p>
    <w:p w14:paraId="4594F21E" w14:textId="78A12D88" w:rsidR="00B46E75" w:rsidRPr="00077830" w:rsidRDefault="00B46E75" w:rsidP="001B2B4C">
      <w:pPr>
        <w:rPr>
          <w:rFonts w:ascii="Times New Roman" w:hAnsi="Times New Roman" w:cs="Times New Roman"/>
        </w:rPr>
      </w:pPr>
      <w:r w:rsidRPr="00077830">
        <w:rPr>
          <w:rFonts w:ascii="Times New Roman" w:hAnsi="Times New Roman" w:cs="Times New Roman"/>
        </w:rPr>
        <w:t xml:space="preserve">However, topography may not be the only factor that led to the emergence of dominant elite groups at the sites investigated.  It may not be coincidental that many of these early ‘central places’, in addition to that at Caistor, lie within a few kilometres of a Roman town; that at Coddenham in the case of Coddenham, Hacheston in the case of Rendlesham, </w:t>
      </w:r>
      <w:r>
        <w:rPr>
          <w:rFonts w:ascii="Times New Roman" w:hAnsi="Times New Roman" w:cs="Times New Roman"/>
        </w:rPr>
        <w:t xml:space="preserve">and </w:t>
      </w:r>
      <w:r w:rsidRPr="00077830">
        <w:rPr>
          <w:rFonts w:ascii="Times New Roman" w:hAnsi="Times New Roman" w:cs="Times New Roman"/>
        </w:rPr>
        <w:t xml:space="preserve">Scole in the case of Hoxne. </w:t>
      </w:r>
      <w:r w:rsidR="00993993">
        <w:rPr>
          <w:rFonts w:ascii="Times New Roman" w:hAnsi="Times New Roman" w:cs="Times New Roman"/>
        </w:rPr>
        <w:t>Indeed, t</w:t>
      </w:r>
      <w:r w:rsidR="00993993" w:rsidRPr="00077830">
        <w:rPr>
          <w:rFonts w:ascii="Times New Roman" w:hAnsi="Times New Roman" w:cs="Times New Roman"/>
        </w:rPr>
        <w:t>he names of the two parishes lying on each side of the river Deben between Hacheston and Rendlesham</w:t>
      </w:r>
      <w:r w:rsidR="00993993">
        <w:rPr>
          <w:rFonts w:ascii="Times New Roman" w:hAnsi="Times New Roman" w:cs="Times New Roman"/>
        </w:rPr>
        <w:t xml:space="preserve">, </w:t>
      </w:r>
      <w:r w:rsidR="00993993" w:rsidRPr="00095265">
        <w:rPr>
          <w:rFonts w:ascii="Times New Roman" w:hAnsi="Times New Roman" w:cs="Times New Roman"/>
        </w:rPr>
        <w:t xml:space="preserve">Wickham (Market) and Campsea (Ash) </w:t>
      </w:r>
      <w:r w:rsidR="00993993" w:rsidRPr="00186973">
        <w:rPr>
          <w:rFonts w:ascii="Times New Roman" w:hAnsi="Times New Roman" w:cs="Times New Roman"/>
        </w:rPr>
        <w:t xml:space="preserve">indicate that </w:t>
      </w:r>
      <w:r w:rsidR="00993993">
        <w:rPr>
          <w:rFonts w:ascii="Times New Roman" w:hAnsi="Times New Roman" w:cs="Times New Roman"/>
        </w:rPr>
        <w:t xml:space="preserve">these places received Old English names while </w:t>
      </w:r>
      <w:r w:rsidR="00993993" w:rsidRPr="00186973">
        <w:rPr>
          <w:rFonts w:ascii="Times New Roman" w:hAnsi="Times New Roman" w:cs="Times New Roman"/>
        </w:rPr>
        <w:t xml:space="preserve">the Roman heritage of </w:t>
      </w:r>
      <w:r w:rsidR="00993993">
        <w:rPr>
          <w:rFonts w:ascii="Times New Roman" w:hAnsi="Times New Roman" w:cs="Times New Roman"/>
        </w:rPr>
        <w:t xml:space="preserve">Hacheston was still apparent. Campsea </w:t>
      </w:r>
      <w:r w:rsidR="00993993" w:rsidRPr="00095265">
        <w:rPr>
          <w:rFonts w:ascii="Times New Roman" w:hAnsi="Times New Roman" w:cs="Times New Roman"/>
        </w:rPr>
        <w:t xml:space="preserve">(OE </w:t>
      </w:r>
      <w:r w:rsidR="00993993" w:rsidRPr="00095265">
        <w:rPr>
          <w:rFonts w:ascii="Times New Roman" w:hAnsi="Times New Roman" w:cs="Times New Roman"/>
          <w:i/>
          <w:iCs/>
        </w:rPr>
        <w:t xml:space="preserve">camp </w:t>
      </w:r>
      <w:r w:rsidR="00993993">
        <w:rPr>
          <w:rFonts w:ascii="Times New Roman" w:hAnsi="Times New Roman" w:cs="Times New Roman"/>
        </w:rPr>
        <w:t>‘</w:t>
      </w:r>
      <w:r w:rsidR="00993993" w:rsidRPr="00095265">
        <w:rPr>
          <w:rFonts w:ascii="Times New Roman" w:hAnsi="Times New Roman" w:cs="Times New Roman"/>
        </w:rPr>
        <w:t xml:space="preserve">open land’ + </w:t>
      </w:r>
      <w:r w:rsidR="00993993" w:rsidRPr="00095265">
        <w:rPr>
          <w:rFonts w:ascii="Times New Roman" w:hAnsi="Times New Roman" w:cs="Times New Roman"/>
          <w:i/>
          <w:iCs/>
        </w:rPr>
        <w:t xml:space="preserve">īg </w:t>
      </w:r>
      <w:r w:rsidR="00993993">
        <w:rPr>
          <w:rFonts w:ascii="Times New Roman" w:hAnsi="Times New Roman" w:cs="Times New Roman"/>
        </w:rPr>
        <w:t>‘</w:t>
      </w:r>
      <w:r w:rsidR="00993993" w:rsidRPr="00095265">
        <w:rPr>
          <w:rFonts w:ascii="Times New Roman" w:hAnsi="Times New Roman" w:cs="Times New Roman"/>
        </w:rPr>
        <w:t>island’)</w:t>
      </w:r>
      <w:r w:rsidR="00993993">
        <w:rPr>
          <w:rFonts w:ascii="Times New Roman" w:hAnsi="Times New Roman" w:cs="Times New Roman"/>
        </w:rPr>
        <w:t xml:space="preserve"> and Wickham </w:t>
      </w:r>
      <w:r w:rsidR="00993993" w:rsidRPr="00095265">
        <w:rPr>
          <w:rFonts w:ascii="Times New Roman" w:hAnsi="Times New Roman" w:cs="Times New Roman"/>
        </w:rPr>
        <w:t xml:space="preserve">(OE </w:t>
      </w:r>
      <w:r w:rsidR="00993993" w:rsidRPr="00095265">
        <w:rPr>
          <w:rFonts w:ascii="Times New Roman" w:hAnsi="Times New Roman" w:cs="Times New Roman"/>
          <w:i/>
          <w:iCs/>
        </w:rPr>
        <w:t>wīc</w:t>
      </w:r>
      <w:r w:rsidR="00993993">
        <w:rPr>
          <w:rFonts w:ascii="Times New Roman" w:hAnsi="Times New Roman" w:cs="Times New Roman"/>
          <w:i/>
          <w:iCs/>
        </w:rPr>
        <w:noBreakHyphen/>
      </w:r>
      <w:r w:rsidR="00993993" w:rsidRPr="00095265">
        <w:rPr>
          <w:rFonts w:ascii="Times New Roman" w:hAnsi="Times New Roman" w:cs="Times New Roman"/>
          <w:i/>
          <w:iCs/>
        </w:rPr>
        <w:t>hām</w:t>
      </w:r>
      <w:r w:rsidR="00993993" w:rsidRPr="00095265">
        <w:rPr>
          <w:rFonts w:ascii="Times New Roman" w:hAnsi="Times New Roman" w:cs="Times New Roman"/>
        </w:rPr>
        <w:t>)</w:t>
      </w:r>
      <w:r w:rsidR="00993993">
        <w:rPr>
          <w:rFonts w:ascii="Times New Roman" w:hAnsi="Times New Roman" w:cs="Times New Roman"/>
        </w:rPr>
        <w:t xml:space="preserve">, </w:t>
      </w:r>
      <w:r w:rsidR="00993993" w:rsidRPr="00D74FBA">
        <w:rPr>
          <w:rFonts w:ascii="Times New Roman" w:hAnsi="Times New Roman" w:cs="Times New Roman"/>
        </w:rPr>
        <w:t>are</w:t>
      </w:r>
      <w:r w:rsidR="00993993">
        <w:rPr>
          <w:rFonts w:ascii="Times New Roman" w:hAnsi="Times New Roman" w:cs="Times New Roman"/>
        </w:rPr>
        <w:t xml:space="preserve"> examples of types of place-names which incorporate Latin loanwords (OE </w:t>
      </w:r>
      <w:r w:rsidR="00993993" w:rsidRPr="00D74FBA">
        <w:rPr>
          <w:rFonts w:ascii="Times New Roman" w:hAnsi="Times New Roman" w:cs="Times New Roman"/>
          <w:i/>
          <w:iCs/>
        </w:rPr>
        <w:t>camp</w:t>
      </w:r>
      <w:r w:rsidR="00993993">
        <w:rPr>
          <w:rFonts w:ascii="Times New Roman" w:hAnsi="Times New Roman" w:cs="Times New Roman"/>
        </w:rPr>
        <w:t xml:space="preserve"> &lt; Latin </w:t>
      </w:r>
      <w:r w:rsidR="00993993">
        <w:rPr>
          <w:rFonts w:ascii="Times New Roman" w:hAnsi="Times New Roman" w:cs="Times New Roman"/>
          <w:i/>
          <w:iCs/>
        </w:rPr>
        <w:t>campus</w:t>
      </w:r>
      <w:r w:rsidR="00993993">
        <w:rPr>
          <w:rFonts w:ascii="Times New Roman" w:hAnsi="Times New Roman" w:cs="Times New Roman"/>
        </w:rPr>
        <w:t xml:space="preserve"> and</w:t>
      </w:r>
      <w:r w:rsidR="00993993">
        <w:rPr>
          <w:rFonts w:ascii="Times New Roman" w:hAnsi="Times New Roman" w:cs="Times New Roman"/>
          <w:i/>
          <w:iCs/>
        </w:rPr>
        <w:t xml:space="preserve"> </w:t>
      </w:r>
      <w:r w:rsidR="00993993">
        <w:rPr>
          <w:rFonts w:ascii="Times New Roman" w:hAnsi="Times New Roman" w:cs="Times New Roman"/>
        </w:rPr>
        <w:t xml:space="preserve">OE </w:t>
      </w:r>
      <w:r w:rsidR="00993993">
        <w:rPr>
          <w:rFonts w:ascii="Times New Roman" w:hAnsi="Times New Roman" w:cs="Times New Roman"/>
          <w:i/>
          <w:iCs/>
        </w:rPr>
        <w:t>wīc</w:t>
      </w:r>
      <w:r w:rsidR="00993993">
        <w:rPr>
          <w:rFonts w:ascii="Times New Roman" w:hAnsi="Times New Roman" w:cs="Times New Roman"/>
        </w:rPr>
        <w:t xml:space="preserve"> &lt; Latin </w:t>
      </w:r>
      <w:r w:rsidR="004D2615">
        <w:rPr>
          <w:rFonts w:ascii="Times New Roman" w:hAnsi="Times New Roman" w:cs="Times New Roman"/>
          <w:i/>
          <w:iCs/>
        </w:rPr>
        <w:t>u</w:t>
      </w:r>
      <w:r w:rsidR="00993993">
        <w:rPr>
          <w:rFonts w:ascii="Times New Roman" w:hAnsi="Times New Roman" w:cs="Times New Roman"/>
          <w:i/>
          <w:iCs/>
        </w:rPr>
        <w:t>icus</w:t>
      </w:r>
      <w:r w:rsidR="00993993">
        <w:rPr>
          <w:rFonts w:ascii="Times New Roman" w:hAnsi="Times New Roman" w:cs="Times New Roman"/>
        </w:rPr>
        <w:t xml:space="preserve">) and are spatially associated with Roman settlements </w:t>
      </w:r>
      <w:r w:rsidR="00993993">
        <w:rPr>
          <w:rFonts w:ascii="Times New Roman" w:hAnsi="Times New Roman" w:cs="Times New Roman"/>
        </w:rPr>
        <w:lastRenderedPageBreak/>
        <w:t>(Gelling 1997, 65–88).</w:t>
      </w:r>
      <w:r w:rsidR="00931443">
        <w:rPr>
          <w:rStyle w:val="EndnoteReference"/>
          <w:rFonts w:ascii="Times New Roman" w:hAnsi="Times New Roman" w:cs="Times New Roman"/>
        </w:rPr>
        <w:endnoteReference w:id="7"/>
      </w:r>
      <w:r w:rsidR="00993993" w:rsidRPr="00186973">
        <w:rPr>
          <w:rFonts w:ascii="Times New Roman" w:hAnsi="Times New Roman" w:cs="Times New Roman"/>
        </w:rPr>
        <w:t xml:space="preserve"> </w:t>
      </w:r>
      <w:r w:rsidR="00993993" w:rsidRPr="00095265">
        <w:rPr>
          <w:rFonts w:ascii="Times New Roman" w:hAnsi="Times New Roman" w:cs="Times New Roman"/>
        </w:rPr>
        <w:t xml:space="preserve"> </w:t>
      </w:r>
      <w:r w:rsidRPr="00077830">
        <w:rPr>
          <w:rFonts w:ascii="Times New Roman" w:hAnsi="Times New Roman" w:cs="Times New Roman"/>
        </w:rPr>
        <w:t>While the importance of the areas in question in both the Roman and early medieval periods may reflect geographical factors, there may also have been direct continuity of social and political significance. The sites at Coddenham and Hoxne, like that at Rendlesham, have both produced finds suggestive of some administrative or military presence at the very end of the Roman period. There are hints here, perhaps, that the geography of power in early/middle Saxon East Anglia had its roots in the devolution of authority, in the late fourth and early fifth centuries, from urban centres to the residences of aristocratic families in their immediate hinterlands.</w:t>
      </w:r>
    </w:p>
    <w:bookmarkEnd w:id="0"/>
    <w:p w14:paraId="7E193193" w14:textId="77777777" w:rsidR="00B46E75" w:rsidRPr="00077830" w:rsidRDefault="00B46E75" w:rsidP="00C134E9">
      <w:pPr>
        <w:pStyle w:val="Heading2"/>
        <w:rPr>
          <w:rFonts w:ascii="Times New Roman" w:hAnsi="Times New Roman" w:cs="Times New Roman"/>
          <w:sz w:val="24"/>
          <w:szCs w:val="24"/>
        </w:rPr>
      </w:pPr>
      <w:r w:rsidRPr="00077830">
        <w:rPr>
          <w:rFonts w:ascii="Times New Roman" w:hAnsi="Times New Roman" w:cs="Times New Roman"/>
          <w:sz w:val="24"/>
          <w:szCs w:val="24"/>
        </w:rPr>
        <w:t>Beyond landscape: other uses of place-name</w:t>
      </w:r>
    </w:p>
    <w:p w14:paraId="278FDBF3" w14:textId="0915CD43" w:rsidR="00B46E75" w:rsidRPr="00077830" w:rsidRDefault="00B46E75" w:rsidP="00376619">
      <w:pPr>
        <w:rPr>
          <w:rFonts w:ascii="Times New Roman" w:hAnsi="Times New Roman" w:cs="Times New Roman"/>
        </w:rPr>
      </w:pPr>
      <w:r w:rsidRPr="00077830">
        <w:rPr>
          <w:rFonts w:ascii="Times New Roman" w:hAnsi="Times New Roman" w:cs="Times New Roman"/>
        </w:rPr>
        <w:t xml:space="preserve">The use of place-name evidence in the characterisation of landscape at the regional, East Anglian scale was the main toponymic contribution to the project.  However, place-name evidence also contributed to other aspects of the research.  Collection and analysis of place-names referring to travel infrastructure (e.g. Wilford (Bridge) ‘willow ford’ &lt; OE </w:t>
      </w:r>
      <w:r w:rsidRPr="00077830">
        <w:rPr>
          <w:rFonts w:ascii="Times New Roman" w:hAnsi="Times New Roman" w:cs="Times New Roman"/>
          <w:i/>
          <w:iCs/>
        </w:rPr>
        <w:t>*wilig</w:t>
      </w:r>
      <w:r w:rsidRPr="00077830">
        <w:rPr>
          <w:rFonts w:ascii="Times New Roman" w:hAnsi="Times New Roman" w:cs="Times New Roman"/>
        </w:rPr>
        <w:t xml:space="preserve"> + </w:t>
      </w:r>
      <w:r w:rsidRPr="00077830">
        <w:rPr>
          <w:rFonts w:ascii="Times New Roman" w:hAnsi="Times New Roman" w:cs="Times New Roman"/>
          <w:i/>
          <w:iCs/>
        </w:rPr>
        <w:t>ford</w:t>
      </w:r>
      <w:r w:rsidRPr="00077830">
        <w:rPr>
          <w:rFonts w:ascii="Times New Roman" w:hAnsi="Times New Roman" w:cs="Times New Roman"/>
        </w:rPr>
        <w:t>) contributed to research into overland and water-borne connectivity in the area around Rendlesham.</w:t>
      </w:r>
      <w:r w:rsidRPr="00077830">
        <w:rPr>
          <w:rStyle w:val="EndnoteReference"/>
          <w:rFonts w:ascii="Times New Roman" w:hAnsi="Times New Roman" w:cs="Times New Roman"/>
        </w:rPr>
        <w:endnoteReference w:id="8"/>
      </w:r>
      <w:r w:rsidRPr="00077830">
        <w:rPr>
          <w:rFonts w:ascii="Times New Roman" w:hAnsi="Times New Roman" w:cs="Times New Roman"/>
        </w:rPr>
        <w:t xml:space="preserve">  Minor place-names in Rendlesham and the neighbouring parishes of Campsea Ash were also collected from Tithe Award documentation, seventeenth- to nineteenth century estate maps, and medieval and early modern manorial documents.  This line of research was not pursued in detail as there was poor correspondence between medieval and modern names.</w:t>
      </w:r>
      <w:r w:rsidRPr="00077830">
        <w:rPr>
          <w:rStyle w:val="EndnoteReference"/>
          <w:rFonts w:ascii="Times New Roman" w:hAnsi="Times New Roman" w:cs="Times New Roman"/>
        </w:rPr>
        <w:endnoteReference w:id="9"/>
      </w:r>
      <w:r w:rsidRPr="00077830">
        <w:rPr>
          <w:rFonts w:ascii="Times New Roman" w:hAnsi="Times New Roman" w:cs="Times New Roman"/>
        </w:rPr>
        <w:t xml:space="preserve">  This meant that few medieval minor names could be localised, limiting our ability to use them to characterise the local landscape in the late medieval period.  However, research into field-names nevertheless revealed that the Woodenhall names (discussed above) were recorded in the eighteenth century as Great, Little and Wood Norralds (SRO, HD 427/1). Woodenhalls is thus likely to be a folk-etymological re-shaping of the name Wood Norralds</w:t>
      </w:r>
      <w:r w:rsidR="00300D10">
        <w:rPr>
          <w:rFonts w:ascii="Times New Roman" w:hAnsi="Times New Roman" w:cs="Times New Roman"/>
        </w:rPr>
        <w:t xml:space="preserve"> and</w:t>
      </w:r>
      <w:r w:rsidRPr="00077830">
        <w:rPr>
          <w:rFonts w:ascii="Times New Roman" w:hAnsi="Times New Roman" w:cs="Times New Roman"/>
        </w:rPr>
        <w:t xml:space="preserve"> the suggestion that the name preserves a memory of an earlier hall can be ruled out.  Additionally, the survival of a handful of field-names from an extent of 1387 (surviving as a sixteenth-century copy; SRO HB 416/B4/1/30) and a fragment of a fourteenth-century rental (HB 416/B4/3/7) into the eighteenth and nineteenth centuries allowed a previously unknown manor centred on Red House Farm in the south of the parish of Rendlesham to be identified.</w:t>
      </w:r>
    </w:p>
    <w:p w14:paraId="54F5C361" w14:textId="77777777" w:rsidR="00B46E75" w:rsidRPr="00077830" w:rsidRDefault="00B46E75" w:rsidP="00C134E9">
      <w:pPr>
        <w:pStyle w:val="Heading2"/>
        <w:rPr>
          <w:rFonts w:ascii="Times New Roman" w:hAnsi="Times New Roman" w:cs="Times New Roman"/>
          <w:sz w:val="24"/>
          <w:szCs w:val="24"/>
        </w:rPr>
      </w:pPr>
      <w:r w:rsidRPr="00077830">
        <w:rPr>
          <w:rFonts w:ascii="Times New Roman" w:hAnsi="Times New Roman" w:cs="Times New Roman"/>
          <w:sz w:val="24"/>
          <w:szCs w:val="24"/>
        </w:rPr>
        <w:t>Concluding comments</w:t>
      </w:r>
    </w:p>
    <w:p w14:paraId="735552BA" w14:textId="77777777" w:rsidR="00B46E75" w:rsidRDefault="00B46E75" w:rsidP="009454D0">
      <w:pPr>
        <w:rPr>
          <w:rFonts w:ascii="Times New Roman" w:hAnsi="Times New Roman" w:cs="Times New Roman"/>
        </w:rPr>
        <w:sectPr w:rsidR="00B46E75" w:rsidSect="00B46E75">
          <w:footerReference w:type="default" r:id="rId8"/>
          <w:endnotePr>
            <w:numFmt w:val="decimal"/>
          </w:endnotePr>
          <w:pgSz w:w="11906" w:h="16838"/>
          <w:pgMar w:top="1440" w:right="1440" w:bottom="1440" w:left="1440" w:header="708" w:footer="708" w:gutter="0"/>
          <w:cols w:space="708"/>
          <w:docGrid w:linePitch="360"/>
        </w:sectPr>
      </w:pPr>
      <w:r w:rsidRPr="00077830">
        <w:rPr>
          <w:rFonts w:ascii="Times New Roman" w:hAnsi="Times New Roman" w:cs="Times New Roman"/>
        </w:rPr>
        <w:t xml:space="preserve">Work by the wider </w:t>
      </w:r>
      <w:r w:rsidRPr="00077830">
        <w:rPr>
          <w:rFonts w:ascii="Times New Roman" w:hAnsi="Times New Roman" w:cs="Times New Roman"/>
          <w:i/>
        </w:rPr>
        <w:t xml:space="preserve">Lordship and Landscape </w:t>
      </w:r>
      <w:r w:rsidRPr="00077830">
        <w:rPr>
          <w:rFonts w:ascii="Times New Roman" w:hAnsi="Times New Roman" w:cs="Times New Roman"/>
          <w:iCs/>
        </w:rPr>
        <w:t xml:space="preserve">team </w:t>
      </w:r>
      <w:r w:rsidRPr="00077830">
        <w:rPr>
          <w:rFonts w:ascii="Times New Roman" w:hAnsi="Times New Roman" w:cs="Times New Roman"/>
        </w:rPr>
        <w:t xml:space="preserve">will shortly be published as an open-access monograph </w:t>
      </w:r>
      <w:r w:rsidRPr="00077830">
        <w:rPr>
          <w:rFonts w:ascii="Times New Roman" w:hAnsi="Times New Roman" w:cs="Times New Roman"/>
          <w:i/>
          <w:iCs/>
        </w:rPr>
        <w:t>Lordship and Landscape in East Anglia AD 400–800</w:t>
      </w:r>
      <w:r w:rsidRPr="00077830">
        <w:rPr>
          <w:rFonts w:ascii="Times New Roman" w:hAnsi="Times New Roman" w:cs="Times New Roman"/>
        </w:rPr>
        <w:t xml:space="preserve"> and on-line catalogue and archive.</w:t>
      </w:r>
      <w:r w:rsidRPr="00077830">
        <w:rPr>
          <w:rStyle w:val="EndnoteReference"/>
          <w:rFonts w:ascii="Times New Roman" w:hAnsi="Times New Roman" w:cs="Times New Roman"/>
        </w:rPr>
        <w:endnoteReference w:id="10"/>
      </w:r>
      <w:r w:rsidRPr="00077830">
        <w:rPr>
          <w:rFonts w:ascii="Times New Roman" w:hAnsi="Times New Roman" w:cs="Times New Roman"/>
        </w:rPr>
        <w:t xml:space="preserve"> The project revealed clearly the benefits of inter-disciplinary research.  The primary contribution of place-name research was in the definition of zones over which regional, primarily catchment-oriented, territorial lordships were established and, within these, in the identification of areas of early post-Roman settlements.  This research built on the work of EPNS scholars over the past 100 years, from existing EPNS publications </w:t>
      </w:r>
      <w:r w:rsidRPr="00077830">
        <w:rPr>
          <w:rFonts w:ascii="Times New Roman" w:hAnsi="Times New Roman" w:cs="Times New Roman"/>
          <w:noProof/>
        </w:rPr>
        <w:t>(Briggs and Kilpatrick 2016; EPNE; PN Nf)</w:t>
      </w:r>
      <w:r w:rsidRPr="00077830">
        <w:rPr>
          <w:rFonts w:ascii="Times New Roman" w:hAnsi="Times New Roman" w:cs="Times New Roman"/>
        </w:rPr>
        <w:t xml:space="preserve"> and collections of place-name attestations (the Norfolk slip collection) through to the forthcoming Suffolk survey by Keith Briggs.  We are indebted to EPNS scholars past and present for the contributions on which </w:t>
      </w:r>
      <w:r w:rsidRPr="00077830">
        <w:rPr>
          <w:rFonts w:ascii="Times New Roman" w:hAnsi="Times New Roman" w:cs="Times New Roman"/>
          <w:i/>
          <w:iCs/>
        </w:rPr>
        <w:t>Lordship and Landscape</w:t>
      </w:r>
      <w:r w:rsidRPr="00077830">
        <w:rPr>
          <w:rFonts w:ascii="Times New Roman" w:hAnsi="Times New Roman" w:cs="Times New Roman"/>
        </w:rPr>
        <w:t xml:space="preserve"> could build.</w:t>
      </w:r>
    </w:p>
    <w:p w14:paraId="2B539864" w14:textId="77777777" w:rsidR="00B46E75" w:rsidRPr="00077830" w:rsidRDefault="00B46E75" w:rsidP="009454D0">
      <w:pPr>
        <w:rPr>
          <w:rFonts w:ascii="Times New Roman" w:hAnsi="Times New Roman" w:cs="Times New Roman"/>
        </w:rPr>
      </w:pPr>
    </w:p>
    <w:p w14:paraId="410A00AE" w14:textId="77777777" w:rsidR="00B46E75" w:rsidRPr="00077830" w:rsidRDefault="00B46E75" w:rsidP="005D40EB">
      <w:pPr>
        <w:pStyle w:val="Heading2"/>
        <w:rPr>
          <w:rFonts w:ascii="Times New Roman" w:hAnsi="Times New Roman" w:cs="Times New Roman"/>
          <w:sz w:val="24"/>
          <w:szCs w:val="24"/>
        </w:rPr>
      </w:pPr>
      <w:r w:rsidRPr="00077830">
        <w:rPr>
          <w:rFonts w:ascii="Times New Roman" w:hAnsi="Times New Roman" w:cs="Times New Roman"/>
          <w:sz w:val="24"/>
          <w:szCs w:val="24"/>
        </w:rPr>
        <w:t>References</w:t>
      </w:r>
    </w:p>
    <w:p w14:paraId="37C8F093" w14:textId="77777777" w:rsidR="00B46E75" w:rsidRPr="00077830" w:rsidRDefault="00B46E75" w:rsidP="005D40EB">
      <w:pPr>
        <w:pStyle w:val="EndNoteBibliography"/>
        <w:spacing w:after="0"/>
        <w:ind w:left="720" w:hanging="720"/>
        <w:rPr>
          <w:rFonts w:ascii="Times New Roman" w:hAnsi="Times New Roman" w:cs="Times New Roman"/>
        </w:rPr>
      </w:pPr>
      <w:r w:rsidRPr="00077830">
        <w:rPr>
          <w:rFonts w:ascii="Times New Roman" w:hAnsi="Times New Roman" w:cs="Times New Roman"/>
        </w:rPr>
        <w:t xml:space="preserve">Arnott, W. G. (1946), </w:t>
      </w:r>
      <w:r w:rsidRPr="00077830">
        <w:rPr>
          <w:rFonts w:ascii="Times New Roman" w:hAnsi="Times New Roman" w:cs="Times New Roman"/>
          <w:i/>
        </w:rPr>
        <w:t>The Place-Names of the Deben Valley Parishes</w:t>
      </w:r>
      <w:r w:rsidRPr="00077830">
        <w:rPr>
          <w:rFonts w:ascii="Times New Roman" w:hAnsi="Times New Roman" w:cs="Times New Roman"/>
        </w:rPr>
        <w:t xml:space="preserve"> (Ipswich: Adlard).</w:t>
      </w:r>
    </w:p>
    <w:p w14:paraId="32C1F751" w14:textId="77777777" w:rsidR="00B46E75" w:rsidRPr="00077830" w:rsidRDefault="00B46E75" w:rsidP="005D40EB">
      <w:pPr>
        <w:pStyle w:val="EndNoteBibliography"/>
        <w:spacing w:after="0"/>
        <w:ind w:left="720" w:hanging="720"/>
        <w:rPr>
          <w:rFonts w:ascii="Times New Roman" w:hAnsi="Times New Roman" w:cs="Times New Roman"/>
        </w:rPr>
      </w:pPr>
      <w:r w:rsidRPr="00077830">
        <w:rPr>
          <w:rFonts w:ascii="Times New Roman" w:hAnsi="Times New Roman" w:cs="Times New Roman"/>
        </w:rPr>
        <w:t xml:space="preserve">Briggs, Keith (2018), ‘Where in Suffolk was </w:t>
      </w:r>
      <w:r w:rsidRPr="00077830">
        <w:rPr>
          <w:rFonts w:ascii="Times New Roman" w:hAnsi="Times New Roman" w:cs="Times New Roman"/>
          <w:i/>
        </w:rPr>
        <w:t>Wicklaw</w:t>
      </w:r>
      <w:r w:rsidRPr="00077830">
        <w:rPr>
          <w:rFonts w:ascii="Times New Roman" w:hAnsi="Times New Roman" w:cs="Times New Roman"/>
        </w:rPr>
        <w:t xml:space="preserve">?’, </w:t>
      </w:r>
      <w:r w:rsidRPr="00077830">
        <w:rPr>
          <w:rFonts w:ascii="Times New Roman" w:hAnsi="Times New Roman" w:cs="Times New Roman"/>
          <w:iCs/>
        </w:rPr>
        <w:t xml:space="preserve">JEPNS </w:t>
      </w:r>
      <w:r w:rsidRPr="00077830">
        <w:rPr>
          <w:rFonts w:ascii="Times New Roman" w:hAnsi="Times New Roman" w:cs="Times New Roman"/>
        </w:rPr>
        <w:t>50, 11–15.</w:t>
      </w:r>
    </w:p>
    <w:p w14:paraId="5639B5F1" w14:textId="77777777" w:rsidR="00B46E75" w:rsidRPr="00077830" w:rsidRDefault="00B46E75" w:rsidP="005D40EB">
      <w:pPr>
        <w:pStyle w:val="EndNoteBibliography"/>
        <w:spacing w:after="0"/>
        <w:ind w:left="720" w:hanging="720"/>
        <w:rPr>
          <w:rFonts w:ascii="Times New Roman" w:hAnsi="Times New Roman" w:cs="Times New Roman"/>
        </w:rPr>
      </w:pPr>
      <w:r w:rsidRPr="00077830">
        <w:rPr>
          <w:rFonts w:ascii="Times New Roman" w:hAnsi="Times New Roman" w:cs="Times New Roman"/>
        </w:rPr>
        <w:t xml:space="preserve">Briggs, Keith, and Kelly Kilpatrick (2016), </w:t>
      </w:r>
      <w:r w:rsidRPr="00077830">
        <w:rPr>
          <w:rFonts w:ascii="Times New Roman" w:hAnsi="Times New Roman" w:cs="Times New Roman"/>
          <w:i/>
        </w:rPr>
        <w:t>A Dictionary of Suffolk Place-Names</w:t>
      </w:r>
      <w:r w:rsidRPr="00077830">
        <w:rPr>
          <w:rFonts w:ascii="Times New Roman" w:hAnsi="Times New Roman" w:cs="Times New Roman"/>
        </w:rPr>
        <w:t xml:space="preserve">, EPNS Popular Series </w:t>
      </w:r>
      <w:r w:rsidRPr="00077830">
        <w:rPr>
          <w:rFonts w:ascii="Times New Roman" w:hAnsi="Times New Roman" w:cs="Times New Roman"/>
          <w:b/>
        </w:rPr>
        <w:t>6</w:t>
      </w:r>
      <w:r w:rsidRPr="00077830">
        <w:rPr>
          <w:rFonts w:ascii="Times New Roman" w:hAnsi="Times New Roman" w:cs="Times New Roman"/>
        </w:rPr>
        <w:t xml:space="preserve"> (Nottingham: EPNS).</w:t>
      </w:r>
    </w:p>
    <w:p w14:paraId="7F05BE61" w14:textId="77777777" w:rsidR="00B46E75" w:rsidRPr="00077830" w:rsidRDefault="00B46E75" w:rsidP="005D40EB">
      <w:pPr>
        <w:pStyle w:val="EndNoteBibliography"/>
        <w:spacing w:after="0"/>
        <w:ind w:left="720" w:hanging="720"/>
        <w:rPr>
          <w:rFonts w:ascii="Times New Roman" w:hAnsi="Times New Roman" w:cs="Times New Roman"/>
        </w:rPr>
      </w:pPr>
      <w:r w:rsidRPr="00077830">
        <w:rPr>
          <w:rFonts w:ascii="Times New Roman" w:hAnsi="Times New Roman" w:cs="Times New Roman"/>
        </w:rPr>
        <w:t xml:space="preserve">Bruce-Mitford, R. L. S. (1948), ‘Saxon Rendlesham’, </w:t>
      </w:r>
      <w:r w:rsidRPr="00077830">
        <w:rPr>
          <w:rFonts w:ascii="Times New Roman" w:hAnsi="Times New Roman" w:cs="Times New Roman"/>
          <w:i/>
        </w:rPr>
        <w:t>Suffolk Institute of Archaeology and History</w:t>
      </w:r>
      <w:r w:rsidRPr="00077830">
        <w:rPr>
          <w:rFonts w:ascii="Times New Roman" w:hAnsi="Times New Roman" w:cs="Times New Roman"/>
        </w:rPr>
        <w:t xml:space="preserve"> 24.3, 228–51.</w:t>
      </w:r>
    </w:p>
    <w:p w14:paraId="1A659BA8" w14:textId="77777777" w:rsidR="00B46E75" w:rsidRPr="00077830" w:rsidRDefault="00B46E75" w:rsidP="005D40EB">
      <w:pPr>
        <w:pStyle w:val="EndNoteBibliography"/>
        <w:spacing w:after="0"/>
        <w:ind w:left="720" w:hanging="720"/>
        <w:rPr>
          <w:rFonts w:ascii="Times New Roman" w:hAnsi="Times New Roman" w:cs="Times New Roman"/>
        </w:rPr>
      </w:pPr>
      <w:r w:rsidRPr="00077830">
        <w:rPr>
          <w:rFonts w:ascii="Times New Roman" w:hAnsi="Times New Roman" w:cs="Times New Roman"/>
        </w:rPr>
        <w:t xml:space="preserve">Colgrave, Bertram , and R. A. B. Mynors (1969), </w:t>
      </w:r>
      <w:r w:rsidRPr="00077830">
        <w:rPr>
          <w:rFonts w:ascii="Times New Roman" w:hAnsi="Times New Roman" w:cs="Times New Roman"/>
          <w:i/>
        </w:rPr>
        <w:t>Bede’s Ecclesiastical History of the English People</w:t>
      </w:r>
      <w:r w:rsidRPr="00077830">
        <w:rPr>
          <w:rFonts w:ascii="Times New Roman" w:hAnsi="Times New Roman" w:cs="Times New Roman"/>
        </w:rPr>
        <w:t xml:space="preserve"> (Oxford: Clarendon).</w:t>
      </w:r>
    </w:p>
    <w:p w14:paraId="47113ECB" w14:textId="77777777" w:rsidR="00B46E75" w:rsidRPr="00077830" w:rsidRDefault="00B46E75" w:rsidP="005D40EB">
      <w:pPr>
        <w:pStyle w:val="EndNoteBibliography"/>
        <w:spacing w:after="0"/>
        <w:ind w:left="720" w:hanging="720"/>
        <w:rPr>
          <w:rFonts w:ascii="Times New Roman" w:hAnsi="Times New Roman" w:cs="Times New Roman"/>
        </w:rPr>
      </w:pPr>
      <w:r w:rsidRPr="00077830">
        <w:rPr>
          <w:rFonts w:ascii="Times New Roman" w:hAnsi="Times New Roman" w:cs="Times New Roman"/>
        </w:rPr>
        <w:t xml:space="preserve">Ekwall, Eilert (1960), </w:t>
      </w:r>
      <w:r w:rsidRPr="00077830">
        <w:rPr>
          <w:rFonts w:ascii="Times New Roman" w:hAnsi="Times New Roman" w:cs="Times New Roman"/>
          <w:i/>
        </w:rPr>
        <w:t>The Concise Oxford Dctionary of English Place-Names</w:t>
      </w:r>
      <w:r w:rsidRPr="00077830">
        <w:rPr>
          <w:rFonts w:ascii="Times New Roman" w:hAnsi="Times New Roman" w:cs="Times New Roman"/>
        </w:rPr>
        <w:t xml:space="preserve"> (Oxford: Clarendon).</w:t>
      </w:r>
    </w:p>
    <w:p w14:paraId="7BA2C583" w14:textId="77777777" w:rsidR="00B46E75" w:rsidRPr="00077830" w:rsidRDefault="00B46E75" w:rsidP="005D40EB">
      <w:pPr>
        <w:pStyle w:val="EndNoteBibliography"/>
        <w:spacing w:after="0"/>
        <w:ind w:left="720" w:hanging="720"/>
        <w:rPr>
          <w:rFonts w:ascii="Times New Roman" w:hAnsi="Times New Roman" w:cs="Times New Roman"/>
        </w:rPr>
      </w:pPr>
      <w:r w:rsidRPr="00077830">
        <w:rPr>
          <w:rFonts w:ascii="Times New Roman" w:hAnsi="Times New Roman" w:cs="Times New Roman"/>
        </w:rPr>
        <w:t xml:space="preserve">Everitt, Alan (1977), ‘River and wold: reflections on the historical origins of regions and </w:t>
      </w:r>
      <w:r w:rsidRPr="00077830">
        <w:rPr>
          <w:rFonts w:ascii="Times New Roman" w:hAnsi="Times New Roman" w:cs="Times New Roman"/>
          <w:i/>
        </w:rPr>
        <w:t>pays</w:t>
      </w:r>
      <w:r w:rsidRPr="00077830">
        <w:rPr>
          <w:rFonts w:ascii="Times New Roman" w:hAnsi="Times New Roman" w:cs="Times New Roman"/>
        </w:rPr>
        <w:t xml:space="preserve">’, </w:t>
      </w:r>
      <w:r w:rsidRPr="00077830">
        <w:rPr>
          <w:rFonts w:ascii="Times New Roman" w:hAnsi="Times New Roman" w:cs="Times New Roman"/>
          <w:i/>
        </w:rPr>
        <w:t>Journal of Historical Geography</w:t>
      </w:r>
      <w:r w:rsidRPr="00077830">
        <w:rPr>
          <w:rFonts w:ascii="Times New Roman" w:hAnsi="Times New Roman" w:cs="Times New Roman"/>
        </w:rPr>
        <w:t xml:space="preserve"> 3, 1–19.</w:t>
      </w:r>
    </w:p>
    <w:p w14:paraId="2E8035A4" w14:textId="77777777" w:rsidR="00B46E75" w:rsidRPr="00077830" w:rsidRDefault="00B46E75" w:rsidP="005D40EB">
      <w:pPr>
        <w:pStyle w:val="EndNoteBibliography"/>
        <w:spacing w:after="0"/>
        <w:ind w:left="720" w:hanging="720"/>
        <w:rPr>
          <w:rFonts w:ascii="Times New Roman" w:hAnsi="Times New Roman" w:cs="Times New Roman"/>
        </w:rPr>
      </w:pPr>
      <w:r w:rsidRPr="00077830">
        <w:rPr>
          <w:rFonts w:ascii="Times New Roman" w:hAnsi="Times New Roman" w:cs="Times New Roman"/>
        </w:rPr>
        <w:t xml:space="preserve">Gelling, Margaret (1997), </w:t>
      </w:r>
      <w:r w:rsidRPr="00077830">
        <w:rPr>
          <w:rFonts w:ascii="Times New Roman" w:hAnsi="Times New Roman" w:cs="Times New Roman"/>
          <w:i/>
        </w:rPr>
        <w:t>Signposts to the past: place-names and the history of England</w:t>
      </w:r>
      <w:r w:rsidRPr="00077830">
        <w:rPr>
          <w:rFonts w:ascii="Times New Roman" w:hAnsi="Times New Roman" w:cs="Times New Roman"/>
        </w:rPr>
        <w:t xml:space="preserve"> (Chichester: Phillimore).</w:t>
      </w:r>
    </w:p>
    <w:p w14:paraId="0796A295" w14:textId="77777777" w:rsidR="00B46E75" w:rsidRPr="00077830" w:rsidRDefault="00B46E75" w:rsidP="005D40EB">
      <w:pPr>
        <w:pStyle w:val="EndNoteBibliography"/>
        <w:spacing w:after="0"/>
        <w:ind w:left="720" w:hanging="720"/>
        <w:rPr>
          <w:rFonts w:ascii="Times New Roman" w:hAnsi="Times New Roman" w:cs="Times New Roman"/>
        </w:rPr>
      </w:pPr>
      <w:r w:rsidRPr="00077830">
        <w:rPr>
          <w:rFonts w:ascii="Times New Roman" w:hAnsi="Times New Roman" w:cs="Times New Roman"/>
        </w:rPr>
        <w:t xml:space="preserve">Gelling, Margaret, and Ann Cole (2000), </w:t>
      </w:r>
      <w:r w:rsidRPr="00077830">
        <w:rPr>
          <w:rFonts w:ascii="Times New Roman" w:hAnsi="Times New Roman" w:cs="Times New Roman"/>
          <w:i/>
        </w:rPr>
        <w:t>The Landscape of Place-Names</w:t>
      </w:r>
      <w:r w:rsidRPr="00077830">
        <w:rPr>
          <w:rFonts w:ascii="Times New Roman" w:hAnsi="Times New Roman" w:cs="Times New Roman"/>
        </w:rPr>
        <w:t xml:space="preserve"> (Stamford: Shaun Tyas).</w:t>
      </w:r>
    </w:p>
    <w:p w14:paraId="38E7E4FA" w14:textId="77777777" w:rsidR="00B46E75" w:rsidRPr="00077830" w:rsidRDefault="00B46E75" w:rsidP="005D40EB">
      <w:pPr>
        <w:pStyle w:val="EndNoteBibliography"/>
        <w:spacing w:after="0"/>
        <w:ind w:left="720" w:hanging="720"/>
        <w:rPr>
          <w:rFonts w:ascii="Times New Roman" w:hAnsi="Times New Roman" w:cs="Times New Roman"/>
        </w:rPr>
      </w:pPr>
      <w:r w:rsidRPr="00077830">
        <w:rPr>
          <w:rFonts w:ascii="Times New Roman" w:hAnsi="Times New Roman" w:cs="Times New Roman"/>
        </w:rPr>
        <w:t xml:space="preserve">Hoppitt, Rosemary (2020), </w:t>
      </w:r>
      <w:r w:rsidRPr="00077830">
        <w:rPr>
          <w:rFonts w:ascii="Times New Roman" w:hAnsi="Times New Roman" w:cs="Times New Roman"/>
          <w:i/>
        </w:rPr>
        <w:t>Deer Parks of Suffolk 1086–1602</w:t>
      </w:r>
      <w:r w:rsidRPr="00077830">
        <w:rPr>
          <w:rFonts w:ascii="Times New Roman" w:hAnsi="Times New Roman" w:cs="Times New Roman"/>
        </w:rPr>
        <w:t xml:space="preserve"> (Needham Market: Suffolk Institute of Archaeology and History).</w:t>
      </w:r>
    </w:p>
    <w:p w14:paraId="33482329" w14:textId="77777777" w:rsidR="00B46E75" w:rsidRPr="00077830" w:rsidRDefault="00B46E75" w:rsidP="005D40EB">
      <w:pPr>
        <w:pStyle w:val="EndNoteBibliography"/>
        <w:spacing w:after="0"/>
        <w:ind w:left="720" w:hanging="720"/>
        <w:rPr>
          <w:rFonts w:ascii="Times New Roman" w:hAnsi="Times New Roman" w:cs="Times New Roman"/>
        </w:rPr>
      </w:pPr>
      <w:r w:rsidRPr="00077830">
        <w:rPr>
          <w:rFonts w:ascii="Times New Roman" w:hAnsi="Times New Roman" w:cs="Times New Roman"/>
        </w:rPr>
        <w:t xml:space="preserve">Mills, David (2011), </w:t>
      </w:r>
      <w:r w:rsidRPr="00077830">
        <w:rPr>
          <w:rFonts w:ascii="Times New Roman" w:hAnsi="Times New Roman" w:cs="Times New Roman"/>
          <w:i/>
        </w:rPr>
        <w:t>A Dictionary of British Place Names</w:t>
      </w:r>
      <w:r w:rsidRPr="00077830">
        <w:rPr>
          <w:rFonts w:ascii="Times New Roman" w:hAnsi="Times New Roman" w:cs="Times New Roman"/>
        </w:rPr>
        <w:t xml:space="preserve"> (Oxford: Oxford University Press).</w:t>
      </w:r>
    </w:p>
    <w:p w14:paraId="7179BBA6" w14:textId="77777777" w:rsidR="00B46E75" w:rsidRPr="00077830" w:rsidRDefault="00B46E75" w:rsidP="005D40EB">
      <w:pPr>
        <w:pStyle w:val="EndNoteBibliography"/>
        <w:spacing w:after="0"/>
        <w:ind w:left="720" w:hanging="720"/>
        <w:rPr>
          <w:rFonts w:ascii="Times New Roman" w:hAnsi="Times New Roman" w:cs="Times New Roman"/>
        </w:rPr>
      </w:pPr>
      <w:r w:rsidRPr="00077830">
        <w:rPr>
          <w:rFonts w:ascii="Times New Roman" w:hAnsi="Times New Roman" w:cs="Times New Roman"/>
        </w:rPr>
        <w:lastRenderedPageBreak/>
        <w:t xml:space="preserve">Newman, J (1992), ‘Late Roman and Anglo-Saxon settlement patterns in the Sandlings of Suffolk’, in </w:t>
      </w:r>
      <w:r w:rsidRPr="00077830">
        <w:rPr>
          <w:rFonts w:ascii="Times New Roman" w:hAnsi="Times New Roman" w:cs="Times New Roman"/>
          <w:i/>
        </w:rPr>
        <w:t>The Age of Sutton Hoo: the seventh century in north-western Europe.</w:t>
      </w:r>
      <w:r w:rsidRPr="00077830">
        <w:rPr>
          <w:rFonts w:ascii="Times New Roman" w:hAnsi="Times New Roman" w:cs="Times New Roman"/>
        </w:rPr>
        <w:t>, ed. M. O. H. Carver (Woodbridge: Boydell &amp; Brewer),</w:t>
      </w:r>
      <w:r w:rsidRPr="00077830">
        <w:rPr>
          <w:rFonts w:ascii="Times New Roman" w:hAnsi="Times New Roman" w:cs="Times New Roman"/>
          <w:b/>
        </w:rPr>
        <w:t xml:space="preserve"> </w:t>
      </w:r>
      <w:r w:rsidRPr="00077830">
        <w:rPr>
          <w:rFonts w:ascii="Times New Roman" w:hAnsi="Times New Roman" w:cs="Times New Roman"/>
        </w:rPr>
        <w:t>25–38.</w:t>
      </w:r>
    </w:p>
    <w:p w14:paraId="6620D4C0" w14:textId="77777777" w:rsidR="00B46E75" w:rsidRPr="00077830" w:rsidRDefault="00B46E75" w:rsidP="005D40EB">
      <w:pPr>
        <w:pStyle w:val="EndNoteBibliography"/>
        <w:spacing w:after="0"/>
        <w:ind w:left="720" w:hanging="720"/>
        <w:rPr>
          <w:rFonts w:ascii="Times New Roman" w:hAnsi="Times New Roman" w:cs="Times New Roman"/>
        </w:rPr>
      </w:pPr>
      <w:r w:rsidRPr="00077830">
        <w:rPr>
          <w:rFonts w:ascii="Times New Roman" w:hAnsi="Times New Roman" w:cs="Times New Roman"/>
        </w:rPr>
        <w:t xml:space="preserve">― (2005), ‘Sutton Hoo: a seventh-century princely burial ground and its context’, in </w:t>
      </w:r>
      <w:r w:rsidRPr="00077830">
        <w:rPr>
          <w:rFonts w:ascii="Times New Roman" w:hAnsi="Times New Roman" w:cs="Times New Roman"/>
          <w:i/>
        </w:rPr>
        <w:t>Sutton Hoo: a seventh-century princely burial ground and its context</w:t>
      </w:r>
      <w:r w:rsidRPr="00077830">
        <w:rPr>
          <w:rFonts w:ascii="Times New Roman" w:hAnsi="Times New Roman" w:cs="Times New Roman"/>
        </w:rPr>
        <w:t>, ed. M. O. H. Carver (London: British Museum Press),</w:t>
      </w:r>
      <w:r w:rsidRPr="00077830">
        <w:rPr>
          <w:rFonts w:ascii="Times New Roman" w:hAnsi="Times New Roman" w:cs="Times New Roman"/>
          <w:b/>
        </w:rPr>
        <w:t xml:space="preserve"> </w:t>
      </w:r>
      <w:r w:rsidRPr="00077830">
        <w:rPr>
          <w:rFonts w:ascii="Times New Roman" w:hAnsi="Times New Roman" w:cs="Times New Roman"/>
        </w:rPr>
        <w:t>477–87.</w:t>
      </w:r>
    </w:p>
    <w:p w14:paraId="420C4829" w14:textId="29735EB3" w:rsidR="00B46E75" w:rsidRPr="00077830" w:rsidRDefault="00B46E75" w:rsidP="00367609">
      <w:pPr>
        <w:pStyle w:val="EndNoteBibliography"/>
        <w:spacing w:after="0"/>
        <w:ind w:left="720" w:hanging="720"/>
        <w:rPr>
          <w:rFonts w:ascii="Times New Roman" w:hAnsi="Times New Roman" w:cs="Times New Roman"/>
        </w:rPr>
      </w:pPr>
      <w:r w:rsidRPr="00077830">
        <w:rPr>
          <w:rFonts w:ascii="Times New Roman" w:hAnsi="Times New Roman" w:cs="Times New Roman"/>
        </w:rPr>
        <w:t xml:space="preserve">Phythian Adams, Charles (1987), </w:t>
      </w:r>
      <w:r w:rsidRPr="00077830">
        <w:rPr>
          <w:rFonts w:ascii="Times New Roman" w:hAnsi="Times New Roman" w:cs="Times New Roman"/>
          <w:i/>
        </w:rPr>
        <w:t>Re-thinking English Local History</w:t>
      </w:r>
      <w:r w:rsidRPr="00077830">
        <w:rPr>
          <w:rFonts w:ascii="Times New Roman" w:hAnsi="Times New Roman" w:cs="Times New Roman"/>
        </w:rPr>
        <w:t xml:space="preserve"> (Leicester: Leicester University Press).</w:t>
      </w:r>
    </w:p>
    <w:p w14:paraId="35318ACC" w14:textId="77777777" w:rsidR="00367609" w:rsidRDefault="00B46E75" w:rsidP="005D40EB">
      <w:pPr>
        <w:pStyle w:val="EndNoteBibliography"/>
        <w:spacing w:after="0"/>
        <w:ind w:left="720" w:hanging="720"/>
        <w:rPr>
          <w:rFonts w:ascii="Times New Roman" w:hAnsi="Times New Roman" w:cs="Times New Roman"/>
          <w:lang w:val="en-GB"/>
        </w:rPr>
      </w:pPr>
      <w:r w:rsidRPr="007550A2">
        <w:rPr>
          <w:rFonts w:ascii="Times New Roman" w:hAnsi="Times New Roman" w:cs="Times New Roman"/>
          <w:lang w:val="en-GB"/>
        </w:rPr>
        <w:t xml:space="preserve">Scull, Christopher, Faye Minter, and Judith Plouviez (2016), ‘Social and economic complexity in early medieval England: a central place complex of the East Anglian kingdom at Rendlesham, Suffolk’, </w:t>
      </w:r>
      <w:r w:rsidRPr="007550A2">
        <w:rPr>
          <w:rFonts w:ascii="Times New Roman" w:hAnsi="Times New Roman" w:cs="Times New Roman"/>
          <w:i/>
          <w:iCs/>
          <w:lang w:val="en-GB"/>
        </w:rPr>
        <w:t>Antiquity</w:t>
      </w:r>
      <w:r w:rsidRPr="007550A2">
        <w:rPr>
          <w:rFonts w:ascii="Times New Roman" w:hAnsi="Times New Roman" w:cs="Times New Roman"/>
          <w:lang w:val="en-GB"/>
        </w:rPr>
        <w:t xml:space="preserve"> 90, 1594–</w:t>
      </w:r>
      <w:r w:rsidRPr="00077830">
        <w:rPr>
          <w:rFonts w:ascii="Times New Roman" w:hAnsi="Times New Roman" w:cs="Times New Roman"/>
          <w:lang w:val="en-GB"/>
        </w:rPr>
        <w:t>1</w:t>
      </w:r>
      <w:r w:rsidRPr="007550A2">
        <w:rPr>
          <w:rFonts w:ascii="Times New Roman" w:hAnsi="Times New Roman" w:cs="Times New Roman"/>
          <w:lang w:val="en-GB"/>
        </w:rPr>
        <w:t>612.</w:t>
      </w:r>
    </w:p>
    <w:p w14:paraId="692239DC" w14:textId="4A04CCCC" w:rsidR="00B46E75" w:rsidRPr="00077830" w:rsidRDefault="00B46E75" w:rsidP="005D40EB">
      <w:pPr>
        <w:pStyle w:val="EndNoteBibliography"/>
        <w:spacing w:after="0"/>
        <w:ind w:left="720" w:hanging="720"/>
        <w:rPr>
          <w:rFonts w:ascii="Times New Roman" w:hAnsi="Times New Roman" w:cs="Times New Roman"/>
        </w:rPr>
      </w:pPr>
      <w:r w:rsidRPr="00077830">
        <w:rPr>
          <w:rFonts w:ascii="Times New Roman" w:hAnsi="Times New Roman" w:cs="Times New Roman"/>
        </w:rPr>
        <w:t>Wager, Sarah (2022), ‘</w:t>
      </w:r>
      <w:r w:rsidRPr="00077830">
        <w:rPr>
          <w:rFonts w:ascii="Times New Roman" w:hAnsi="Times New Roman" w:cs="Times New Roman"/>
          <w:i/>
        </w:rPr>
        <w:t>Feld</w:t>
      </w:r>
      <w:r w:rsidRPr="00077830">
        <w:rPr>
          <w:rFonts w:ascii="Times New Roman" w:hAnsi="Times New Roman" w:cs="Times New Roman"/>
        </w:rPr>
        <w:t xml:space="preserve">, the Feldon, and the meaning of </w:t>
      </w:r>
      <w:r w:rsidRPr="00077830">
        <w:rPr>
          <w:rFonts w:ascii="Times New Roman" w:hAnsi="Times New Roman" w:cs="Times New Roman"/>
          <w:i/>
        </w:rPr>
        <w:t>fildena</w:t>
      </w:r>
      <w:r w:rsidRPr="00077830">
        <w:rPr>
          <w:rFonts w:ascii="Times New Roman" w:hAnsi="Times New Roman" w:cs="Times New Roman"/>
        </w:rPr>
        <w:t xml:space="preserve">’, </w:t>
      </w:r>
      <w:r w:rsidRPr="00077830">
        <w:rPr>
          <w:rFonts w:ascii="Times New Roman" w:hAnsi="Times New Roman" w:cs="Times New Roman"/>
          <w:iCs/>
        </w:rPr>
        <w:t>JEPNS</w:t>
      </w:r>
      <w:r w:rsidRPr="00077830">
        <w:rPr>
          <w:rFonts w:ascii="Times New Roman" w:hAnsi="Times New Roman" w:cs="Times New Roman"/>
        </w:rPr>
        <w:t xml:space="preserve"> 54, 52–78.</w:t>
      </w:r>
    </w:p>
    <w:p w14:paraId="6112AB53" w14:textId="77777777" w:rsidR="00B46E75" w:rsidRPr="00077830" w:rsidRDefault="00B46E75" w:rsidP="005D40EB">
      <w:pPr>
        <w:pStyle w:val="EndNoteBibliography"/>
        <w:spacing w:after="0"/>
        <w:ind w:left="720" w:hanging="720"/>
        <w:rPr>
          <w:rFonts w:ascii="Times New Roman" w:hAnsi="Times New Roman" w:cs="Times New Roman"/>
        </w:rPr>
      </w:pPr>
      <w:r w:rsidRPr="00077830">
        <w:rPr>
          <w:rFonts w:ascii="Times New Roman" w:hAnsi="Times New Roman" w:cs="Times New Roman"/>
        </w:rPr>
        <w:t xml:space="preserve">Warner, Peter (1996), </w:t>
      </w:r>
      <w:r w:rsidRPr="00077830">
        <w:rPr>
          <w:rFonts w:ascii="Times New Roman" w:hAnsi="Times New Roman" w:cs="Times New Roman"/>
          <w:i/>
        </w:rPr>
        <w:t>The Origins of Suffolk</w:t>
      </w:r>
      <w:r w:rsidRPr="00077830">
        <w:rPr>
          <w:rFonts w:ascii="Times New Roman" w:hAnsi="Times New Roman" w:cs="Times New Roman"/>
        </w:rPr>
        <w:t xml:space="preserve"> (Manchester: Manchester University Press).</w:t>
      </w:r>
    </w:p>
    <w:p w14:paraId="24437967" w14:textId="77777777" w:rsidR="00B46E75" w:rsidRPr="00077830" w:rsidRDefault="00B46E75" w:rsidP="009A12DE">
      <w:pPr>
        <w:pStyle w:val="EndNoteBibliography"/>
        <w:ind w:left="720" w:hanging="720"/>
        <w:rPr>
          <w:rFonts w:ascii="Times New Roman" w:hAnsi="Times New Roman" w:cs="Times New Roman"/>
        </w:rPr>
      </w:pPr>
      <w:r w:rsidRPr="00077830">
        <w:rPr>
          <w:rFonts w:ascii="Times New Roman" w:hAnsi="Times New Roman" w:cs="Times New Roman"/>
        </w:rPr>
        <w:t xml:space="preserve">Watts, Victor (2004), </w:t>
      </w:r>
      <w:r w:rsidRPr="00077830">
        <w:rPr>
          <w:rFonts w:ascii="Times New Roman" w:hAnsi="Times New Roman" w:cs="Times New Roman"/>
          <w:i/>
        </w:rPr>
        <w:t>The Cambridge Dictionary of English Place-Names</w:t>
      </w:r>
      <w:r w:rsidRPr="00077830">
        <w:rPr>
          <w:rFonts w:ascii="Times New Roman" w:hAnsi="Times New Roman" w:cs="Times New Roman"/>
        </w:rPr>
        <w:t xml:space="preserve"> (Cambridge: Cambridge University Press).</w:t>
      </w:r>
    </w:p>
    <w:p w14:paraId="4B952D9F" w14:textId="77777777" w:rsidR="002631D3" w:rsidRDefault="002631D3"/>
    <w:sectPr w:rsidR="002631D3" w:rsidSect="00B46E75">
      <w:endnotePr>
        <w:numFmt w:val="decimal"/>
      </w:endnotePr>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9B7E1" w14:textId="77777777" w:rsidR="00A36669" w:rsidRDefault="00A36669" w:rsidP="00B46E75">
      <w:pPr>
        <w:spacing w:after="0" w:line="240" w:lineRule="auto"/>
      </w:pPr>
      <w:r>
        <w:separator/>
      </w:r>
    </w:p>
  </w:endnote>
  <w:endnote w:type="continuationSeparator" w:id="0">
    <w:p w14:paraId="77697A96" w14:textId="77777777" w:rsidR="00A36669" w:rsidRDefault="00A36669" w:rsidP="00B46E75">
      <w:pPr>
        <w:spacing w:after="0" w:line="240" w:lineRule="auto"/>
      </w:pPr>
      <w:r>
        <w:continuationSeparator/>
      </w:r>
    </w:p>
  </w:endnote>
  <w:endnote w:id="1">
    <w:p w14:paraId="03AB9115" w14:textId="10BAD513" w:rsidR="00B46E75" w:rsidRPr="009A12DE" w:rsidRDefault="00B46E75">
      <w:pPr>
        <w:pStyle w:val="EndnoteText"/>
        <w:rPr>
          <w:rFonts w:ascii="Times New Roman" w:hAnsi="Times New Roman" w:cs="Times New Roman"/>
          <w:sz w:val="24"/>
          <w:szCs w:val="24"/>
        </w:rPr>
      </w:pPr>
      <w:r w:rsidRPr="009A12DE">
        <w:rPr>
          <w:rStyle w:val="EndnoteReference"/>
          <w:rFonts w:ascii="Times New Roman" w:hAnsi="Times New Roman" w:cs="Times New Roman"/>
          <w:sz w:val="24"/>
          <w:szCs w:val="24"/>
        </w:rPr>
        <w:endnoteRef/>
      </w:r>
      <w:r w:rsidRPr="009A12DE">
        <w:rPr>
          <w:rFonts w:ascii="Times New Roman" w:hAnsi="Times New Roman" w:cs="Times New Roman"/>
          <w:sz w:val="24"/>
          <w:szCs w:val="24"/>
        </w:rPr>
        <w:t xml:space="preserve"> </w:t>
      </w:r>
      <w:r w:rsidRPr="009A12DE">
        <w:rPr>
          <w:rFonts w:ascii="Times New Roman" w:hAnsi="Times New Roman" w:cs="Times New Roman"/>
          <w:i/>
          <w:iCs/>
          <w:sz w:val="24"/>
          <w:szCs w:val="24"/>
        </w:rPr>
        <w:t>Lordship and Landscape</w:t>
      </w:r>
      <w:r w:rsidRPr="009A12DE">
        <w:rPr>
          <w:rFonts w:ascii="Times New Roman" w:hAnsi="Times New Roman" w:cs="Times New Roman"/>
          <w:sz w:val="24"/>
          <w:szCs w:val="24"/>
        </w:rPr>
        <w:t xml:space="preserve"> ran 2017–</w:t>
      </w:r>
      <w:r w:rsidR="00E94679">
        <w:rPr>
          <w:rFonts w:ascii="Times New Roman" w:hAnsi="Times New Roman" w:cs="Times New Roman"/>
          <w:sz w:val="24"/>
          <w:szCs w:val="24"/>
        </w:rPr>
        <w:t>21</w:t>
      </w:r>
      <w:r w:rsidRPr="009A12DE">
        <w:rPr>
          <w:rFonts w:ascii="Times New Roman" w:hAnsi="Times New Roman" w:cs="Times New Roman"/>
          <w:sz w:val="24"/>
          <w:szCs w:val="24"/>
        </w:rPr>
        <w:t xml:space="preserve"> and was funded by the Leverhulme Trust (RPG-2017-172).</w:t>
      </w:r>
    </w:p>
  </w:endnote>
  <w:endnote w:id="2">
    <w:p w14:paraId="67E976AB" w14:textId="24704880" w:rsidR="00B46E75" w:rsidRPr="009A12DE" w:rsidRDefault="00B46E75">
      <w:pPr>
        <w:pStyle w:val="EndnoteText"/>
        <w:rPr>
          <w:rFonts w:ascii="Times New Roman" w:hAnsi="Times New Roman" w:cs="Times New Roman"/>
          <w:sz w:val="24"/>
          <w:szCs w:val="24"/>
        </w:rPr>
      </w:pPr>
      <w:r w:rsidRPr="009A12DE">
        <w:rPr>
          <w:rStyle w:val="EndnoteReference"/>
          <w:rFonts w:ascii="Times New Roman" w:hAnsi="Times New Roman" w:cs="Times New Roman"/>
          <w:sz w:val="24"/>
          <w:szCs w:val="24"/>
        </w:rPr>
        <w:endnoteRef/>
      </w:r>
      <w:r w:rsidRPr="009A12DE">
        <w:rPr>
          <w:rFonts w:ascii="Times New Roman" w:hAnsi="Times New Roman" w:cs="Times New Roman"/>
          <w:sz w:val="24"/>
          <w:szCs w:val="24"/>
        </w:rPr>
        <w:t xml:space="preserve"> The metal detectorists Robert Atfield, Roy Damant, Terrance Marsh and Alan Smith put in 1740 person days of survey work between 2008 and 2017. </w:t>
      </w:r>
    </w:p>
  </w:endnote>
  <w:endnote w:id="3">
    <w:p w14:paraId="2CAC9199" w14:textId="77777777" w:rsidR="00B46E75" w:rsidRPr="009A12DE" w:rsidRDefault="00B46E75">
      <w:pPr>
        <w:pStyle w:val="EndnoteText"/>
        <w:rPr>
          <w:rFonts w:ascii="Times New Roman" w:hAnsi="Times New Roman" w:cs="Times New Roman"/>
          <w:sz w:val="24"/>
          <w:szCs w:val="24"/>
        </w:rPr>
      </w:pPr>
      <w:r w:rsidRPr="009A12DE">
        <w:rPr>
          <w:rStyle w:val="EndnoteReference"/>
          <w:rFonts w:ascii="Times New Roman" w:hAnsi="Times New Roman" w:cs="Times New Roman"/>
          <w:sz w:val="24"/>
          <w:szCs w:val="24"/>
        </w:rPr>
        <w:endnoteRef/>
      </w:r>
      <w:r w:rsidRPr="009A12DE">
        <w:rPr>
          <w:rFonts w:ascii="Times New Roman" w:hAnsi="Times New Roman" w:cs="Times New Roman"/>
          <w:sz w:val="24"/>
          <w:szCs w:val="24"/>
        </w:rPr>
        <w:t xml:space="preserve"> The meaning of this element is discussed more fully by Gelling and Cole (</w:t>
      </w:r>
      <w:r w:rsidRPr="009A12DE">
        <w:rPr>
          <w:rFonts w:ascii="Times New Roman" w:hAnsi="Times New Roman" w:cs="Times New Roman"/>
          <w:noProof/>
          <w:sz w:val="24"/>
          <w:szCs w:val="24"/>
        </w:rPr>
        <w:t>2000: 269–78</w:t>
      </w:r>
      <w:r w:rsidRPr="009A12DE">
        <w:rPr>
          <w:rFonts w:ascii="Times New Roman" w:hAnsi="Times New Roman" w:cs="Times New Roman"/>
          <w:sz w:val="24"/>
          <w:szCs w:val="24"/>
        </w:rPr>
        <w:t>) and Wager (</w:t>
      </w:r>
      <w:r w:rsidRPr="009A12DE">
        <w:rPr>
          <w:rFonts w:ascii="Times New Roman" w:hAnsi="Times New Roman" w:cs="Times New Roman"/>
          <w:noProof/>
          <w:sz w:val="24"/>
          <w:szCs w:val="24"/>
        </w:rPr>
        <w:t>2022: 52–56</w:t>
      </w:r>
      <w:r w:rsidRPr="009A12DE">
        <w:rPr>
          <w:rFonts w:ascii="Times New Roman" w:hAnsi="Times New Roman" w:cs="Times New Roman"/>
          <w:sz w:val="24"/>
          <w:szCs w:val="24"/>
        </w:rPr>
        <w:t>).</w:t>
      </w:r>
    </w:p>
  </w:endnote>
  <w:endnote w:id="4">
    <w:p w14:paraId="735A685B" w14:textId="029A2315" w:rsidR="00B46E75" w:rsidRPr="009A12DE" w:rsidRDefault="00B46E75">
      <w:pPr>
        <w:pStyle w:val="EndnoteText"/>
        <w:rPr>
          <w:rFonts w:ascii="Times New Roman" w:hAnsi="Times New Roman" w:cs="Times New Roman"/>
          <w:sz w:val="24"/>
          <w:szCs w:val="24"/>
        </w:rPr>
      </w:pPr>
      <w:r w:rsidRPr="009A12DE">
        <w:rPr>
          <w:rStyle w:val="EndnoteReference"/>
          <w:rFonts w:ascii="Times New Roman" w:hAnsi="Times New Roman" w:cs="Times New Roman"/>
          <w:sz w:val="24"/>
          <w:szCs w:val="24"/>
        </w:rPr>
        <w:endnoteRef/>
      </w:r>
      <w:r w:rsidRPr="009A12DE">
        <w:rPr>
          <w:rFonts w:ascii="Times New Roman" w:hAnsi="Times New Roman" w:cs="Times New Roman"/>
          <w:sz w:val="24"/>
          <w:szCs w:val="24"/>
        </w:rPr>
        <w:t xml:space="preserve"> For </w:t>
      </w:r>
      <w:r w:rsidRPr="009A12DE">
        <w:rPr>
          <w:rFonts w:ascii="Times New Roman" w:hAnsi="Times New Roman" w:cs="Times New Roman"/>
          <w:i/>
          <w:iCs/>
          <w:sz w:val="24"/>
          <w:szCs w:val="24"/>
        </w:rPr>
        <w:t>Lordship and Landscape</w:t>
      </w:r>
      <w:r w:rsidRPr="009A12DE">
        <w:rPr>
          <w:rFonts w:ascii="Times New Roman" w:hAnsi="Times New Roman" w:cs="Times New Roman"/>
          <w:sz w:val="24"/>
          <w:szCs w:val="24"/>
        </w:rPr>
        <w:t xml:space="preserve">, place-names from Norfolk and Suffolk recorded by the eleventh century were collected from national and regional dictionaries and studies </w:t>
      </w:r>
      <w:r w:rsidRPr="009A12DE">
        <w:rPr>
          <w:rFonts w:ascii="Times New Roman" w:hAnsi="Times New Roman" w:cs="Times New Roman"/>
          <w:noProof/>
          <w:sz w:val="24"/>
          <w:szCs w:val="24"/>
        </w:rPr>
        <w:t>(Arnott 1946; Briggs and Kilpatrick 2016; Ekwall 1960; Mills 2011; Watts 2004</w:t>
      </w:r>
      <w:r>
        <w:rPr>
          <w:rFonts w:ascii="Times New Roman" w:hAnsi="Times New Roman" w:cs="Times New Roman"/>
          <w:noProof/>
          <w:sz w:val="24"/>
          <w:szCs w:val="24"/>
        </w:rPr>
        <w:t>; PN Nf</w:t>
      </w:r>
      <w:r w:rsidRPr="009A12DE">
        <w:rPr>
          <w:rFonts w:ascii="Times New Roman" w:hAnsi="Times New Roman" w:cs="Times New Roman"/>
          <w:noProof/>
          <w:sz w:val="24"/>
          <w:szCs w:val="24"/>
        </w:rPr>
        <w:t>)</w:t>
      </w:r>
      <w:r w:rsidRPr="009A12DE">
        <w:rPr>
          <w:rFonts w:ascii="Times New Roman" w:hAnsi="Times New Roman" w:cs="Times New Roman"/>
          <w:sz w:val="24"/>
          <w:szCs w:val="24"/>
        </w:rPr>
        <w:t>, the historical spellings of Norfolk place-names collected by O. K. Schram and Karl Inge Sandred (held by the Institute for Name-Studies, University of Nottingham), and material kindly provided by Keith Briggs from his forthcoming Suffolk place-name survey</w:t>
      </w:r>
    </w:p>
  </w:endnote>
  <w:endnote w:id="5">
    <w:p w14:paraId="6E6270BA" w14:textId="16493695" w:rsidR="00B46E75" w:rsidRPr="009A12DE" w:rsidRDefault="00B46E75">
      <w:pPr>
        <w:pStyle w:val="EndnoteText"/>
        <w:rPr>
          <w:rFonts w:ascii="Times New Roman" w:hAnsi="Times New Roman" w:cs="Times New Roman"/>
          <w:sz w:val="24"/>
          <w:szCs w:val="24"/>
        </w:rPr>
      </w:pPr>
      <w:r w:rsidRPr="009A12DE">
        <w:rPr>
          <w:rStyle w:val="EndnoteReference"/>
          <w:rFonts w:ascii="Times New Roman" w:hAnsi="Times New Roman" w:cs="Times New Roman"/>
          <w:sz w:val="24"/>
          <w:szCs w:val="24"/>
        </w:rPr>
        <w:endnoteRef/>
      </w:r>
      <w:r w:rsidRPr="009A12DE">
        <w:rPr>
          <w:rFonts w:ascii="Times New Roman" w:hAnsi="Times New Roman" w:cs="Times New Roman"/>
          <w:sz w:val="24"/>
          <w:szCs w:val="24"/>
        </w:rPr>
        <w:t xml:space="preserve"> This can only be an approximation as there are other place-name elements common amongst the earliest recorded Old English place-names </w:t>
      </w:r>
      <w:r w:rsidR="00300D10">
        <w:rPr>
          <w:rFonts w:ascii="Times New Roman" w:hAnsi="Times New Roman" w:cs="Times New Roman"/>
          <w:sz w:val="24"/>
          <w:szCs w:val="24"/>
        </w:rPr>
        <w:t>(</w:t>
      </w:r>
      <w:r w:rsidRPr="009A12DE">
        <w:rPr>
          <w:rFonts w:ascii="Times New Roman" w:hAnsi="Times New Roman" w:cs="Times New Roman"/>
          <w:sz w:val="24"/>
          <w:szCs w:val="24"/>
        </w:rPr>
        <w:t>particularly topographical elements which were not included because they may have been used after the eighth century too</w:t>
      </w:r>
      <w:r w:rsidR="00300D10">
        <w:rPr>
          <w:rFonts w:ascii="Times New Roman" w:hAnsi="Times New Roman" w:cs="Times New Roman"/>
          <w:sz w:val="24"/>
          <w:szCs w:val="24"/>
        </w:rPr>
        <w:t>)</w:t>
      </w:r>
      <w:r w:rsidRPr="009A12DE">
        <w:rPr>
          <w:rFonts w:ascii="Times New Roman" w:hAnsi="Times New Roman" w:cs="Times New Roman"/>
          <w:sz w:val="24"/>
          <w:szCs w:val="24"/>
        </w:rPr>
        <w:t>, and because settlements may have moved position locally between their naming and their inclusion on early maps.</w:t>
      </w:r>
    </w:p>
  </w:endnote>
  <w:endnote w:id="6">
    <w:p w14:paraId="518B9192" w14:textId="77777777" w:rsidR="00B46E75" w:rsidRPr="009A12DE" w:rsidRDefault="00B46E75">
      <w:pPr>
        <w:pStyle w:val="EndnoteText"/>
        <w:rPr>
          <w:rFonts w:ascii="Times New Roman" w:hAnsi="Times New Roman" w:cs="Times New Roman"/>
          <w:sz w:val="24"/>
          <w:szCs w:val="24"/>
        </w:rPr>
      </w:pPr>
      <w:r w:rsidRPr="009A12DE">
        <w:rPr>
          <w:rStyle w:val="EndnoteReference"/>
          <w:rFonts w:ascii="Times New Roman" w:hAnsi="Times New Roman" w:cs="Times New Roman"/>
          <w:sz w:val="24"/>
          <w:szCs w:val="24"/>
        </w:rPr>
        <w:endnoteRef/>
      </w:r>
      <w:r w:rsidRPr="009A12DE">
        <w:rPr>
          <w:rFonts w:ascii="Times New Roman" w:hAnsi="Times New Roman" w:cs="Times New Roman"/>
          <w:sz w:val="24"/>
          <w:szCs w:val="24"/>
        </w:rPr>
        <w:t xml:space="preserve"> The southern and eastern parts of the Wicklaw Hundreds are bounded by the Orwell and the North Sea.</w:t>
      </w:r>
    </w:p>
  </w:endnote>
  <w:endnote w:id="7">
    <w:p w14:paraId="5F887DEB" w14:textId="3C62818B" w:rsidR="00931443" w:rsidRDefault="00931443">
      <w:pPr>
        <w:pStyle w:val="EndnoteText"/>
      </w:pPr>
      <w:r>
        <w:rPr>
          <w:rStyle w:val="EndnoteReference"/>
        </w:rPr>
        <w:endnoteRef/>
      </w:r>
      <w:r>
        <w:t xml:space="preserve"> </w:t>
      </w:r>
      <w:r w:rsidRPr="00B708F3">
        <w:rPr>
          <w:rFonts w:ascii="Times New Roman" w:hAnsi="Times New Roman" w:cs="Times New Roman"/>
          <w:sz w:val="24"/>
          <w:szCs w:val="24"/>
        </w:rPr>
        <w:t xml:space="preserve">The spatial association between Roman sites and OE </w:t>
      </w:r>
      <w:r w:rsidRPr="00B708F3">
        <w:rPr>
          <w:rFonts w:ascii="Times New Roman" w:hAnsi="Times New Roman" w:cs="Times New Roman"/>
          <w:i/>
          <w:iCs/>
          <w:sz w:val="24"/>
          <w:szCs w:val="24"/>
        </w:rPr>
        <w:t>wīc</w:t>
      </w:r>
      <w:r w:rsidRPr="00B708F3">
        <w:rPr>
          <w:rFonts w:ascii="Times New Roman" w:hAnsi="Times New Roman" w:cs="Times New Roman"/>
          <w:sz w:val="24"/>
          <w:szCs w:val="24"/>
        </w:rPr>
        <w:t xml:space="preserve"> is only suggested for OE </w:t>
      </w:r>
      <w:r w:rsidRPr="00B708F3">
        <w:rPr>
          <w:rFonts w:ascii="Times New Roman" w:hAnsi="Times New Roman" w:cs="Times New Roman"/>
          <w:i/>
          <w:iCs/>
          <w:sz w:val="24"/>
          <w:szCs w:val="24"/>
        </w:rPr>
        <w:t>wīc</w:t>
      </w:r>
      <w:r w:rsidRPr="00B708F3">
        <w:rPr>
          <w:rFonts w:ascii="Times New Roman" w:hAnsi="Times New Roman" w:cs="Times New Roman"/>
          <w:sz w:val="24"/>
          <w:szCs w:val="24"/>
        </w:rPr>
        <w:t xml:space="preserve"> in the compound </w:t>
      </w:r>
      <w:r w:rsidRPr="00B708F3">
        <w:rPr>
          <w:rFonts w:ascii="Times New Roman" w:hAnsi="Times New Roman" w:cs="Times New Roman"/>
          <w:i/>
          <w:iCs/>
          <w:sz w:val="24"/>
          <w:szCs w:val="24"/>
        </w:rPr>
        <w:t xml:space="preserve">wīc-hām </w:t>
      </w:r>
      <w:r w:rsidRPr="00B708F3">
        <w:rPr>
          <w:rFonts w:ascii="Times New Roman" w:hAnsi="Times New Roman" w:cs="Times New Roman"/>
          <w:sz w:val="24"/>
          <w:szCs w:val="24"/>
        </w:rPr>
        <w:t>and as a qualifier in other place-names (</w:t>
      </w:r>
      <w:r w:rsidRPr="00B708F3">
        <w:rPr>
          <w:rFonts w:ascii="Times New Roman" w:hAnsi="Times New Roman" w:cs="Times New Roman"/>
          <w:noProof/>
          <w:sz w:val="24"/>
          <w:szCs w:val="24"/>
        </w:rPr>
        <w:t>Gelling 1997: 249–50</w:t>
      </w:r>
      <w:r w:rsidRPr="00B708F3">
        <w:rPr>
          <w:rFonts w:ascii="Times New Roman" w:hAnsi="Times New Roman" w:cs="Times New Roman"/>
          <w:sz w:val="24"/>
          <w:szCs w:val="24"/>
        </w:rPr>
        <w:t xml:space="preserve">).  OE </w:t>
      </w:r>
      <w:r w:rsidRPr="00B708F3">
        <w:rPr>
          <w:rFonts w:ascii="Times New Roman" w:hAnsi="Times New Roman" w:cs="Times New Roman"/>
          <w:i/>
          <w:iCs/>
          <w:sz w:val="24"/>
          <w:szCs w:val="24"/>
        </w:rPr>
        <w:t>wīc</w:t>
      </w:r>
      <w:r w:rsidRPr="00B708F3">
        <w:rPr>
          <w:rFonts w:ascii="Times New Roman" w:hAnsi="Times New Roman" w:cs="Times New Roman"/>
          <w:sz w:val="24"/>
          <w:szCs w:val="24"/>
        </w:rPr>
        <w:t xml:space="preserve"> is also the qualifier in the name </w:t>
      </w:r>
      <w:r w:rsidRPr="00B708F3">
        <w:rPr>
          <w:rFonts w:ascii="Times New Roman" w:hAnsi="Times New Roman" w:cs="Times New Roman"/>
          <w:i/>
          <w:iCs/>
          <w:sz w:val="24"/>
          <w:szCs w:val="24"/>
        </w:rPr>
        <w:t>Wicklaw</w:t>
      </w:r>
      <w:r w:rsidRPr="00B708F3">
        <w:rPr>
          <w:rFonts w:ascii="Times New Roman" w:hAnsi="Times New Roman" w:cs="Times New Roman"/>
          <w:sz w:val="24"/>
          <w:szCs w:val="24"/>
        </w:rPr>
        <w:t xml:space="preserve"> from which the Wicklaw Hundreds are named, presumably from an assembly site, and may also have the sense ‘Roman settlement’ in this name.  The exact site of this meeting place is not known, but it seems to have been somewhere in the Hacheston or Rendlesham area (</w:t>
      </w:r>
      <w:r w:rsidRPr="00B708F3">
        <w:rPr>
          <w:rFonts w:ascii="Times New Roman" w:hAnsi="Times New Roman" w:cs="Times New Roman"/>
          <w:noProof/>
          <w:sz w:val="24"/>
          <w:szCs w:val="24"/>
        </w:rPr>
        <w:t>Briggs 2018</w:t>
      </w:r>
      <w:r w:rsidRPr="00B708F3">
        <w:rPr>
          <w:rFonts w:ascii="Times New Roman" w:hAnsi="Times New Roman" w:cs="Times New Roman"/>
          <w:sz w:val="24"/>
          <w:szCs w:val="24"/>
        </w:rPr>
        <w:t>).</w:t>
      </w:r>
    </w:p>
  </w:endnote>
  <w:endnote w:id="8">
    <w:p w14:paraId="725C6D92" w14:textId="77777777" w:rsidR="00B46E75" w:rsidRPr="009A12DE" w:rsidRDefault="00B46E75">
      <w:pPr>
        <w:pStyle w:val="EndnoteText"/>
        <w:rPr>
          <w:rFonts w:ascii="Times New Roman" w:hAnsi="Times New Roman" w:cs="Times New Roman"/>
          <w:sz w:val="24"/>
          <w:szCs w:val="24"/>
        </w:rPr>
      </w:pPr>
      <w:r w:rsidRPr="009A12DE">
        <w:rPr>
          <w:rStyle w:val="EndnoteReference"/>
          <w:rFonts w:ascii="Times New Roman" w:hAnsi="Times New Roman" w:cs="Times New Roman"/>
          <w:sz w:val="24"/>
          <w:szCs w:val="24"/>
        </w:rPr>
        <w:endnoteRef/>
      </w:r>
      <w:r w:rsidRPr="009A12DE">
        <w:rPr>
          <w:rFonts w:ascii="Times New Roman" w:hAnsi="Times New Roman" w:cs="Times New Roman"/>
          <w:sz w:val="24"/>
          <w:szCs w:val="24"/>
        </w:rPr>
        <w:t xml:space="preserve"> This research built upon data collected as part of the Leverhulme Trust funded project </w:t>
      </w:r>
      <w:r w:rsidRPr="009A12DE">
        <w:rPr>
          <w:rFonts w:ascii="Times New Roman" w:hAnsi="Times New Roman" w:cs="Times New Roman"/>
          <w:i/>
          <w:iCs/>
          <w:sz w:val="24"/>
          <w:szCs w:val="24"/>
        </w:rPr>
        <w:t>Travel and Communication in Anglo-Saxon England</w:t>
      </w:r>
      <w:r w:rsidRPr="009A12DE">
        <w:rPr>
          <w:rFonts w:ascii="Times New Roman" w:hAnsi="Times New Roman" w:cs="Times New Roman"/>
          <w:sz w:val="24"/>
          <w:szCs w:val="24"/>
        </w:rPr>
        <w:t xml:space="preserve"> (RPG-2014-074).</w:t>
      </w:r>
    </w:p>
  </w:endnote>
  <w:endnote w:id="9">
    <w:p w14:paraId="5EE46A94" w14:textId="77777777" w:rsidR="00B46E75" w:rsidRPr="009A12DE" w:rsidRDefault="00B46E75">
      <w:pPr>
        <w:pStyle w:val="EndnoteText"/>
        <w:rPr>
          <w:rFonts w:ascii="Times New Roman" w:hAnsi="Times New Roman" w:cs="Times New Roman"/>
          <w:sz w:val="24"/>
          <w:szCs w:val="24"/>
        </w:rPr>
      </w:pPr>
      <w:r w:rsidRPr="009A12DE">
        <w:rPr>
          <w:rStyle w:val="EndnoteReference"/>
          <w:rFonts w:ascii="Times New Roman" w:hAnsi="Times New Roman" w:cs="Times New Roman"/>
          <w:sz w:val="24"/>
          <w:szCs w:val="24"/>
        </w:rPr>
        <w:endnoteRef/>
      </w:r>
      <w:r w:rsidRPr="009A12DE">
        <w:rPr>
          <w:rFonts w:ascii="Times New Roman" w:hAnsi="Times New Roman" w:cs="Times New Roman"/>
          <w:sz w:val="24"/>
          <w:szCs w:val="24"/>
        </w:rPr>
        <w:t xml:space="preserve"> This is probably at least in some measure due to extensive reorganisation of the local landscape by the main local landholders from the eighteenth century.</w:t>
      </w:r>
    </w:p>
  </w:endnote>
  <w:endnote w:id="10">
    <w:p w14:paraId="7BD9A95F" w14:textId="77777777" w:rsidR="00B46E75" w:rsidRDefault="00B46E75">
      <w:pPr>
        <w:pStyle w:val="EndnoteText"/>
      </w:pPr>
      <w:r w:rsidRPr="009A12DE">
        <w:rPr>
          <w:rStyle w:val="EndnoteReference"/>
          <w:rFonts w:ascii="Times New Roman" w:hAnsi="Times New Roman" w:cs="Times New Roman"/>
          <w:sz w:val="24"/>
          <w:szCs w:val="24"/>
        </w:rPr>
        <w:endnoteRef/>
      </w:r>
      <w:r w:rsidRPr="009A12DE">
        <w:rPr>
          <w:rFonts w:ascii="Times New Roman" w:hAnsi="Times New Roman" w:cs="Times New Roman"/>
          <w:sz w:val="24"/>
          <w:szCs w:val="24"/>
        </w:rPr>
        <w:t xml:space="preserve"> Online materials will be available from the Archaeology Data Service at </w:t>
      </w:r>
      <w:hyperlink r:id="rId1" w:history="1">
        <w:r w:rsidRPr="009A12DE">
          <w:rPr>
            <w:rStyle w:val="Hyperlink"/>
            <w:rFonts w:ascii="Times New Roman" w:hAnsi="Times New Roman" w:cs="Times New Roman"/>
            <w:sz w:val="24"/>
            <w:szCs w:val="24"/>
          </w:rPr>
          <w:t>https://doi.org/10.5284/1083483</w:t>
        </w:r>
      </w:hyperlink>
      <w:r w:rsidRPr="009A12DE">
        <w:rPr>
          <w:rFonts w:ascii="Times New Roman" w:hAnsi="Times New Roman" w:cs="Times New Roman"/>
          <w:sz w:val="24"/>
          <w:szCs w:val="24"/>
        </w:rPr>
        <w:t>.</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1803097"/>
      <w:docPartObj>
        <w:docPartGallery w:val="Page Numbers (Bottom of Page)"/>
        <w:docPartUnique/>
      </w:docPartObj>
    </w:sdtPr>
    <w:sdtEndPr>
      <w:rPr>
        <w:noProof/>
      </w:rPr>
    </w:sdtEndPr>
    <w:sdtContent>
      <w:p w14:paraId="054F6329" w14:textId="77777777" w:rsidR="00B46E75" w:rsidRDefault="00B46E7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9BCE78" w14:textId="77777777" w:rsidR="00B46E75" w:rsidRDefault="00B46E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907EC" w14:textId="77777777" w:rsidR="00A36669" w:rsidRDefault="00A36669" w:rsidP="00B46E75">
      <w:pPr>
        <w:spacing w:after="0" w:line="240" w:lineRule="auto"/>
      </w:pPr>
      <w:r>
        <w:separator/>
      </w:r>
    </w:p>
  </w:footnote>
  <w:footnote w:type="continuationSeparator" w:id="0">
    <w:p w14:paraId="422D415F" w14:textId="77777777" w:rsidR="00A36669" w:rsidRDefault="00A36669" w:rsidP="00B46E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A5FF1"/>
    <w:multiLevelType w:val="hybridMultilevel"/>
    <w:tmpl w:val="99642D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E02DEE"/>
    <w:multiLevelType w:val="hybridMultilevel"/>
    <w:tmpl w:val="7DB64F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31291B"/>
    <w:multiLevelType w:val="hybridMultilevel"/>
    <w:tmpl w:val="435217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9F2554"/>
    <w:multiLevelType w:val="hybridMultilevel"/>
    <w:tmpl w:val="83EEBC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DC5A88"/>
    <w:multiLevelType w:val="hybridMultilevel"/>
    <w:tmpl w:val="B18CEB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206113"/>
    <w:multiLevelType w:val="hybridMultilevel"/>
    <w:tmpl w:val="D47C3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D5246F"/>
    <w:multiLevelType w:val="hybridMultilevel"/>
    <w:tmpl w:val="FC12C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9A683A"/>
    <w:multiLevelType w:val="hybridMultilevel"/>
    <w:tmpl w:val="7AB4C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4B5CAF"/>
    <w:multiLevelType w:val="hybridMultilevel"/>
    <w:tmpl w:val="F2147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DF10AD"/>
    <w:multiLevelType w:val="hybridMultilevel"/>
    <w:tmpl w:val="300A3452"/>
    <w:lvl w:ilvl="0" w:tplc="B90EEEB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93302A"/>
    <w:multiLevelType w:val="hybridMultilevel"/>
    <w:tmpl w:val="CF1AC3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B64B2C"/>
    <w:multiLevelType w:val="hybridMultilevel"/>
    <w:tmpl w:val="8D0ED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B13B79"/>
    <w:multiLevelType w:val="hybridMultilevel"/>
    <w:tmpl w:val="BE660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566A52"/>
    <w:multiLevelType w:val="hybridMultilevel"/>
    <w:tmpl w:val="22BE4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696503"/>
    <w:multiLevelType w:val="hybridMultilevel"/>
    <w:tmpl w:val="DB6C53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9B91AB5"/>
    <w:multiLevelType w:val="hybridMultilevel"/>
    <w:tmpl w:val="9286CC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D56E7C"/>
    <w:multiLevelType w:val="hybridMultilevel"/>
    <w:tmpl w:val="D96A6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DE4B46"/>
    <w:multiLevelType w:val="hybridMultilevel"/>
    <w:tmpl w:val="DF3460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E95D80"/>
    <w:multiLevelType w:val="hybridMultilevel"/>
    <w:tmpl w:val="7AD26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8867EC"/>
    <w:multiLevelType w:val="hybridMultilevel"/>
    <w:tmpl w:val="45B24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491C51"/>
    <w:multiLevelType w:val="hybridMultilevel"/>
    <w:tmpl w:val="FC608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5A42FF"/>
    <w:multiLevelType w:val="hybridMultilevel"/>
    <w:tmpl w:val="A926982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0821D0C"/>
    <w:multiLevelType w:val="hybridMultilevel"/>
    <w:tmpl w:val="227C55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8F3810"/>
    <w:multiLevelType w:val="hybridMultilevel"/>
    <w:tmpl w:val="E89C5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6A3C08"/>
    <w:multiLevelType w:val="hybridMultilevel"/>
    <w:tmpl w:val="8B8633EA"/>
    <w:lvl w:ilvl="0" w:tplc="1436DF8A">
      <w:start w:val="1"/>
      <w:numFmt w:val="bullet"/>
      <w:lvlText w:val="•"/>
      <w:lvlJc w:val="left"/>
      <w:pPr>
        <w:tabs>
          <w:tab w:val="num" w:pos="720"/>
        </w:tabs>
        <w:ind w:left="720" w:hanging="360"/>
      </w:pPr>
      <w:rPr>
        <w:rFonts w:ascii="Arial" w:hAnsi="Arial" w:hint="default"/>
      </w:rPr>
    </w:lvl>
    <w:lvl w:ilvl="1" w:tplc="479A6F9E">
      <w:start w:val="1"/>
      <w:numFmt w:val="bullet"/>
      <w:lvlText w:val="•"/>
      <w:lvlJc w:val="left"/>
      <w:pPr>
        <w:tabs>
          <w:tab w:val="num" w:pos="1440"/>
        </w:tabs>
        <w:ind w:left="1440" w:hanging="360"/>
      </w:pPr>
      <w:rPr>
        <w:rFonts w:ascii="Arial" w:hAnsi="Arial" w:hint="default"/>
      </w:rPr>
    </w:lvl>
    <w:lvl w:ilvl="2" w:tplc="7D58F9AC" w:tentative="1">
      <w:start w:val="1"/>
      <w:numFmt w:val="bullet"/>
      <w:lvlText w:val="•"/>
      <w:lvlJc w:val="left"/>
      <w:pPr>
        <w:tabs>
          <w:tab w:val="num" w:pos="2160"/>
        </w:tabs>
        <w:ind w:left="2160" w:hanging="360"/>
      </w:pPr>
      <w:rPr>
        <w:rFonts w:ascii="Arial" w:hAnsi="Arial" w:hint="default"/>
      </w:rPr>
    </w:lvl>
    <w:lvl w:ilvl="3" w:tplc="077C60C2" w:tentative="1">
      <w:start w:val="1"/>
      <w:numFmt w:val="bullet"/>
      <w:lvlText w:val="•"/>
      <w:lvlJc w:val="left"/>
      <w:pPr>
        <w:tabs>
          <w:tab w:val="num" w:pos="2880"/>
        </w:tabs>
        <w:ind w:left="2880" w:hanging="360"/>
      </w:pPr>
      <w:rPr>
        <w:rFonts w:ascii="Arial" w:hAnsi="Arial" w:hint="default"/>
      </w:rPr>
    </w:lvl>
    <w:lvl w:ilvl="4" w:tplc="7B32CB08" w:tentative="1">
      <w:start w:val="1"/>
      <w:numFmt w:val="bullet"/>
      <w:lvlText w:val="•"/>
      <w:lvlJc w:val="left"/>
      <w:pPr>
        <w:tabs>
          <w:tab w:val="num" w:pos="3600"/>
        </w:tabs>
        <w:ind w:left="3600" w:hanging="360"/>
      </w:pPr>
      <w:rPr>
        <w:rFonts w:ascii="Arial" w:hAnsi="Arial" w:hint="default"/>
      </w:rPr>
    </w:lvl>
    <w:lvl w:ilvl="5" w:tplc="74F65AE8" w:tentative="1">
      <w:start w:val="1"/>
      <w:numFmt w:val="bullet"/>
      <w:lvlText w:val="•"/>
      <w:lvlJc w:val="left"/>
      <w:pPr>
        <w:tabs>
          <w:tab w:val="num" w:pos="4320"/>
        </w:tabs>
        <w:ind w:left="4320" w:hanging="360"/>
      </w:pPr>
      <w:rPr>
        <w:rFonts w:ascii="Arial" w:hAnsi="Arial" w:hint="default"/>
      </w:rPr>
    </w:lvl>
    <w:lvl w:ilvl="6" w:tplc="DD3A9B84" w:tentative="1">
      <w:start w:val="1"/>
      <w:numFmt w:val="bullet"/>
      <w:lvlText w:val="•"/>
      <w:lvlJc w:val="left"/>
      <w:pPr>
        <w:tabs>
          <w:tab w:val="num" w:pos="5040"/>
        </w:tabs>
        <w:ind w:left="5040" w:hanging="360"/>
      </w:pPr>
      <w:rPr>
        <w:rFonts w:ascii="Arial" w:hAnsi="Arial" w:hint="default"/>
      </w:rPr>
    </w:lvl>
    <w:lvl w:ilvl="7" w:tplc="92203C58" w:tentative="1">
      <w:start w:val="1"/>
      <w:numFmt w:val="bullet"/>
      <w:lvlText w:val="•"/>
      <w:lvlJc w:val="left"/>
      <w:pPr>
        <w:tabs>
          <w:tab w:val="num" w:pos="5760"/>
        </w:tabs>
        <w:ind w:left="5760" w:hanging="360"/>
      </w:pPr>
      <w:rPr>
        <w:rFonts w:ascii="Arial" w:hAnsi="Arial" w:hint="default"/>
      </w:rPr>
    </w:lvl>
    <w:lvl w:ilvl="8" w:tplc="44D40AF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C291E3F"/>
    <w:multiLevelType w:val="hybridMultilevel"/>
    <w:tmpl w:val="14566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BF5013"/>
    <w:multiLevelType w:val="hybridMultilevel"/>
    <w:tmpl w:val="6D2A6D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EE4302"/>
    <w:multiLevelType w:val="hybridMultilevel"/>
    <w:tmpl w:val="AF6E88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FD7DD3"/>
    <w:multiLevelType w:val="hybridMultilevel"/>
    <w:tmpl w:val="95A44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CF296E"/>
    <w:multiLevelType w:val="hybridMultilevel"/>
    <w:tmpl w:val="1CA065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1199650">
    <w:abstractNumId w:val="18"/>
  </w:num>
  <w:num w:numId="2" w16cid:durableId="2017032850">
    <w:abstractNumId w:val="29"/>
  </w:num>
  <w:num w:numId="3" w16cid:durableId="1520781177">
    <w:abstractNumId w:val="16"/>
  </w:num>
  <w:num w:numId="4" w16cid:durableId="1143813857">
    <w:abstractNumId w:val="0"/>
  </w:num>
  <w:num w:numId="5" w16cid:durableId="1875386637">
    <w:abstractNumId w:val="7"/>
  </w:num>
  <w:num w:numId="6" w16cid:durableId="1431663699">
    <w:abstractNumId w:val="22"/>
  </w:num>
  <w:num w:numId="7" w16cid:durableId="2022075685">
    <w:abstractNumId w:val="27"/>
  </w:num>
  <w:num w:numId="8" w16cid:durableId="1409186557">
    <w:abstractNumId w:val="8"/>
  </w:num>
  <w:num w:numId="9" w16cid:durableId="696736128">
    <w:abstractNumId w:val="17"/>
  </w:num>
  <w:num w:numId="10" w16cid:durableId="161701875">
    <w:abstractNumId w:val="15"/>
  </w:num>
  <w:num w:numId="11" w16cid:durableId="1206986506">
    <w:abstractNumId w:val="28"/>
  </w:num>
  <w:num w:numId="12" w16cid:durableId="513962884">
    <w:abstractNumId w:val="26"/>
  </w:num>
  <w:num w:numId="13" w16cid:durableId="957250288">
    <w:abstractNumId w:val="4"/>
  </w:num>
  <w:num w:numId="14" w16cid:durableId="1131167646">
    <w:abstractNumId w:val="20"/>
  </w:num>
  <w:num w:numId="15" w16cid:durableId="662970926">
    <w:abstractNumId w:val="25"/>
  </w:num>
  <w:num w:numId="16" w16cid:durableId="703679214">
    <w:abstractNumId w:val="23"/>
  </w:num>
  <w:num w:numId="17" w16cid:durableId="100880515">
    <w:abstractNumId w:val="2"/>
  </w:num>
  <w:num w:numId="18" w16cid:durableId="1584408455">
    <w:abstractNumId w:val="11"/>
  </w:num>
  <w:num w:numId="19" w16cid:durableId="1676612669">
    <w:abstractNumId w:val="6"/>
  </w:num>
  <w:num w:numId="20" w16cid:durableId="1087459420">
    <w:abstractNumId w:val="13"/>
  </w:num>
  <w:num w:numId="21" w16cid:durableId="392630970">
    <w:abstractNumId w:val="10"/>
  </w:num>
  <w:num w:numId="22" w16cid:durableId="1077902112">
    <w:abstractNumId w:val="24"/>
  </w:num>
  <w:num w:numId="23" w16cid:durableId="1818571285">
    <w:abstractNumId w:val="5"/>
  </w:num>
  <w:num w:numId="24" w16cid:durableId="301347134">
    <w:abstractNumId w:val="19"/>
  </w:num>
  <w:num w:numId="25" w16cid:durableId="933513335">
    <w:abstractNumId w:val="14"/>
  </w:num>
  <w:num w:numId="26" w16cid:durableId="1983348327">
    <w:abstractNumId w:val="1"/>
  </w:num>
  <w:num w:numId="27" w16cid:durableId="1525902710">
    <w:abstractNumId w:val="9"/>
  </w:num>
  <w:num w:numId="28" w16cid:durableId="1361784861">
    <w:abstractNumId w:val="3"/>
  </w:num>
  <w:num w:numId="29" w16cid:durableId="1577278490">
    <w:abstractNumId w:val="12"/>
  </w:num>
  <w:num w:numId="30" w16cid:durableId="182427238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B46E75"/>
    <w:rsid w:val="001A6338"/>
    <w:rsid w:val="00210581"/>
    <w:rsid w:val="002631D3"/>
    <w:rsid w:val="00300D10"/>
    <w:rsid w:val="00367609"/>
    <w:rsid w:val="00385CE1"/>
    <w:rsid w:val="00484BF6"/>
    <w:rsid w:val="004D2615"/>
    <w:rsid w:val="005211BC"/>
    <w:rsid w:val="00540C98"/>
    <w:rsid w:val="006264BB"/>
    <w:rsid w:val="00717C7F"/>
    <w:rsid w:val="007D5A80"/>
    <w:rsid w:val="00903E88"/>
    <w:rsid w:val="00913FCC"/>
    <w:rsid w:val="00931443"/>
    <w:rsid w:val="00962D20"/>
    <w:rsid w:val="00993993"/>
    <w:rsid w:val="00A36669"/>
    <w:rsid w:val="00AF6B85"/>
    <w:rsid w:val="00B44835"/>
    <w:rsid w:val="00B46E75"/>
    <w:rsid w:val="00B708F3"/>
    <w:rsid w:val="00BE2C66"/>
    <w:rsid w:val="00C317CE"/>
    <w:rsid w:val="00CA66C9"/>
    <w:rsid w:val="00CB7702"/>
    <w:rsid w:val="00E06CD7"/>
    <w:rsid w:val="00E94679"/>
    <w:rsid w:val="00F41A82"/>
    <w:rsid w:val="00F5352F"/>
    <w:rsid w:val="00F71C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F9E3D"/>
  <w15:chartTrackingRefBased/>
  <w15:docId w15:val="{238D8CE8-FB18-409D-8386-1713BC5B1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E75"/>
    <w:pPr>
      <w:spacing w:after="120"/>
    </w:pPr>
    <w:rPr>
      <w:kern w:val="2"/>
      <w:sz w:val="24"/>
      <w:szCs w:val="24"/>
      <w14:ligatures w14:val="standardContextual"/>
    </w:rPr>
  </w:style>
  <w:style w:type="paragraph" w:styleId="Heading1">
    <w:name w:val="heading 1"/>
    <w:basedOn w:val="Normal"/>
    <w:next w:val="Normal"/>
    <w:link w:val="Heading1Char"/>
    <w:uiPriority w:val="9"/>
    <w:qFormat/>
    <w:rsid w:val="00B46E75"/>
    <w:pPr>
      <w:keepNext/>
      <w:keepLines/>
      <w:spacing w:before="120"/>
      <w:jc w:val="center"/>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46E75"/>
    <w:pPr>
      <w:keepNext/>
      <w:keepLines/>
      <w:spacing w:before="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46E75"/>
    <w:pPr>
      <w:keepNext/>
      <w:keepLines/>
      <w:spacing w:before="40" w:after="0"/>
      <w:ind w:firstLine="36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B46E7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B46E75"/>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46E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6E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6E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6E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6E75"/>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2Char">
    <w:name w:val="Heading 2 Char"/>
    <w:basedOn w:val="DefaultParagraphFont"/>
    <w:link w:val="Heading2"/>
    <w:uiPriority w:val="9"/>
    <w:rsid w:val="00B46E75"/>
    <w:rPr>
      <w:rFonts w:asciiTheme="majorHAnsi" w:eastAsiaTheme="majorEastAsia" w:hAnsiTheme="majorHAnsi" w:cstheme="majorBidi"/>
      <w:color w:val="2E74B5" w:themeColor="accent1" w:themeShade="BF"/>
      <w:kern w:val="2"/>
      <w:sz w:val="26"/>
      <w:szCs w:val="26"/>
      <w14:ligatures w14:val="standardContextual"/>
    </w:rPr>
  </w:style>
  <w:style w:type="character" w:customStyle="1" w:styleId="Heading3Char">
    <w:name w:val="Heading 3 Char"/>
    <w:basedOn w:val="DefaultParagraphFont"/>
    <w:link w:val="Heading3"/>
    <w:uiPriority w:val="9"/>
    <w:rsid w:val="00B46E75"/>
    <w:rPr>
      <w:rFonts w:asciiTheme="majorHAnsi" w:eastAsiaTheme="majorEastAsia" w:hAnsiTheme="majorHAnsi" w:cstheme="majorBidi"/>
      <w:color w:val="1F4D78" w:themeColor="accent1" w:themeShade="7F"/>
      <w:kern w:val="2"/>
      <w:sz w:val="24"/>
      <w:szCs w:val="24"/>
      <w14:ligatures w14:val="standardContextual"/>
    </w:rPr>
  </w:style>
  <w:style w:type="character" w:customStyle="1" w:styleId="Heading4Char">
    <w:name w:val="Heading 4 Char"/>
    <w:basedOn w:val="DefaultParagraphFont"/>
    <w:link w:val="Heading4"/>
    <w:uiPriority w:val="9"/>
    <w:rsid w:val="00B46E75"/>
    <w:rPr>
      <w:rFonts w:asciiTheme="majorHAnsi" w:eastAsiaTheme="majorEastAsia" w:hAnsiTheme="majorHAnsi" w:cstheme="majorBidi"/>
      <w:i/>
      <w:iCs/>
      <w:color w:val="2E74B5" w:themeColor="accent1" w:themeShade="BF"/>
      <w:kern w:val="2"/>
      <w:sz w:val="24"/>
      <w:szCs w:val="24"/>
      <w14:ligatures w14:val="standardContextual"/>
    </w:rPr>
  </w:style>
  <w:style w:type="paragraph" w:styleId="ListParagraph">
    <w:name w:val="List Paragraph"/>
    <w:basedOn w:val="Normal"/>
    <w:link w:val="ListParagraphChar"/>
    <w:uiPriority w:val="34"/>
    <w:qFormat/>
    <w:rsid w:val="00B46E75"/>
    <w:pPr>
      <w:ind w:left="720"/>
      <w:contextualSpacing/>
    </w:pPr>
  </w:style>
  <w:style w:type="character" w:customStyle="1" w:styleId="Heading5Char">
    <w:name w:val="Heading 5 Char"/>
    <w:basedOn w:val="DefaultParagraphFont"/>
    <w:link w:val="Heading5"/>
    <w:uiPriority w:val="9"/>
    <w:semiHidden/>
    <w:rsid w:val="00B46E75"/>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B46E75"/>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B46E75"/>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B46E75"/>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B46E75"/>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B46E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6E75"/>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B46E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6E75"/>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B46E75"/>
    <w:pPr>
      <w:spacing w:before="160"/>
      <w:jc w:val="center"/>
    </w:pPr>
    <w:rPr>
      <w:i/>
      <w:iCs/>
      <w:color w:val="404040" w:themeColor="text1" w:themeTint="BF"/>
    </w:rPr>
  </w:style>
  <w:style w:type="character" w:customStyle="1" w:styleId="QuoteChar">
    <w:name w:val="Quote Char"/>
    <w:basedOn w:val="DefaultParagraphFont"/>
    <w:link w:val="Quote"/>
    <w:uiPriority w:val="29"/>
    <w:rsid w:val="00B46E75"/>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B46E75"/>
    <w:rPr>
      <w:i/>
      <w:iCs/>
      <w:color w:val="2E74B5" w:themeColor="accent1" w:themeShade="BF"/>
    </w:rPr>
  </w:style>
  <w:style w:type="paragraph" w:styleId="IntenseQuote">
    <w:name w:val="Intense Quote"/>
    <w:basedOn w:val="Normal"/>
    <w:next w:val="Normal"/>
    <w:link w:val="IntenseQuoteChar"/>
    <w:uiPriority w:val="30"/>
    <w:qFormat/>
    <w:rsid w:val="00B46E7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46E75"/>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B46E75"/>
    <w:rPr>
      <w:b/>
      <w:bCs/>
      <w:smallCaps/>
      <w:color w:val="2E74B5" w:themeColor="accent1" w:themeShade="BF"/>
      <w:spacing w:val="5"/>
    </w:rPr>
  </w:style>
  <w:style w:type="paragraph" w:styleId="FootnoteText">
    <w:name w:val="footnote text"/>
    <w:basedOn w:val="Normal"/>
    <w:link w:val="FootnoteTextChar"/>
    <w:uiPriority w:val="99"/>
    <w:semiHidden/>
    <w:unhideWhenUsed/>
    <w:rsid w:val="00B46E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6E75"/>
    <w:rPr>
      <w:kern w:val="2"/>
      <w:sz w:val="20"/>
      <w:szCs w:val="20"/>
      <w14:ligatures w14:val="standardContextual"/>
    </w:rPr>
  </w:style>
  <w:style w:type="character" w:styleId="FootnoteReference">
    <w:name w:val="footnote reference"/>
    <w:basedOn w:val="DefaultParagraphFont"/>
    <w:uiPriority w:val="99"/>
    <w:semiHidden/>
    <w:unhideWhenUsed/>
    <w:rsid w:val="00B46E75"/>
    <w:rPr>
      <w:vertAlign w:val="superscript"/>
    </w:rPr>
  </w:style>
  <w:style w:type="paragraph" w:styleId="Header">
    <w:name w:val="header"/>
    <w:basedOn w:val="Normal"/>
    <w:link w:val="HeaderChar"/>
    <w:uiPriority w:val="99"/>
    <w:unhideWhenUsed/>
    <w:rsid w:val="00B46E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6E75"/>
    <w:rPr>
      <w:kern w:val="2"/>
      <w:sz w:val="24"/>
      <w:szCs w:val="24"/>
      <w14:ligatures w14:val="standardContextual"/>
    </w:rPr>
  </w:style>
  <w:style w:type="paragraph" w:styleId="Footer">
    <w:name w:val="footer"/>
    <w:basedOn w:val="Normal"/>
    <w:link w:val="FooterChar"/>
    <w:uiPriority w:val="99"/>
    <w:unhideWhenUsed/>
    <w:rsid w:val="00B46E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6E75"/>
    <w:rPr>
      <w:kern w:val="2"/>
      <w:sz w:val="24"/>
      <w:szCs w:val="24"/>
      <w14:ligatures w14:val="standardContextual"/>
    </w:rPr>
  </w:style>
  <w:style w:type="character" w:styleId="Hyperlink">
    <w:name w:val="Hyperlink"/>
    <w:basedOn w:val="DefaultParagraphFont"/>
    <w:uiPriority w:val="99"/>
    <w:unhideWhenUsed/>
    <w:rsid w:val="00B46E75"/>
    <w:rPr>
      <w:color w:val="0070C0" w:themeColor="hyperlink"/>
      <w:u w:val="single"/>
    </w:rPr>
  </w:style>
  <w:style w:type="character" w:styleId="UnresolvedMention">
    <w:name w:val="Unresolved Mention"/>
    <w:basedOn w:val="DefaultParagraphFont"/>
    <w:uiPriority w:val="99"/>
    <w:semiHidden/>
    <w:unhideWhenUsed/>
    <w:rsid w:val="00B46E75"/>
    <w:rPr>
      <w:color w:val="605E5C"/>
      <w:shd w:val="clear" w:color="auto" w:fill="E1DFDD"/>
    </w:rPr>
  </w:style>
  <w:style w:type="paragraph" w:customStyle="1" w:styleId="EndNoteBibliographyTitle">
    <w:name w:val="EndNote Bibliography Title"/>
    <w:basedOn w:val="Normal"/>
    <w:link w:val="EndNoteBibliographyTitleChar"/>
    <w:rsid w:val="00B46E75"/>
    <w:pPr>
      <w:spacing w:after="0"/>
      <w:jc w:val="center"/>
    </w:pPr>
    <w:rPr>
      <w:rFonts w:ascii="Calibri" w:hAnsi="Calibri" w:cs="Calibri"/>
      <w:noProof/>
      <w:lang w:val="en-US"/>
    </w:rPr>
  </w:style>
  <w:style w:type="character" w:customStyle="1" w:styleId="ListParagraphChar">
    <w:name w:val="List Paragraph Char"/>
    <w:basedOn w:val="DefaultParagraphFont"/>
    <w:link w:val="ListParagraph"/>
    <w:uiPriority w:val="34"/>
    <w:rsid w:val="00B46E75"/>
    <w:rPr>
      <w:kern w:val="2"/>
      <w:sz w:val="24"/>
      <w:szCs w:val="24"/>
      <w14:ligatures w14:val="standardContextual"/>
    </w:rPr>
  </w:style>
  <w:style w:type="character" w:customStyle="1" w:styleId="EndNoteBibliographyTitleChar">
    <w:name w:val="EndNote Bibliography Title Char"/>
    <w:basedOn w:val="ListParagraphChar"/>
    <w:link w:val="EndNoteBibliographyTitle"/>
    <w:rsid w:val="00B46E75"/>
    <w:rPr>
      <w:rFonts w:ascii="Calibri" w:hAnsi="Calibri" w:cs="Calibri"/>
      <w:noProof/>
      <w:kern w:val="2"/>
      <w:sz w:val="24"/>
      <w:szCs w:val="24"/>
      <w:lang w:val="en-US"/>
      <w14:ligatures w14:val="standardContextual"/>
    </w:rPr>
  </w:style>
  <w:style w:type="paragraph" w:customStyle="1" w:styleId="EndNoteBibliography">
    <w:name w:val="EndNote Bibliography"/>
    <w:basedOn w:val="Normal"/>
    <w:link w:val="EndNoteBibliographyChar"/>
    <w:rsid w:val="00B46E75"/>
    <w:pPr>
      <w:spacing w:line="240" w:lineRule="auto"/>
    </w:pPr>
    <w:rPr>
      <w:rFonts w:ascii="Calibri" w:hAnsi="Calibri" w:cs="Calibri"/>
      <w:noProof/>
      <w:lang w:val="en-US"/>
    </w:rPr>
  </w:style>
  <w:style w:type="character" w:customStyle="1" w:styleId="EndNoteBibliographyChar">
    <w:name w:val="EndNote Bibliography Char"/>
    <w:basedOn w:val="ListParagraphChar"/>
    <w:link w:val="EndNoteBibliography"/>
    <w:rsid w:val="00B46E75"/>
    <w:rPr>
      <w:rFonts w:ascii="Calibri" w:hAnsi="Calibri" w:cs="Calibri"/>
      <w:noProof/>
      <w:kern w:val="2"/>
      <w:sz w:val="24"/>
      <w:szCs w:val="24"/>
      <w:lang w:val="en-US"/>
      <w14:ligatures w14:val="standardContextual"/>
    </w:rPr>
  </w:style>
  <w:style w:type="paragraph" w:styleId="Revision">
    <w:name w:val="Revision"/>
    <w:hidden/>
    <w:uiPriority w:val="99"/>
    <w:semiHidden/>
    <w:rsid w:val="00B46E75"/>
    <w:pPr>
      <w:spacing w:after="0" w:line="240" w:lineRule="auto"/>
    </w:pPr>
    <w:rPr>
      <w:kern w:val="2"/>
      <w:sz w:val="24"/>
      <w:szCs w:val="24"/>
      <w14:ligatures w14:val="standardContextual"/>
    </w:rPr>
  </w:style>
  <w:style w:type="paragraph" w:customStyle="1" w:styleId="Default">
    <w:name w:val="Default"/>
    <w:rsid w:val="00B46E75"/>
    <w:pPr>
      <w:autoSpaceDE w:val="0"/>
      <w:autoSpaceDN w:val="0"/>
      <w:adjustRightInd w:val="0"/>
      <w:spacing w:after="0" w:line="240" w:lineRule="auto"/>
    </w:pPr>
    <w:rPr>
      <w:rFonts w:ascii="Calibri" w:hAnsi="Calibri" w:cs="Calibri"/>
      <w:color w:val="000000"/>
      <w:sz w:val="24"/>
      <w:szCs w:val="24"/>
      <w:lang w:val="en-US"/>
    </w:rPr>
  </w:style>
  <w:style w:type="paragraph" w:styleId="EndnoteText">
    <w:name w:val="endnote text"/>
    <w:basedOn w:val="Normal"/>
    <w:link w:val="EndnoteTextChar"/>
    <w:uiPriority w:val="99"/>
    <w:semiHidden/>
    <w:unhideWhenUsed/>
    <w:rsid w:val="00B46E7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46E75"/>
    <w:rPr>
      <w:kern w:val="2"/>
      <w:sz w:val="20"/>
      <w:szCs w:val="20"/>
      <w14:ligatures w14:val="standardContextual"/>
    </w:rPr>
  </w:style>
  <w:style w:type="character" w:styleId="EndnoteReference">
    <w:name w:val="endnote reference"/>
    <w:basedOn w:val="DefaultParagraphFont"/>
    <w:uiPriority w:val="99"/>
    <w:semiHidden/>
    <w:unhideWhenUsed/>
    <w:rsid w:val="00B46E75"/>
    <w:rPr>
      <w:vertAlign w:val="superscript"/>
    </w:rPr>
  </w:style>
  <w:style w:type="character" w:styleId="CommentReference">
    <w:name w:val="annotation reference"/>
    <w:basedOn w:val="DefaultParagraphFont"/>
    <w:uiPriority w:val="99"/>
    <w:semiHidden/>
    <w:unhideWhenUsed/>
    <w:rsid w:val="00B46E75"/>
    <w:rPr>
      <w:sz w:val="16"/>
      <w:szCs w:val="16"/>
    </w:rPr>
  </w:style>
  <w:style w:type="paragraph" w:styleId="CommentText">
    <w:name w:val="annotation text"/>
    <w:basedOn w:val="Normal"/>
    <w:link w:val="CommentTextChar"/>
    <w:uiPriority w:val="99"/>
    <w:semiHidden/>
    <w:unhideWhenUsed/>
    <w:rsid w:val="00B46E75"/>
    <w:pPr>
      <w:spacing w:line="240" w:lineRule="auto"/>
    </w:pPr>
    <w:rPr>
      <w:sz w:val="20"/>
      <w:szCs w:val="20"/>
    </w:rPr>
  </w:style>
  <w:style w:type="character" w:customStyle="1" w:styleId="CommentTextChar">
    <w:name w:val="Comment Text Char"/>
    <w:basedOn w:val="DefaultParagraphFont"/>
    <w:link w:val="CommentText"/>
    <w:uiPriority w:val="99"/>
    <w:semiHidden/>
    <w:rsid w:val="00B46E75"/>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B46E75"/>
    <w:rPr>
      <w:b/>
      <w:bCs/>
    </w:rPr>
  </w:style>
  <w:style w:type="character" w:customStyle="1" w:styleId="CommentSubjectChar">
    <w:name w:val="Comment Subject Char"/>
    <w:basedOn w:val="CommentTextChar"/>
    <w:link w:val="CommentSubject"/>
    <w:uiPriority w:val="99"/>
    <w:semiHidden/>
    <w:rsid w:val="00B46E75"/>
    <w:rPr>
      <w:b/>
      <w:bCs/>
      <w:kern w:val="2"/>
      <w:sz w:val="20"/>
      <w:szCs w:val="20"/>
      <w14:ligatures w14:val="standardContextual"/>
    </w:rPr>
  </w:style>
  <w:style w:type="paragraph" w:styleId="NoSpacing">
    <w:name w:val="No Spacing"/>
    <w:uiPriority w:val="1"/>
    <w:qFormat/>
    <w:rsid w:val="00C317CE"/>
    <w:pPr>
      <w:spacing w:after="0" w:line="240" w:lineRule="auto"/>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doi.org/10.5284/1083483" TargetMode="External"/></Relationships>
</file>

<file path=word/theme/theme1.xml><?xml version="1.0" encoding="utf-8"?>
<a:theme xmlns:a="http://schemas.openxmlformats.org/drawingml/2006/main" name="Office Theme">
  <a:themeElements>
    <a:clrScheme name="Custom 4">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070C0"/>
      </a:hlink>
      <a:folHlink>
        <a:srgbClr val="0070C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88C42-65B0-44DB-BCD6-BF8A1C9AA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7</Pages>
  <Words>3004</Words>
  <Characters>17127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Rye</dc:creator>
  <cp:keywords/>
  <dc:description/>
  <cp:lastModifiedBy>Ellie Rye</cp:lastModifiedBy>
  <cp:revision>15</cp:revision>
  <dcterms:created xsi:type="dcterms:W3CDTF">2024-08-06T13:34:00Z</dcterms:created>
  <dcterms:modified xsi:type="dcterms:W3CDTF">2025-02-26T16:38:00Z</dcterms:modified>
</cp:coreProperties>
</file>