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998C" w14:textId="0E118D19" w:rsidR="00524DA0" w:rsidRPr="003E7EE5" w:rsidRDefault="00524DA0" w:rsidP="00524DA0">
      <w:pPr>
        <w:spacing w:line="360" w:lineRule="auto"/>
        <w:jc w:val="center"/>
        <w:rPr>
          <w:b/>
          <w:sz w:val="28"/>
          <w:szCs w:val="28"/>
        </w:rPr>
      </w:pPr>
      <w:r w:rsidRPr="003E7EE5">
        <w:rPr>
          <w:b/>
          <w:sz w:val="28"/>
          <w:szCs w:val="28"/>
        </w:rPr>
        <w:t xml:space="preserve">Strategizing </w:t>
      </w:r>
      <w:r w:rsidR="0094205F" w:rsidRPr="003E7EE5">
        <w:rPr>
          <w:b/>
          <w:sz w:val="28"/>
          <w:szCs w:val="28"/>
        </w:rPr>
        <w:t>g</w:t>
      </w:r>
      <w:r w:rsidR="005156C5" w:rsidRPr="003E7EE5">
        <w:rPr>
          <w:b/>
          <w:sz w:val="28"/>
          <w:szCs w:val="28"/>
        </w:rPr>
        <w:t xml:space="preserve">reen </w:t>
      </w:r>
      <w:r w:rsidR="0094205F" w:rsidRPr="003E7EE5">
        <w:rPr>
          <w:b/>
          <w:sz w:val="28"/>
          <w:szCs w:val="28"/>
        </w:rPr>
        <w:t>m</w:t>
      </w:r>
      <w:r w:rsidR="005156C5" w:rsidRPr="003E7EE5">
        <w:rPr>
          <w:b/>
          <w:sz w:val="28"/>
          <w:szCs w:val="28"/>
        </w:rPr>
        <w:t xml:space="preserve">arketing in </w:t>
      </w:r>
      <w:r w:rsidR="0094205F" w:rsidRPr="003E7EE5">
        <w:rPr>
          <w:b/>
          <w:sz w:val="28"/>
          <w:szCs w:val="28"/>
        </w:rPr>
        <w:t>t</w:t>
      </w:r>
      <w:r w:rsidR="005156C5" w:rsidRPr="003E7EE5">
        <w:rPr>
          <w:b/>
          <w:sz w:val="28"/>
          <w:szCs w:val="28"/>
        </w:rPr>
        <w:t xml:space="preserve">imes of </w:t>
      </w:r>
      <w:r w:rsidR="0094205F" w:rsidRPr="003E7EE5">
        <w:rPr>
          <w:b/>
          <w:sz w:val="28"/>
          <w:szCs w:val="28"/>
        </w:rPr>
        <w:t>u</w:t>
      </w:r>
      <w:r w:rsidR="005156C5" w:rsidRPr="003E7EE5">
        <w:rPr>
          <w:b/>
          <w:sz w:val="28"/>
          <w:szCs w:val="28"/>
        </w:rPr>
        <w:t>ncertainty</w:t>
      </w:r>
      <w:r w:rsidRPr="003E7EE5">
        <w:rPr>
          <w:b/>
          <w:sz w:val="28"/>
          <w:szCs w:val="28"/>
        </w:rPr>
        <w:t>:</w:t>
      </w:r>
      <w:r w:rsidR="00617A5D" w:rsidRPr="003E7EE5">
        <w:rPr>
          <w:b/>
          <w:sz w:val="28"/>
          <w:szCs w:val="28"/>
        </w:rPr>
        <w:t xml:space="preserve"> </w:t>
      </w:r>
      <w:r w:rsidR="00C921EC" w:rsidRPr="003E7EE5">
        <w:rPr>
          <w:b/>
          <w:sz w:val="28"/>
          <w:szCs w:val="28"/>
        </w:rPr>
        <w:t>Do</w:t>
      </w:r>
      <w:r w:rsidRPr="003E7EE5">
        <w:rPr>
          <w:b/>
          <w:sz w:val="28"/>
          <w:szCs w:val="28"/>
        </w:rPr>
        <w:t xml:space="preserve">es </w:t>
      </w:r>
      <w:r w:rsidR="005156C5" w:rsidRPr="003E7EE5">
        <w:rPr>
          <w:b/>
          <w:sz w:val="28"/>
          <w:szCs w:val="28"/>
        </w:rPr>
        <w:t xml:space="preserve">it </w:t>
      </w:r>
      <w:r w:rsidR="0094205F" w:rsidRPr="003E7EE5">
        <w:rPr>
          <w:b/>
          <w:sz w:val="28"/>
          <w:szCs w:val="28"/>
        </w:rPr>
        <w:t>p</w:t>
      </w:r>
      <w:r w:rsidR="005156C5" w:rsidRPr="003E7EE5">
        <w:rPr>
          <w:b/>
          <w:sz w:val="28"/>
          <w:szCs w:val="28"/>
        </w:rPr>
        <w:t>ay</w:t>
      </w:r>
      <w:r w:rsidR="0094205F" w:rsidRPr="003E7EE5">
        <w:rPr>
          <w:b/>
          <w:sz w:val="28"/>
          <w:szCs w:val="28"/>
        </w:rPr>
        <w:t xml:space="preserve"> o</w:t>
      </w:r>
      <w:r w:rsidR="005156C5" w:rsidRPr="003E7EE5">
        <w:rPr>
          <w:b/>
          <w:sz w:val="28"/>
          <w:szCs w:val="28"/>
        </w:rPr>
        <w:t>ff</w:t>
      </w:r>
      <w:r w:rsidRPr="003E7EE5">
        <w:rPr>
          <w:b/>
          <w:sz w:val="28"/>
          <w:szCs w:val="28"/>
        </w:rPr>
        <w:t>?</w:t>
      </w:r>
    </w:p>
    <w:p w14:paraId="636DC4E7" w14:textId="77777777" w:rsidR="00403C2E" w:rsidRPr="003E7EE5" w:rsidRDefault="00403C2E" w:rsidP="00524DA0">
      <w:pPr>
        <w:spacing w:line="360" w:lineRule="auto"/>
        <w:jc w:val="center"/>
        <w:rPr>
          <w:b/>
          <w:sz w:val="28"/>
          <w:szCs w:val="28"/>
        </w:rPr>
      </w:pPr>
    </w:p>
    <w:p w14:paraId="5198F280" w14:textId="7A20B93B" w:rsidR="009A17C0" w:rsidRPr="005E1791" w:rsidRDefault="009A17C0" w:rsidP="00772F31">
      <w:pPr>
        <w:pStyle w:val="ListParagraph"/>
        <w:spacing w:after="0" w:line="480" w:lineRule="auto"/>
        <w:ind w:left="0"/>
        <w:outlineLvl w:val="0"/>
        <w:rPr>
          <w:rFonts w:ascii="Times New Roman" w:hAnsi="Times New Roman" w:cs="Times New Roman"/>
          <w:b/>
          <w:sz w:val="24"/>
          <w:szCs w:val="24"/>
          <w:lang w:val="en-US"/>
        </w:rPr>
      </w:pPr>
      <w:r w:rsidRPr="005E1791">
        <w:rPr>
          <w:rFonts w:ascii="Times New Roman" w:hAnsi="Times New Roman" w:cs="Times New Roman"/>
          <w:b/>
          <w:sz w:val="24"/>
          <w:szCs w:val="24"/>
          <w:lang w:val="en-US"/>
        </w:rPr>
        <w:t>Abstract</w:t>
      </w:r>
    </w:p>
    <w:p w14:paraId="2CDA0964" w14:textId="15DBBD39" w:rsidR="00A81420" w:rsidRPr="003E7EE5" w:rsidRDefault="00A81420" w:rsidP="00650F87">
      <w:pPr>
        <w:pStyle w:val="ListParagraph"/>
        <w:spacing w:after="0" w:line="480" w:lineRule="auto"/>
        <w:ind w:left="0"/>
        <w:rPr>
          <w:rFonts w:ascii="Times New Roman" w:hAnsi="Times New Roman" w:cs="Times New Roman"/>
          <w:color w:val="000000" w:themeColor="text1"/>
          <w:sz w:val="24"/>
          <w:szCs w:val="26"/>
          <w:lang w:val="en-US"/>
        </w:rPr>
      </w:pPr>
      <w:r w:rsidRPr="003E7EE5">
        <w:rPr>
          <w:rFonts w:ascii="Times New Roman" w:hAnsi="Times New Roman" w:cs="Times New Roman"/>
          <w:b/>
          <w:bCs/>
          <w:color w:val="000000" w:themeColor="text1"/>
          <w:sz w:val="24"/>
          <w:szCs w:val="26"/>
          <w:lang w:val="en-US"/>
        </w:rPr>
        <w:t>Purpose</w:t>
      </w:r>
      <w:r w:rsidR="0094205F" w:rsidRPr="003E7EE5">
        <w:rPr>
          <w:rFonts w:ascii="Times New Roman" w:hAnsi="Times New Roman" w:cs="Times New Roman"/>
          <w:color w:val="000000" w:themeColor="text1"/>
          <w:sz w:val="24"/>
          <w:szCs w:val="26"/>
          <w:lang w:val="en-US"/>
        </w:rPr>
        <w:t xml:space="preserve"> – </w:t>
      </w:r>
      <w:r w:rsidR="00015C75" w:rsidRPr="003E7EE5">
        <w:rPr>
          <w:rFonts w:ascii="Times New Roman" w:hAnsi="Times New Roman" w:cs="Times New Roman"/>
          <w:color w:val="000000" w:themeColor="text1"/>
          <w:sz w:val="24"/>
          <w:szCs w:val="26"/>
          <w:lang w:val="en-US"/>
        </w:rPr>
        <w:t xml:space="preserve">This </w:t>
      </w:r>
      <w:r w:rsidR="0094205F" w:rsidRPr="003E7EE5">
        <w:rPr>
          <w:rFonts w:ascii="Times New Roman" w:hAnsi="Times New Roman" w:cs="Times New Roman"/>
          <w:color w:val="000000" w:themeColor="text1"/>
          <w:sz w:val="24"/>
          <w:szCs w:val="26"/>
          <w:lang w:val="en-US"/>
        </w:rPr>
        <w:t>research</w:t>
      </w:r>
      <w:r w:rsidR="00015C75" w:rsidRPr="003E7EE5">
        <w:rPr>
          <w:rFonts w:ascii="Times New Roman" w:hAnsi="Times New Roman" w:cs="Times New Roman"/>
          <w:color w:val="000000" w:themeColor="text1"/>
          <w:sz w:val="24"/>
          <w:szCs w:val="26"/>
          <w:lang w:val="en-US"/>
        </w:rPr>
        <w:t xml:space="preserve"> </w:t>
      </w:r>
      <w:r w:rsidR="0053466E" w:rsidRPr="003E7EE5">
        <w:rPr>
          <w:rFonts w:ascii="Times New Roman" w:hAnsi="Times New Roman" w:cs="Times New Roman"/>
          <w:color w:val="000000" w:themeColor="text1"/>
          <w:sz w:val="24"/>
          <w:szCs w:val="26"/>
          <w:lang w:val="en-US"/>
        </w:rPr>
        <w:t xml:space="preserve">investigates </w:t>
      </w:r>
      <w:r w:rsidR="004D626C" w:rsidRPr="003E7EE5">
        <w:rPr>
          <w:rFonts w:ascii="Times New Roman" w:hAnsi="Times New Roman" w:cs="Times New Roman"/>
          <w:color w:val="000000" w:themeColor="text1"/>
          <w:sz w:val="24"/>
          <w:szCs w:val="26"/>
          <w:lang w:val="en-US"/>
        </w:rPr>
        <w:t xml:space="preserve">the impact of green marketing </w:t>
      </w:r>
      <w:r w:rsidR="007A7805" w:rsidRPr="003E7EE5">
        <w:rPr>
          <w:rFonts w:ascii="Times New Roman" w:hAnsi="Times New Roman" w:cs="Times New Roman"/>
          <w:color w:val="000000" w:themeColor="text1"/>
          <w:sz w:val="24"/>
          <w:szCs w:val="26"/>
          <w:lang w:val="en-US"/>
        </w:rPr>
        <w:t>strategy</w:t>
      </w:r>
      <w:r w:rsidR="00414680" w:rsidRPr="003E7EE5">
        <w:rPr>
          <w:rFonts w:ascii="Times New Roman" w:hAnsi="Times New Roman" w:cs="Times New Roman"/>
          <w:color w:val="000000" w:themeColor="text1"/>
          <w:sz w:val="24"/>
          <w:szCs w:val="26"/>
          <w:lang w:val="en-US"/>
        </w:rPr>
        <w:t xml:space="preserve"> </w:t>
      </w:r>
      <w:r w:rsidR="006D0D47" w:rsidRPr="003E7EE5">
        <w:rPr>
          <w:rFonts w:ascii="Times New Roman" w:hAnsi="Times New Roman" w:cs="Times New Roman"/>
          <w:color w:val="000000" w:themeColor="text1"/>
          <w:sz w:val="24"/>
          <w:szCs w:val="26"/>
          <w:lang w:val="en-US"/>
        </w:rPr>
        <w:t xml:space="preserve">(GMS) </w:t>
      </w:r>
      <w:r w:rsidR="00414680" w:rsidRPr="003E7EE5">
        <w:rPr>
          <w:rFonts w:ascii="Times New Roman" w:hAnsi="Times New Roman" w:cs="Times New Roman"/>
          <w:color w:val="000000" w:themeColor="text1"/>
          <w:sz w:val="24"/>
          <w:szCs w:val="26"/>
          <w:lang w:val="en-US"/>
        </w:rPr>
        <w:t>and firm</w:t>
      </w:r>
      <w:r w:rsidR="0094205F" w:rsidRPr="003E7EE5">
        <w:rPr>
          <w:rFonts w:ascii="Times New Roman" w:hAnsi="Times New Roman" w:cs="Times New Roman"/>
          <w:color w:val="000000" w:themeColor="text1"/>
          <w:sz w:val="24"/>
          <w:szCs w:val="26"/>
          <w:lang w:val="en-US"/>
        </w:rPr>
        <w:t>s’</w:t>
      </w:r>
      <w:r w:rsidR="00414680" w:rsidRPr="003E7EE5">
        <w:rPr>
          <w:rFonts w:ascii="Times New Roman" w:hAnsi="Times New Roman" w:cs="Times New Roman"/>
          <w:color w:val="000000" w:themeColor="text1"/>
          <w:sz w:val="24"/>
          <w:szCs w:val="26"/>
          <w:lang w:val="en-US"/>
        </w:rPr>
        <w:t xml:space="preserve"> decision to invest </w:t>
      </w:r>
      <w:r w:rsidR="005F218A" w:rsidRPr="003E7EE5">
        <w:rPr>
          <w:rFonts w:ascii="Times New Roman" w:hAnsi="Times New Roman" w:cs="Times New Roman"/>
          <w:color w:val="000000" w:themeColor="text1"/>
          <w:sz w:val="24"/>
          <w:szCs w:val="26"/>
          <w:lang w:val="en-US"/>
        </w:rPr>
        <w:t xml:space="preserve">in </w:t>
      </w:r>
      <w:r w:rsidR="00414680" w:rsidRPr="003E7EE5">
        <w:rPr>
          <w:rFonts w:ascii="Times New Roman" w:hAnsi="Times New Roman" w:cs="Times New Roman"/>
          <w:color w:val="000000" w:themeColor="text1"/>
          <w:sz w:val="24"/>
          <w:szCs w:val="26"/>
          <w:lang w:val="en-US"/>
        </w:rPr>
        <w:t xml:space="preserve">or divest from green marketing activities </w:t>
      </w:r>
      <w:r w:rsidR="00886A9B" w:rsidRPr="003E7EE5">
        <w:rPr>
          <w:rFonts w:ascii="Times New Roman" w:hAnsi="Times New Roman" w:cs="Times New Roman"/>
          <w:color w:val="000000" w:themeColor="text1"/>
          <w:sz w:val="24"/>
          <w:szCs w:val="26"/>
          <w:lang w:val="en-US"/>
        </w:rPr>
        <w:t xml:space="preserve">during a crisis </w:t>
      </w:r>
      <w:r w:rsidR="004D626C" w:rsidRPr="003E7EE5">
        <w:rPr>
          <w:rFonts w:ascii="Times New Roman" w:hAnsi="Times New Roman" w:cs="Times New Roman"/>
          <w:color w:val="000000" w:themeColor="text1"/>
          <w:sz w:val="24"/>
          <w:szCs w:val="26"/>
          <w:lang w:val="en-US"/>
        </w:rPr>
        <w:t xml:space="preserve">on </w:t>
      </w:r>
      <w:r w:rsidR="00192C18" w:rsidRPr="003E7EE5">
        <w:rPr>
          <w:rFonts w:ascii="Times New Roman" w:hAnsi="Times New Roman" w:cs="Times New Roman"/>
          <w:color w:val="000000" w:themeColor="text1"/>
          <w:sz w:val="24"/>
          <w:szCs w:val="26"/>
          <w:lang w:val="en-US"/>
        </w:rPr>
        <w:t>business</w:t>
      </w:r>
      <w:r w:rsidR="003902EB" w:rsidRPr="003E7EE5">
        <w:rPr>
          <w:rFonts w:ascii="Times New Roman" w:hAnsi="Times New Roman" w:cs="Times New Roman"/>
          <w:color w:val="000000" w:themeColor="text1"/>
          <w:sz w:val="24"/>
          <w:szCs w:val="26"/>
          <w:lang w:val="en-US"/>
        </w:rPr>
        <w:t xml:space="preserve"> performance</w:t>
      </w:r>
      <w:r w:rsidR="004D626C" w:rsidRPr="003E7EE5">
        <w:rPr>
          <w:rFonts w:ascii="Times New Roman" w:hAnsi="Times New Roman" w:cs="Times New Roman"/>
          <w:color w:val="000000" w:themeColor="text1"/>
          <w:sz w:val="24"/>
          <w:szCs w:val="26"/>
          <w:lang w:val="en-US"/>
        </w:rPr>
        <w:t xml:space="preserve">. </w:t>
      </w:r>
    </w:p>
    <w:p w14:paraId="52305BC6" w14:textId="4BD3D701" w:rsidR="00AE0EF2" w:rsidRPr="003E7EE5" w:rsidRDefault="00A81420" w:rsidP="00650F87">
      <w:pPr>
        <w:pStyle w:val="ListParagraph"/>
        <w:spacing w:after="0" w:line="480" w:lineRule="auto"/>
        <w:ind w:left="0"/>
        <w:rPr>
          <w:rFonts w:ascii="Times New Roman" w:hAnsi="Times New Roman" w:cs="Times New Roman"/>
          <w:color w:val="000000" w:themeColor="text1"/>
          <w:sz w:val="24"/>
          <w:szCs w:val="26"/>
          <w:lang w:val="en-US"/>
        </w:rPr>
      </w:pPr>
      <w:r w:rsidRPr="003E7EE5">
        <w:rPr>
          <w:rFonts w:ascii="Times New Roman" w:hAnsi="Times New Roman" w:cs="Times New Roman"/>
          <w:b/>
          <w:bCs/>
          <w:color w:val="000000" w:themeColor="text1"/>
          <w:sz w:val="24"/>
          <w:szCs w:val="26"/>
          <w:lang w:val="en-US"/>
        </w:rPr>
        <w:t>Design/</w:t>
      </w:r>
      <w:r w:rsidR="0094205F" w:rsidRPr="003E7EE5">
        <w:rPr>
          <w:rFonts w:ascii="Times New Roman" w:hAnsi="Times New Roman" w:cs="Times New Roman"/>
          <w:b/>
          <w:bCs/>
          <w:color w:val="000000" w:themeColor="text1"/>
          <w:sz w:val="24"/>
          <w:szCs w:val="26"/>
          <w:lang w:val="en-US"/>
        </w:rPr>
        <w:t>m</w:t>
      </w:r>
      <w:r w:rsidRPr="003E7EE5">
        <w:rPr>
          <w:rFonts w:ascii="Times New Roman" w:hAnsi="Times New Roman" w:cs="Times New Roman"/>
          <w:b/>
          <w:bCs/>
          <w:color w:val="000000" w:themeColor="text1"/>
          <w:sz w:val="24"/>
          <w:szCs w:val="26"/>
          <w:lang w:val="en-US"/>
        </w:rPr>
        <w:t>ethodology/</w:t>
      </w:r>
      <w:r w:rsidR="0094205F" w:rsidRPr="003E7EE5">
        <w:rPr>
          <w:rFonts w:ascii="Times New Roman" w:hAnsi="Times New Roman" w:cs="Times New Roman"/>
          <w:b/>
          <w:bCs/>
          <w:color w:val="000000" w:themeColor="text1"/>
          <w:sz w:val="24"/>
          <w:szCs w:val="26"/>
          <w:lang w:val="en-US"/>
        </w:rPr>
        <w:t>a</w:t>
      </w:r>
      <w:r w:rsidRPr="003E7EE5">
        <w:rPr>
          <w:rFonts w:ascii="Times New Roman" w:hAnsi="Times New Roman" w:cs="Times New Roman"/>
          <w:b/>
          <w:bCs/>
          <w:color w:val="000000" w:themeColor="text1"/>
          <w:sz w:val="24"/>
          <w:szCs w:val="26"/>
          <w:lang w:val="en-US"/>
        </w:rPr>
        <w:t>pproach</w:t>
      </w:r>
      <w:r w:rsidR="0094205F" w:rsidRPr="003E7EE5">
        <w:rPr>
          <w:rFonts w:ascii="Times New Roman" w:hAnsi="Times New Roman" w:cs="Times New Roman"/>
          <w:color w:val="000000" w:themeColor="text1"/>
          <w:sz w:val="24"/>
          <w:szCs w:val="26"/>
          <w:lang w:val="en-US"/>
        </w:rPr>
        <w:t xml:space="preserve"> – The study collected s</w:t>
      </w:r>
      <w:r w:rsidR="00E53F0C" w:rsidRPr="003E7EE5">
        <w:rPr>
          <w:rFonts w:ascii="Times New Roman" w:hAnsi="Times New Roman" w:cs="Times New Roman"/>
          <w:color w:val="000000" w:themeColor="text1"/>
          <w:sz w:val="24"/>
          <w:szCs w:val="26"/>
          <w:lang w:val="en-US"/>
        </w:rPr>
        <w:t>urvey data from</w:t>
      </w:r>
      <w:r w:rsidR="00B55137" w:rsidRPr="003E7EE5">
        <w:rPr>
          <w:rFonts w:ascii="Times New Roman" w:hAnsi="Times New Roman" w:cs="Times New Roman"/>
          <w:color w:val="000000" w:themeColor="text1"/>
          <w:sz w:val="24"/>
          <w:szCs w:val="26"/>
          <w:lang w:val="en-US"/>
        </w:rPr>
        <w:t xml:space="preserve"> </w:t>
      </w:r>
      <w:r w:rsidR="00E53F0C" w:rsidRPr="003E7EE5">
        <w:rPr>
          <w:rFonts w:ascii="Times New Roman" w:hAnsi="Times New Roman" w:cs="Times New Roman"/>
          <w:color w:val="000000" w:themeColor="text1"/>
          <w:sz w:val="24"/>
          <w:szCs w:val="26"/>
          <w:lang w:val="en-US"/>
        </w:rPr>
        <w:t>245</w:t>
      </w:r>
      <w:r w:rsidR="00414680" w:rsidRPr="003E7EE5">
        <w:rPr>
          <w:rFonts w:ascii="Times New Roman" w:hAnsi="Times New Roman" w:cs="Times New Roman"/>
          <w:color w:val="000000" w:themeColor="text1"/>
          <w:sz w:val="24"/>
          <w:szCs w:val="26"/>
          <w:lang w:val="en-US"/>
        </w:rPr>
        <w:t xml:space="preserve"> </w:t>
      </w:r>
      <w:r w:rsidR="00886A9B" w:rsidRPr="003E7EE5">
        <w:rPr>
          <w:rFonts w:ascii="Times New Roman" w:hAnsi="Times New Roman" w:cs="Times New Roman"/>
          <w:color w:val="000000" w:themeColor="text1"/>
          <w:sz w:val="24"/>
          <w:szCs w:val="26"/>
          <w:lang w:val="en-US"/>
        </w:rPr>
        <w:t xml:space="preserve">Greek </w:t>
      </w:r>
      <w:r w:rsidRPr="003E7EE5">
        <w:rPr>
          <w:rFonts w:ascii="Times New Roman" w:hAnsi="Times New Roman" w:cs="Times New Roman"/>
          <w:color w:val="000000" w:themeColor="text1"/>
          <w:sz w:val="24"/>
          <w:szCs w:val="26"/>
          <w:lang w:val="en-US"/>
        </w:rPr>
        <w:t>firms</w:t>
      </w:r>
      <w:r w:rsidR="00886A9B" w:rsidRPr="003E7EE5">
        <w:rPr>
          <w:rFonts w:ascii="Times New Roman" w:hAnsi="Times New Roman" w:cs="Times New Roman"/>
          <w:color w:val="000000" w:themeColor="text1"/>
          <w:sz w:val="24"/>
          <w:szCs w:val="26"/>
          <w:lang w:val="en-US"/>
        </w:rPr>
        <w:t xml:space="preserve"> during the 2015 Eurozone crisis to investigate the impact of </w:t>
      </w:r>
      <w:r w:rsidR="006D0D47" w:rsidRPr="003E7EE5">
        <w:rPr>
          <w:rFonts w:ascii="Times New Roman" w:hAnsi="Times New Roman" w:cs="Times New Roman"/>
          <w:color w:val="000000" w:themeColor="text1"/>
          <w:sz w:val="24"/>
          <w:szCs w:val="26"/>
          <w:lang w:val="en-US"/>
        </w:rPr>
        <w:t>GMS</w:t>
      </w:r>
      <w:r w:rsidR="00886A9B" w:rsidRPr="003E7EE5">
        <w:rPr>
          <w:rFonts w:ascii="Times New Roman" w:hAnsi="Times New Roman" w:cs="Times New Roman"/>
          <w:color w:val="000000" w:themeColor="text1"/>
          <w:sz w:val="24"/>
          <w:szCs w:val="26"/>
          <w:lang w:val="en-US"/>
        </w:rPr>
        <w:t xml:space="preserve"> and </w:t>
      </w:r>
      <w:r w:rsidR="00C01DD0" w:rsidRPr="003E7EE5">
        <w:rPr>
          <w:rFonts w:ascii="Times New Roman" w:hAnsi="Times New Roman" w:cs="Times New Roman"/>
          <w:color w:val="000000" w:themeColor="text1"/>
          <w:sz w:val="24"/>
          <w:szCs w:val="26"/>
          <w:lang w:val="en-US"/>
        </w:rPr>
        <w:t>green marketing investments</w:t>
      </w:r>
      <w:r w:rsidR="00886A9B" w:rsidRPr="003E7EE5">
        <w:rPr>
          <w:rFonts w:ascii="Times New Roman" w:hAnsi="Times New Roman" w:cs="Times New Roman"/>
          <w:color w:val="000000" w:themeColor="text1"/>
          <w:sz w:val="24"/>
          <w:szCs w:val="26"/>
          <w:lang w:val="en-US"/>
        </w:rPr>
        <w:t xml:space="preserve"> on firm resilience during crisis</w:t>
      </w:r>
      <w:r w:rsidRPr="003E7EE5">
        <w:rPr>
          <w:rFonts w:ascii="Times New Roman" w:hAnsi="Times New Roman" w:cs="Times New Roman"/>
          <w:color w:val="000000" w:themeColor="text1"/>
          <w:sz w:val="24"/>
          <w:szCs w:val="26"/>
          <w:lang w:val="en-US"/>
        </w:rPr>
        <w:t xml:space="preserve">. </w:t>
      </w:r>
      <w:r w:rsidR="000634DC" w:rsidRPr="003E7EE5">
        <w:rPr>
          <w:rFonts w:ascii="Times New Roman" w:hAnsi="Times New Roman" w:cs="Times New Roman"/>
          <w:color w:val="000000" w:themeColor="text1"/>
          <w:sz w:val="24"/>
          <w:szCs w:val="26"/>
          <w:lang w:val="en-US"/>
        </w:rPr>
        <w:t>Time</w:t>
      </w:r>
      <w:r w:rsidR="00886A9B" w:rsidRPr="003E7EE5">
        <w:rPr>
          <w:rFonts w:ascii="Times New Roman" w:hAnsi="Times New Roman" w:cs="Times New Roman"/>
          <w:color w:val="000000" w:themeColor="text1"/>
          <w:sz w:val="24"/>
          <w:szCs w:val="26"/>
          <w:lang w:val="en-US"/>
        </w:rPr>
        <w:t>-</w:t>
      </w:r>
      <w:r w:rsidRPr="003E7EE5">
        <w:rPr>
          <w:rFonts w:ascii="Times New Roman" w:hAnsi="Times New Roman" w:cs="Times New Roman"/>
          <w:color w:val="000000" w:themeColor="text1"/>
          <w:sz w:val="24"/>
          <w:szCs w:val="26"/>
          <w:lang w:val="en-US"/>
        </w:rPr>
        <w:t>lagged, objective performance data for a subset of these firms</w:t>
      </w:r>
      <w:r w:rsidR="00886A9B" w:rsidRPr="003E7EE5">
        <w:rPr>
          <w:rFonts w:ascii="Times New Roman" w:hAnsi="Times New Roman" w:cs="Times New Roman"/>
          <w:color w:val="000000" w:themeColor="text1"/>
          <w:sz w:val="24"/>
          <w:szCs w:val="26"/>
          <w:lang w:val="en-US"/>
        </w:rPr>
        <w:t xml:space="preserve"> </w:t>
      </w:r>
      <w:r w:rsidR="0094205F" w:rsidRPr="003E7EE5">
        <w:rPr>
          <w:rFonts w:ascii="Times New Roman" w:hAnsi="Times New Roman" w:cs="Times New Roman"/>
          <w:color w:val="000000" w:themeColor="text1"/>
          <w:sz w:val="24"/>
          <w:szCs w:val="26"/>
          <w:lang w:val="en-US"/>
        </w:rPr>
        <w:t xml:space="preserve">helped </w:t>
      </w:r>
      <w:r w:rsidRPr="003E7EE5">
        <w:rPr>
          <w:rFonts w:ascii="Times New Roman" w:hAnsi="Times New Roman" w:cs="Times New Roman"/>
          <w:color w:val="000000" w:themeColor="text1"/>
          <w:sz w:val="24"/>
          <w:szCs w:val="26"/>
          <w:lang w:val="en-US"/>
        </w:rPr>
        <w:t xml:space="preserve">examine the impact </w:t>
      </w:r>
      <w:r w:rsidR="000634DC" w:rsidRPr="003E7EE5">
        <w:rPr>
          <w:rFonts w:ascii="Times New Roman" w:hAnsi="Times New Roman" w:cs="Times New Roman"/>
          <w:color w:val="000000" w:themeColor="text1"/>
          <w:sz w:val="24"/>
          <w:szCs w:val="26"/>
          <w:lang w:val="en-US"/>
        </w:rPr>
        <w:t xml:space="preserve">of </w:t>
      </w:r>
      <w:r w:rsidR="006D0D47" w:rsidRPr="003E7EE5">
        <w:rPr>
          <w:rFonts w:ascii="Times New Roman" w:hAnsi="Times New Roman" w:cs="Times New Roman"/>
          <w:color w:val="000000" w:themeColor="text1"/>
          <w:sz w:val="24"/>
          <w:szCs w:val="26"/>
          <w:lang w:val="en-US"/>
        </w:rPr>
        <w:t>GMS</w:t>
      </w:r>
      <w:r w:rsidR="00403C2E" w:rsidRPr="003E7EE5">
        <w:rPr>
          <w:rFonts w:ascii="Times New Roman" w:hAnsi="Times New Roman" w:cs="Times New Roman"/>
          <w:color w:val="000000" w:themeColor="text1"/>
          <w:sz w:val="24"/>
          <w:szCs w:val="26"/>
          <w:lang w:val="en-US"/>
        </w:rPr>
        <w:t xml:space="preserve"> on </w:t>
      </w:r>
      <w:r w:rsidR="00886A9B" w:rsidRPr="003E7EE5">
        <w:rPr>
          <w:rFonts w:ascii="Times New Roman" w:hAnsi="Times New Roman" w:cs="Times New Roman"/>
          <w:color w:val="000000" w:themeColor="text1"/>
          <w:sz w:val="24"/>
          <w:szCs w:val="26"/>
          <w:lang w:val="en-US"/>
        </w:rPr>
        <w:t xml:space="preserve">post-crisis </w:t>
      </w:r>
      <w:r w:rsidR="00403C2E" w:rsidRPr="003E7EE5">
        <w:rPr>
          <w:rFonts w:ascii="Times New Roman" w:hAnsi="Times New Roman" w:cs="Times New Roman"/>
          <w:color w:val="000000" w:themeColor="text1"/>
          <w:sz w:val="24"/>
          <w:szCs w:val="26"/>
          <w:lang w:val="en-US"/>
        </w:rPr>
        <w:t>financial performance</w:t>
      </w:r>
      <w:r w:rsidR="004271FE" w:rsidRPr="003E7EE5">
        <w:rPr>
          <w:rFonts w:ascii="Times New Roman" w:hAnsi="Times New Roman" w:cs="Times New Roman"/>
          <w:color w:val="000000" w:themeColor="text1"/>
          <w:sz w:val="24"/>
          <w:szCs w:val="26"/>
          <w:lang w:val="en-US"/>
        </w:rPr>
        <w:t>.</w:t>
      </w:r>
      <w:r w:rsidR="00886A9B" w:rsidRPr="003E7EE5">
        <w:rPr>
          <w:rFonts w:ascii="Times New Roman" w:hAnsi="Times New Roman" w:cs="Times New Roman"/>
          <w:color w:val="000000" w:themeColor="text1"/>
          <w:sz w:val="24"/>
          <w:szCs w:val="26"/>
          <w:lang w:val="en-US"/>
        </w:rPr>
        <w:t xml:space="preserve"> </w:t>
      </w:r>
    </w:p>
    <w:p w14:paraId="0015F9A7" w14:textId="23276EB4" w:rsidR="00AF1519" w:rsidRPr="003E7EE5" w:rsidRDefault="00403C2E" w:rsidP="00650F87">
      <w:pPr>
        <w:pStyle w:val="ListParagraph"/>
        <w:spacing w:after="0" w:line="480" w:lineRule="auto"/>
        <w:ind w:left="0"/>
        <w:rPr>
          <w:rFonts w:ascii="Times New Roman" w:hAnsi="Times New Roman" w:cs="Times New Roman"/>
          <w:color w:val="000000" w:themeColor="text1"/>
          <w:sz w:val="24"/>
          <w:szCs w:val="26"/>
          <w:lang w:val="en-US"/>
        </w:rPr>
      </w:pPr>
      <w:r w:rsidRPr="003E7EE5">
        <w:rPr>
          <w:rFonts w:ascii="Times New Roman" w:hAnsi="Times New Roman" w:cs="Times New Roman"/>
          <w:b/>
          <w:bCs/>
          <w:color w:val="000000" w:themeColor="text1"/>
          <w:sz w:val="24"/>
          <w:szCs w:val="26"/>
          <w:lang w:val="en-US"/>
        </w:rPr>
        <w:t>Findings</w:t>
      </w:r>
      <w:r w:rsidR="0094205F" w:rsidRPr="003E7EE5">
        <w:rPr>
          <w:rFonts w:ascii="Times New Roman" w:hAnsi="Times New Roman" w:cs="Times New Roman"/>
          <w:color w:val="000000" w:themeColor="text1"/>
          <w:sz w:val="24"/>
          <w:szCs w:val="26"/>
          <w:lang w:val="en-US"/>
        </w:rPr>
        <w:t xml:space="preserve"> – </w:t>
      </w:r>
      <w:r w:rsidR="000634DC" w:rsidRPr="003E7EE5">
        <w:rPr>
          <w:rFonts w:ascii="Times New Roman" w:hAnsi="Times New Roman" w:cs="Times New Roman"/>
          <w:color w:val="000000" w:themeColor="text1"/>
          <w:sz w:val="24"/>
          <w:szCs w:val="26"/>
          <w:lang w:val="en-US"/>
        </w:rPr>
        <w:t>Pursuing</w:t>
      </w:r>
      <w:r w:rsidR="0051179E" w:rsidRPr="003E7EE5">
        <w:rPr>
          <w:rFonts w:ascii="Times New Roman" w:hAnsi="Times New Roman" w:cs="Times New Roman"/>
          <w:color w:val="000000" w:themeColor="text1"/>
          <w:sz w:val="24"/>
          <w:szCs w:val="26"/>
          <w:lang w:val="en-US"/>
        </w:rPr>
        <w:t xml:space="preserve"> </w:t>
      </w:r>
      <w:r w:rsidR="004D626C" w:rsidRPr="003E7EE5">
        <w:rPr>
          <w:rFonts w:ascii="Times New Roman" w:hAnsi="Times New Roman" w:cs="Times New Roman"/>
          <w:color w:val="000000" w:themeColor="text1"/>
          <w:sz w:val="24"/>
          <w:szCs w:val="26"/>
          <w:lang w:val="en-US"/>
        </w:rPr>
        <w:t xml:space="preserve">a </w:t>
      </w:r>
      <w:r w:rsidR="006D0D47" w:rsidRPr="003E7EE5">
        <w:rPr>
          <w:rFonts w:ascii="Times New Roman" w:hAnsi="Times New Roman" w:cs="Times New Roman"/>
          <w:color w:val="000000" w:themeColor="text1"/>
          <w:sz w:val="24"/>
          <w:szCs w:val="26"/>
          <w:lang w:val="en-US"/>
        </w:rPr>
        <w:t>GMS</w:t>
      </w:r>
      <w:r w:rsidR="004D626C" w:rsidRPr="003E7EE5">
        <w:rPr>
          <w:rFonts w:ascii="Times New Roman" w:hAnsi="Times New Roman" w:cs="Times New Roman"/>
          <w:color w:val="000000" w:themeColor="text1"/>
          <w:sz w:val="24"/>
          <w:szCs w:val="26"/>
          <w:lang w:val="en-US"/>
        </w:rPr>
        <w:t xml:space="preserve"> </w:t>
      </w:r>
      <w:r w:rsidR="0051179E" w:rsidRPr="003E7EE5">
        <w:rPr>
          <w:rFonts w:ascii="Times New Roman" w:hAnsi="Times New Roman" w:cs="Times New Roman"/>
          <w:color w:val="000000" w:themeColor="text1"/>
          <w:sz w:val="24"/>
          <w:szCs w:val="26"/>
          <w:lang w:val="en-US"/>
        </w:rPr>
        <w:t>builds</w:t>
      </w:r>
      <w:r w:rsidR="009479B9" w:rsidRPr="003E7EE5">
        <w:rPr>
          <w:rFonts w:ascii="Times New Roman" w:hAnsi="Times New Roman" w:cs="Times New Roman"/>
          <w:color w:val="000000" w:themeColor="text1"/>
          <w:sz w:val="24"/>
          <w:szCs w:val="26"/>
          <w:lang w:val="en-US"/>
        </w:rPr>
        <w:t xml:space="preserve"> </w:t>
      </w:r>
      <w:r w:rsidR="008E2F2E" w:rsidRPr="003E7EE5">
        <w:rPr>
          <w:rFonts w:ascii="Times New Roman" w:hAnsi="Times New Roman" w:cs="Times New Roman"/>
          <w:color w:val="000000" w:themeColor="text1"/>
          <w:sz w:val="24"/>
          <w:szCs w:val="26"/>
          <w:lang w:val="en-US"/>
        </w:rPr>
        <w:t>resilience</w:t>
      </w:r>
      <w:r w:rsidR="0051179E" w:rsidRPr="003E7EE5">
        <w:rPr>
          <w:rFonts w:ascii="Times New Roman" w:hAnsi="Times New Roman" w:cs="Times New Roman"/>
          <w:color w:val="000000" w:themeColor="text1"/>
          <w:sz w:val="24"/>
          <w:szCs w:val="26"/>
          <w:lang w:val="en-US"/>
        </w:rPr>
        <w:t>, especially for c</w:t>
      </w:r>
      <w:r w:rsidR="004D626C" w:rsidRPr="003E7EE5">
        <w:rPr>
          <w:rFonts w:ascii="Times New Roman" w:hAnsi="Times New Roman" w:cs="Times New Roman"/>
          <w:color w:val="000000" w:themeColor="text1"/>
          <w:sz w:val="24"/>
          <w:szCs w:val="26"/>
          <w:lang w:val="en-US"/>
        </w:rPr>
        <w:t xml:space="preserve">ompanies that </w:t>
      </w:r>
      <w:r w:rsidR="0033572E" w:rsidRPr="003E7EE5">
        <w:rPr>
          <w:rFonts w:ascii="Times New Roman" w:hAnsi="Times New Roman" w:cs="Times New Roman"/>
          <w:color w:val="000000" w:themeColor="text1"/>
          <w:sz w:val="24"/>
          <w:szCs w:val="26"/>
          <w:lang w:val="en-US"/>
        </w:rPr>
        <w:t>decided</w:t>
      </w:r>
      <w:r w:rsidR="0051179E" w:rsidRPr="003E7EE5">
        <w:rPr>
          <w:rFonts w:ascii="Times New Roman" w:hAnsi="Times New Roman" w:cs="Times New Roman"/>
          <w:color w:val="000000" w:themeColor="text1"/>
          <w:sz w:val="24"/>
          <w:szCs w:val="26"/>
          <w:lang w:val="en-US"/>
        </w:rPr>
        <w:t xml:space="preserve"> </w:t>
      </w:r>
      <w:r w:rsidR="004D626C" w:rsidRPr="003E7EE5">
        <w:rPr>
          <w:rFonts w:ascii="Times New Roman" w:hAnsi="Times New Roman" w:cs="Times New Roman"/>
          <w:i/>
          <w:iCs/>
          <w:color w:val="000000" w:themeColor="text1"/>
          <w:sz w:val="24"/>
          <w:szCs w:val="26"/>
          <w:lang w:val="en-US"/>
        </w:rPr>
        <w:t>not</w:t>
      </w:r>
      <w:r w:rsidR="004D626C" w:rsidRPr="003E7EE5">
        <w:rPr>
          <w:rFonts w:ascii="Times New Roman" w:hAnsi="Times New Roman" w:cs="Times New Roman"/>
          <w:color w:val="000000" w:themeColor="text1"/>
          <w:sz w:val="24"/>
          <w:szCs w:val="26"/>
          <w:lang w:val="en-US"/>
        </w:rPr>
        <w:t xml:space="preserve"> </w:t>
      </w:r>
      <w:r w:rsidR="0051179E" w:rsidRPr="003E7EE5">
        <w:rPr>
          <w:rFonts w:ascii="Times New Roman" w:hAnsi="Times New Roman" w:cs="Times New Roman"/>
          <w:color w:val="000000" w:themeColor="text1"/>
          <w:sz w:val="24"/>
          <w:szCs w:val="26"/>
          <w:lang w:val="en-US"/>
        </w:rPr>
        <w:t xml:space="preserve">to </w:t>
      </w:r>
      <w:r w:rsidR="004D626C" w:rsidRPr="003E7EE5">
        <w:rPr>
          <w:rFonts w:ascii="Times New Roman" w:hAnsi="Times New Roman" w:cs="Times New Roman"/>
          <w:color w:val="000000" w:themeColor="text1"/>
          <w:sz w:val="24"/>
          <w:szCs w:val="26"/>
          <w:lang w:val="en-US"/>
        </w:rPr>
        <w:t xml:space="preserve">reduce </w:t>
      </w:r>
      <w:r w:rsidR="009479B9" w:rsidRPr="003E7EE5">
        <w:rPr>
          <w:rFonts w:ascii="Times New Roman" w:hAnsi="Times New Roman" w:cs="Times New Roman"/>
          <w:color w:val="000000" w:themeColor="text1"/>
          <w:sz w:val="24"/>
          <w:szCs w:val="26"/>
          <w:lang w:val="en-US"/>
        </w:rPr>
        <w:t xml:space="preserve">resources </w:t>
      </w:r>
      <w:r w:rsidR="00E53F0C" w:rsidRPr="003E7EE5">
        <w:rPr>
          <w:rFonts w:ascii="Times New Roman" w:hAnsi="Times New Roman" w:cs="Times New Roman"/>
          <w:color w:val="000000" w:themeColor="text1"/>
          <w:sz w:val="24"/>
          <w:szCs w:val="26"/>
          <w:lang w:val="en-US"/>
        </w:rPr>
        <w:t xml:space="preserve">allocated to green marketing activities </w:t>
      </w:r>
      <w:r w:rsidR="004D626C" w:rsidRPr="003E7EE5">
        <w:rPr>
          <w:rFonts w:ascii="Times New Roman" w:hAnsi="Times New Roman" w:cs="Times New Roman"/>
          <w:color w:val="000000" w:themeColor="text1"/>
          <w:sz w:val="24"/>
          <w:szCs w:val="26"/>
          <w:lang w:val="en-US"/>
        </w:rPr>
        <w:t xml:space="preserve">during </w:t>
      </w:r>
      <w:r w:rsidR="00C405C8">
        <w:rPr>
          <w:rFonts w:ascii="Times New Roman" w:hAnsi="Times New Roman" w:cs="Times New Roman"/>
          <w:color w:val="000000" w:themeColor="text1"/>
          <w:sz w:val="24"/>
          <w:szCs w:val="26"/>
          <w:lang w:val="en-US"/>
        </w:rPr>
        <w:t>a</w:t>
      </w:r>
      <w:r w:rsidR="0094205F" w:rsidRPr="003E7EE5">
        <w:rPr>
          <w:rFonts w:ascii="Times New Roman" w:hAnsi="Times New Roman" w:cs="Times New Roman"/>
          <w:color w:val="000000" w:themeColor="text1"/>
          <w:sz w:val="24"/>
          <w:szCs w:val="26"/>
          <w:lang w:val="en-US"/>
        </w:rPr>
        <w:t xml:space="preserve"> </w:t>
      </w:r>
      <w:r w:rsidR="004D626C" w:rsidRPr="003E7EE5">
        <w:rPr>
          <w:rFonts w:ascii="Times New Roman" w:hAnsi="Times New Roman" w:cs="Times New Roman"/>
          <w:color w:val="000000" w:themeColor="text1"/>
          <w:sz w:val="24"/>
          <w:szCs w:val="26"/>
          <w:lang w:val="en-US"/>
        </w:rPr>
        <w:t>recession</w:t>
      </w:r>
      <w:r w:rsidR="00676093" w:rsidRPr="003E7EE5">
        <w:rPr>
          <w:rFonts w:ascii="Times New Roman" w:hAnsi="Times New Roman" w:cs="Times New Roman"/>
          <w:color w:val="000000" w:themeColor="text1"/>
          <w:sz w:val="24"/>
          <w:szCs w:val="26"/>
          <w:lang w:val="en-US"/>
        </w:rPr>
        <w:t xml:space="preserve">. </w:t>
      </w:r>
      <w:r w:rsidR="0094205F" w:rsidRPr="003E7EE5">
        <w:rPr>
          <w:rFonts w:ascii="Times New Roman" w:hAnsi="Times New Roman" w:cs="Times New Roman"/>
          <w:color w:val="000000" w:themeColor="text1"/>
          <w:sz w:val="24"/>
          <w:szCs w:val="26"/>
          <w:lang w:val="en-US"/>
        </w:rPr>
        <w:t>B</w:t>
      </w:r>
      <w:r w:rsidR="0051179E" w:rsidRPr="003E7EE5">
        <w:rPr>
          <w:rFonts w:ascii="Times New Roman" w:hAnsi="Times New Roman" w:cs="Times New Roman"/>
          <w:color w:val="000000" w:themeColor="text1"/>
          <w:sz w:val="24"/>
          <w:szCs w:val="26"/>
          <w:lang w:val="en-US"/>
        </w:rPr>
        <w:t>eyond resilience,</w:t>
      </w:r>
      <w:r w:rsidR="00977143" w:rsidRPr="003E7EE5">
        <w:rPr>
          <w:rFonts w:ascii="Times New Roman" w:hAnsi="Times New Roman" w:cs="Times New Roman"/>
          <w:color w:val="000000" w:themeColor="text1"/>
          <w:sz w:val="24"/>
          <w:szCs w:val="26"/>
          <w:lang w:val="en-US"/>
        </w:rPr>
        <w:t xml:space="preserve"> </w:t>
      </w:r>
      <w:r w:rsidR="0051179E" w:rsidRPr="003E7EE5">
        <w:rPr>
          <w:rFonts w:ascii="Times New Roman" w:hAnsi="Times New Roman" w:cs="Times New Roman"/>
          <w:color w:val="000000" w:themeColor="text1"/>
          <w:sz w:val="24"/>
          <w:szCs w:val="26"/>
          <w:lang w:val="en-US"/>
        </w:rPr>
        <w:t xml:space="preserve">firms </w:t>
      </w:r>
      <w:r w:rsidR="00977143" w:rsidRPr="003E7EE5">
        <w:rPr>
          <w:rFonts w:ascii="Times New Roman" w:hAnsi="Times New Roman" w:cs="Times New Roman"/>
          <w:color w:val="000000" w:themeColor="text1"/>
          <w:sz w:val="24"/>
          <w:szCs w:val="26"/>
          <w:lang w:val="en-US"/>
        </w:rPr>
        <w:t xml:space="preserve">investing in </w:t>
      </w:r>
      <w:r w:rsidR="006D0D47" w:rsidRPr="003E7EE5">
        <w:rPr>
          <w:rFonts w:ascii="Times New Roman" w:hAnsi="Times New Roman" w:cs="Times New Roman"/>
          <w:color w:val="000000" w:themeColor="text1"/>
          <w:sz w:val="24"/>
          <w:szCs w:val="26"/>
          <w:lang w:val="en-US"/>
        </w:rPr>
        <w:t>GMS</w:t>
      </w:r>
      <w:r w:rsidR="00977143" w:rsidRPr="003E7EE5">
        <w:rPr>
          <w:rFonts w:ascii="Times New Roman" w:hAnsi="Times New Roman" w:cs="Times New Roman"/>
          <w:color w:val="000000" w:themeColor="text1"/>
          <w:sz w:val="24"/>
          <w:szCs w:val="26"/>
          <w:lang w:val="en-US"/>
        </w:rPr>
        <w:t xml:space="preserve"> during</w:t>
      </w:r>
      <w:r w:rsidR="00C405C8">
        <w:rPr>
          <w:rFonts w:ascii="Times New Roman" w:hAnsi="Times New Roman" w:cs="Times New Roman"/>
          <w:color w:val="000000" w:themeColor="text1"/>
          <w:sz w:val="24"/>
          <w:szCs w:val="26"/>
          <w:lang w:val="en-US"/>
        </w:rPr>
        <w:t xml:space="preserve"> the</w:t>
      </w:r>
      <w:r w:rsidR="00977143" w:rsidRPr="003E7EE5">
        <w:rPr>
          <w:rFonts w:ascii="Times New Roman" w:hAnsi="Times New Roman" w:cs="Times New Roman"/>
          <w:color w:val="000000" w:themeColor="text1"/>
          <w:sz w:val="24"/>
          <w:szCs w:val="26"/>
          <w:lang w:val="en-US"/>
        </w:rPr>
        <w:t xml:space="preserve"> crisis </w:t>
      </w:r>
      <w:r w:rsidR="0094205F" w:rsidRPr="003E7EE5">
        <w:rPr>
          <w:rFonts w:ascii="Times New Roman" w:hAnsi="Times New Roman" w:cs="Times New Roman"/>
          <w:color w:val="000000" w:themeColor="text1"/>
          <w:sz w:val="24"/>
          <w:szCs w:val="26"/>
          <w:lang w:val="en-US"/>
        </w:rPr>
        <w:t>experienced</w:t>
      </w:r>
      <w:r w:rsidR="0051179E" w:rsidRPr="003E7EE5">
        <w:rPr>
          <w:rFonts w:ascii="Times New Roman" w:hAnsi="Times New Roman" w:cs="Times New Roman"/>
          <w:color w:val="000000" w:themeColor="text1"/>
          <w:sz w:val="24"/>
          <w:szCs w:val="26"/>
          <w:lang w:val="en-US"/>
        </w:rPr>
        <w:t xml:space="preserve"> improved </w:t>
      </w:r>
      <w:r w:rsidR="00977143" w:rsidRPr="003E7EE5">
        <w:rPr>
          <w:rFonts w:ascii="Times New Roman" w:hAnsi="Times New Roman" w:cs="Times New Roman"/>
          <w:color w:val="000000" w:themeColor="text1"/>
          <w:sz w:val="24"/>
          <w:szCs w:val="26"/>
          <w:lang w:val="en-US"/>
        </w:rPr>
        <w:t xml:space="preserve">financial </w:t>
      </w:r>
      <w:r w:rsidR="0051179E" w:rsidRPr="003E7EE5">
        <w:rPr>
          <w:rFonts w:ascii="Times New Roman" w:hAnsi="Times New Roman" w:cs="Times New Roman"/>
          <w:color w:val="000000" w:themeColor="text1"/>
          <w:sz w:val="24"/>
          <w:szCs w:val="26"/>
          <w:lang w:val="en-US"/>
        </w:rPr>
        <w:t xml:space="preserve">performance </w:t>
      </w:r>
      <w:r w:rsidR="00977143" w:rsidRPr="003E7EE5">
        <w:rPr>
          <w:rFonts w:ascii="Times New Roman" w:hAnsi="Times New Roman" w:cs="Times New Roman"/>
          <w:color w:val="000000" w:themeColor="text1"/>
          <w:sz w:val="24"/>
          <w:szCs w:val="26"/>
          <w:lang w:val="en-US"/>
        </w:rPr>
        <w:t>in the long</w:t>
      </w:r>
      <w:r w:rsidR="0094205F" w:rsidRPr="003E7EE5">
        <w:rPr>
          <w:rFonts w:ascii="Times New Roman" w:hAnsi="Times New Roman" w:cs="Times New Roman"/>
          <w:color w:val="000000" w:themeColor="text1"/>
          <w:sz w:val="24"/>
          <w:szCs w:val="26"/>
          <w:lang w:val="en-US"/>
        </w:rPr>
        <w:t xml:space="preserve"> </w:t>
      </w:r>
      <w:r w:rsidR="00977143" w:rsidRPr="003E7EE5">
        <w:rPr>
          <w:rFonts w:ascii="Times New Roman" w:hAnsi="Times New Roman" w:cs="Times New Roman"/>
          <w:color w:val="000000" w:themeColor="text1"/>
          <w:sz w:val="24"/>
          <w:szCs w:val="26"/>
          <w:lang w:val="en-US"/>
        </w:rPr>
        <w:t xml:space="preserve">run. </w:t>
      </w:r>
      <w:r w:rsidR="00886A9B" w:rsidRPr="003E7EE5">
        <w:rPr>
          <w:rFonts w:ascii="Times New Roman" w:hAnsi="Times New Roman" w:cs="Times New Roman"/>
          <w:color w:val="000000" w:themeColor="text1"/>
          <w:sz w:val="24"/>
          <w:szCs w:val="26"/>
          <w:lang w:val="en-US"/>
        </w:rPr>
        <w:t xml:space="preserve">Finally, </w:t>
      </w:r>
      <w:r w:rsidR="0094205F" w:rsidRPr="003E7EE5">
        <w:rPr>
          <w:rFonts w:ascii="Times New Roman" w:hAnsi="Times New Roman" w:cs="Times New Roman"/>
          <w:color w:val="000000" w:themeColor="text1"/>
          <w:sz w:val="24"/>
          <w:szCs w:val="26"/>
          <w:lang w:val="en-US"/>
        </w:rPr>
        <w:t xml:space="preserve">this research proposes </w:t>
      </w:r>
      <w:r w:rsidR="00B014D3" w:rsidRPr="003E7EE5">
        <w:rPr>
          <w:rFonts w:ascii="Times New Roman" w:hAnsi="Times New Roman" w:cs="Times New Roman"/>
          <w:color w:val="000000" w:themeColor="text1"/>
          <w:sz w:val="24"/>
          <w:szCs w:val="26"/>
          <w:lang w:val="en-US"/>
        </w:rPr>
        <w:t xml:space="preserve">a typology of </w:t>
      </w:r>
      <w:r w:rsidR="006D0D47" w:rsidRPr="003E7EE5">
        <w:rPr>
          <w:rFonts w:ascii="Times New Roman" w:hAnsi="Times New Roman" w:cs="Times New Roman"/>
          <w:color w:val="000000" w:themeColor="text1"/>
          <w:sz w:val="24"/>
          <w:szCs w:val="26"/>
          <w:lang w:val="en-US"/>
        </w:rPr>
        <w:t>GMS</w:t>
      </w:r>
      <w:r w:rsidR="002043CE" w:rsidRPr="003E7EE5">
        <w:rPr>
          <w:rFonts w:ascii="Times New Roman" w:hAnsi="Times New Roman" w:cs="Times New Roman"/>
          <w:color w:val="000000" w:themeColor="text1"/>
          <w:sz w:val="24"/>
          <w:szCs w:val="26"/>
          <w:lang w:val="en-US"/>
        </w:rPr>
        <w:t xml:space="preserve"> </w:t>
      </w:r>
      <w:r w:rsidR="00C01DD0" w:rsidRPr="003E7EE5">
        <w:rPr>
          <w:rFonts w:ascii="Times New Roman" w:hAnsi="Times New Roman" w:cs="Times New Roman"/>
          <w:color w:val="000000" w:themeColor="text1"/>
          <w:sz w:val="24"/>
          <w:szCs w:val="26"/>
          <w:lang w:val="en-US"/>
        </w:rPr>
        <w:t>responses</w:t>
      </w:r>
      <w:r w:rsidR="002043CE" w:rsidRPr="003E7EE5">
        <w:rPr>
          <w:rFonts w:ascii="Times New Roman" w:hAnsi="Times New Roman" w:cs="Times New Roman"/>
          <w:color w:val="000000" w:themeColor="text1"/>
          <w:sz w:val="24"/>
          <w:szCs w:val="26"/>
          <w:lang w:val="en-US"/>
        </w:rPr>
        <w:t xml:space="preserve"> during a crisis.</w:t>
      </w:r>
    </w:p>
    <w:p w14:paraId="76099EC1" w14:textId="461CDBAB" w:rsidR="006C30A8" w:rsidRPr="003E7EE5" w:rsidRDefault="006C30A8" w:rsidP="00650F87">
      <w:pPr>
        <w:pStyle w:val="ListParagraph"/>
        <w:spacing w:after="0" w:line="480" w:lineRule="auto"/>
        <w:ind w:left="0"/>
        <w:rPr>
          <w:rFonts w:ascii="Times New Roman" w:hAnsi="Times New Roman" w:cs="Times New Roman"/>
          <w:color w:val="000000" w:themeColor="text1"/>
          <w:sz w:val="24"/>
          <w:szCs w:val="26"/>
          <w:lang w:val="en-US"/>
        </w:rPr>
      </w:pPr>
      <w:r w:rsidRPr="003E7EE5">
        <w:rPr>
          <w:rFonts w:ascii="Times New Roman" w:hAnsi="Times New Roman" w:cs="Times New Roman"/>
          <w:b/>
          <w:bCs/>
          <w:color w:val="000000" w:themeColor="text1"/>
          <w:sz w:val="24"/>
          <w:szCs w:val="26"/>
          <w:lang w:val="en-US"/>
        </w:rPr>
        <w:t>Research limitations</w:t>
      </w:r>
      <w:r w:rsidR="00E73E03" w:rsidRPr="003E7EE5">
        <w:rPr>
          <w:rFonts w:ascii="Times New Roman" w:hAnsi="Times New Roman" w:cs="Times New Roman"/>
          <w:b/>
          <w:bCs/>
          <w:color w:val="000000" w:themeColor="text1"/>
          <w:sz w:val="24"/>
          <w:szCs w:val="26"/>
          <w:lang w:val="en-US"/>
        </w:rPr>
        <w:t>/implications</w:t>
      </w:r>
      <w:r w:rsidR="0094205F" w:rsidRPr="003E7EE5">
        <w:rPr>
          <w:rFonts w:ascii="Times New Roman" w:hAnsi="Times New Roman" w:cs="Times New Roman"/>
          <w:color w:val="000000" w:themeColor="text1"/>
          <w:sz w:val="24"/>
          <w:szCs w:val="26"/>
          <w:lang w:val="en-US"/>
        </w:rPr>
        <w:t xml:space="preserve"> – </w:t>
      </w:r>
      <w:r w:rsidRPr="003E7EE5">
        <w:rPr>
          <w:rFonts w:ascii="Times New Roman" w:hAnsi="Times New Roman" w:cs="Times New Roman"/>
          <w:color w:val="000000" w:themeColor="text1"/>
          <w:sz w:val="24"/>
          <w:szCs w:val="26"/>
          <w:lang w:val="en-US"/>
        </w:rPr>
        <w:t xml:space="preserve">This study </w:t>
      </w:r>
      <w:r w:rsidR="0094205F" w:rsidRPr="003E7EE5">
        <w:rPr>
          <w:rFonts w:ascii="Times New Roman" w:hAnsi="Times New Roman" w:cs="Times New Roman"/>
          <w:color w:val="000000" w:themeColor="text1"/>
          <w:sz w:val="24"/>
          <w:szCs w:val="26"/>
          <w:lang w:val="en-US"/>
        </w:rPr>
        <w:t>does</w:t>
      </w:r>
      <w:r w:rsidR="003230FA" w:rsidRPr="003E7EE5">
        <w:rPr>
          <w:rFonts w:ascii="Times New Roman" w:hAnsi="Times New Roman" w:cs="Times New Roman"/>
          <w:color w:val="000000" w:themeColor="text1"/>
          <w:sz w:val="24"/>
          <w:szCs w:val="26"/>
          <w:lang w:val="en-US"/>
        </w:rPr>
        <w:t xml:space="preserve"> not </w:t>
      </w:r>
      <w:r w:rsidRPr="003E7EE5">
        <w:rPr>
          <w:rFonts w:ascii="Times New Roman" w:hAnsi="Times New Roman" w:cs="Times New Roman"/>
          <w:color w:val="000000" w:themeColor="text1"/>
          <w:sz w:val="24"/>
          <w:szCs w:val="26"/>
          <w:lang w:val="en-US"/>
        </w:rPr>
        <w:t xml:space="preserve">specify which types of green marketing activities </w:t>
      </w:r>
      <w:r w:rsidR="00C405C8">
        <w:rPr>
          <w:rFonts w:ascii="Times New Roman" w:hAnsi="Times New Roman" w:cs="Times New Roman"/>
          <w:color w:val="000000" w:themeColor="text1"/>
          <w:sz w:val="24"/>
          <w:szCs w:val="26"/>
          <w:lang w:val="en-US"/>
        </w:rPr>
        <w:t>lead to</w:t>
      </w:r>
      <w:r w:rsidRPr="003E7EE5">
        <w:rPr>
          <w:rFonts w:ascii="Times New Roman" w:hAnsi="Times New Roman" w:cs="Times New Roman"/>
          <w:color w:val="000000" w:themeColor="text1"/>
          <w:sz w:val="24"/>
          <w:szCs w:val="26"/>
          <w:lang w:val="en-US"/>
        </w:rPr>
        <w:t xml:space="preserve"> more investment or divestment during a crisi</w:t>
      </w:r>
      <w:r w:rsidR="009B38FA" w:rsidRPr="003E7EE5">
        <w:rPr>
          <w:rFonts w:ascii="Times New Roman" w:hAnsi="Times New Roman" w:cs="Times New Roman"/>
          <w:color w:val="000000" w:themeColor="text1"/>
          <w:sz w:val="24"/>
          <w:szCs w:val="26"/>
          <w:lang w:val="en-US"/>
        </w:rPr>
        <w:t xml:space="preserve">s. </w:t>
      </w:r>
    </w:p>
    <w:p w14:paraId="1214E1A1" w14:textId="7D6969BA" w:rsidR="003230FA" w:rsidRPr="003E7EE5" w:rsidRDefault="00403C2E" w:rsidP="00650F87">
      <w:pPr>
        <w:pStyle w:val="ListParagraph"/>
        <w:spacing w:after="0" w:line="480" w:lineRule="auto"/>
        <w:ind w:left="0"/>
        <w:rPr>
          <w:rFonts w:ascii="Times New Roman" w:hAnsi="Times New Roman" w:cs="Times New Roman"/>
          <w:color w:val="000000" w:themeColor="text1"/>
          <w:sz w:val="24"/>
          <w:szCs w:val="26"/>
          <w:lang w:val="en-US"/>
        </w:rPr>
      </w:pPr>
      <w:r w:rsidRPr="003E7EE5">
        <w:rPr>
          <w:rFonts w:ascii="Times New Roman" w:hAnsi="Times New Roman" w:cs="Times New Roman"/>
          <w:b/>
          <w:bCs/>
          <w:color w:val="000000" w:themeColor="text1"/>
          <w:sz w:val="24"/>
          <w:szCs w:val="26"/>
          <w:lang w:val="en-US"/>
        </w:rPr>
        <w:t xml:space="preserve">Practical </w:t>
      </w:r>
      <w:r w:rsidR="0094205F" w:rsidRPr="003E7EE5">
        <w:rPr>
          <w:rFonts w:ascii="Times New Roman" w:hAnsi="Times New Roman" w:cs="Times New Roman"/>
          <w:b/>
          <w:bCs/>
          <w:color w:val="000000" w:themeColor="text1"/>
          <w:sz w:val="24"/>
          <w:szCs w:val="26"/>
          <w:lang w:val="en-US"/>
        </w:rPr>
        <w:t>i</w:t>
      </w:r>
      <w:r w:rsidRPr="003E7EE5">
        <w:rPr>
          <w:rFonts w:ascii="Times New Roman" w:hAnsi="Times New Roman" w:cs="Times New Roman"/>
          <w:b/>
          <w:bCs/>
          <w:color w:val="000000" w:themeColor="text1"/>
          <w:sz w:val="24"/>
          <w:szCs w:val="26"/>
          <w:lang w:val="en-US"/>
        </w:rPr>
        <w:t>mplications</w:t>
      </w:r>
      <w:r w:rsidR="0094205F" w:rsidRPr="003E7EE5">
        <w:rPr>
          <w:rFonts w:ascii="Times New Roman" w:hAnsi="Times New Roman" w:cs="Times New Roman"/>
          <w:color w:val="000000" w:themeColor="text1"/>
          <w:sz w:val="24"/>
          <w:szCs w:val="26"/>
          <w:lang w:val="en-US"/>
        </w:rPr>
        <w:t xml:space="preserve"> – </w:t>
      </w:r>
      <w:r w:rsidR="002E6E6C" w:rsidRPr="003E7EE5">
        <w:rPr>
          <w:rFonts w:ascii="Times New Roman" w:hAnsi="Times New Roman" w:cs="Times New Roman"/>
          <w:color w:val="000000" w:themeColor="text1"/>
          <w:sz w:val="24"/>
          <w:szCs w:val="26"/>
          <w:lang w:val="en-US"/>
        </w:rPr>
        <w:t xml:space="preserve">The study </w:t>
      </w:r>
      <w:r w:rsidR="009B38FA" w:rsidRPr="003E7EE5">
        <w:rPr>
          <w:rFonts w:ascii="Times New Roman" w:hAnsi="Times New Roman" w:cs="Times New Roman"/>
          <w:color w:val="000000" w:themeColor="text1"/>
          <w:sz w:val="24"/>
          <w:szCs w:val="26"/>
          <w:lang w:val="en-US"/>
        </w:rPr>
        <w:t>offer</w:t>
      </w:r>
      <w:r w:rsidR="002E6E6C" w:rsidRPr="003E7EE5">
        <w:rPr>
          <w:rFonts w:ascii="Times New Roman" w:hAnsi="Times New Roman" w:cs="Times New Roman"/>
          <w:color w:val="000000" w:themeColor="text1"/>
          <w:sz w:val="24"/>
          <w:szCs w:val="26"/>
          <w:lang w:val="en-US"/>
        </w:rPr>
        <w:t>s</w:t>
      </w:r>
      <w:r w:rsidR="009B38FA" w:rsidRPr="003E7EE5">
        <w:rPr>
          <w:rFonts w:ascii="Times New Roman" w:hAnsi="Times New Roman" w:cs="Times New Roman"/>
          <w:color w:val="000000" w:themeColor="text1"/>
          <w:sz w:val="24"/>
          <w:szCs w:val="26"/>
          <w:lang w:val="en-US"/>
        </w:rPr>
        <w:t xml:space="preserve"> insights for allocating resources to green marketing during recessions. </w:t>
      </w:r>
      <w:r w:rsidRPr="003E7EE5">
        <w:rPr>
          <w:rFonts w:ascii="Times New Roman" w:hAnsi="Times New Roman" w:cs="Times New Roman"/>
          <w:color w:val="000000" w:themeColor="text1"/>
          <w:sz w:val="24"/>
          <w:szCs w:val="26"/>
          <w:lang w:val="en-US"/>
        </w:rPr>
        <w:t>S</w:t>
      </w:r>
      <w:r w:rsidR="0033572E" w:rsidRPr="003E7EE5">
        <w:rPr>
          <w:rFonts w:ascii="Times New Roman" w:hAnsi="Times New Roman" w:cs="Times New Roman"/>
          <w:color w:val="000000" w:themeColor="text1"/>
          <w:sz w:val="24"/>
          <w:szCs w:val="26"/>
          <w:lang w:val="en-US"/>
        </w:rPr>
        <w:t xml:space="preserve">upporting </w:t>
      </w:r>
      <w:r w:rsidR="006D0D47" w:rsidRPr="003E7EE5">
        <w:rPr>
          <w:rFonts w:ascii="Times New Roman" w:hAnsi="Times New Roman" w:cs="Times New Roman"/>
          <w:color w:val="000000" w:themeColor="text1"/>
          <w:sz w:val="24"/>
          <w:szCs w:val="26"/>
          <w:lang w:val="en-US"/>
        </w:rPr>
        <w:t>GMSs</w:t>
      </w:r>
      <w:r w:rsidR="00A81420" w:rsidRPr="003E7EE5">
        <w:rPr>
          <w:rFonts w:ascii="Times New Roman" w:hAnsi="Times New Roman" w:cs="Times New Roman"/>
          <w:color w:val="000000" w:themeColor="text1"/>
          <w:sz w:val="24"/>
          <w:szCs w:val="26"/>
          <w:lang w:val="en-US"/>
        </w:rPr>
        <w:t xml:space="preserve"> </w:t>
      </w:r>
      <w:r w:rsidR="00501088" w:rsidRPr="003E7EE5">
        <w:rPr>
          <w:rFonts w:ascii="Times New Roman" w:hAnsi="Times New Roman" w:cs="Times New Roman"/>
          <w:color w:val="000000" w:themeColor="text1"/>
          <w:sz w:val="24"/>
          <w:szCs w:val="26"/>
          <w:lang w:val="en-US"/>
        </w:rPr>
        <w:t xml:space="preserve">during unpredictable times </w:t>
      </w:r>
      <w:r w:rsidRPr="003E7EE5">
        <w:rPr>
          <w:rFonts w:ascii="Times New Roman" w:hAnsi="Times New Roman" w:cs="Times New Roman"/>
          <w:color w:val="000000" w:themeColor="text1"/>
          <w:sz w:val="24"/>
          <w:szCs w:val="26"/>
          <w:lang w:val="en-US"/>
        </w:rPr>
        <w:t xml:space="preserve">is important </w:t>
      </w:r>
      <w:r w:rsidR="00F21054" w:rsidRPr="003E7EE5">
        <w:rPr>
          <w:rFonts w:ascii="Times New Roman" w:hAnsi="Times New Roman" w:cs="Times New Roman"/>
          <w:color w:val="000000" w:themeColor="text1"/>
          <w:sz w:val="24"/>
          <w:szCs w:val="26"/>
          <w:lang w:val="en-US"/>
        </w:rPr>
        <w:t xml:space="preserve">to </w:t>
      </w:r>
      <w:r w:rsidR="00501088" w:rsidRPr="003E7EE5">
        <w:rPr>
          <w:rFonts w:ascii="Times New Roman" w:hAnsi="Times New Roman" w:cs="Times New Roman"/>
          <w:color w:val="000000" w:themeColor="text1"/>
          <w:sz w:val="24"/>
          <w:szCs w:val="26"/>
          <w:lang w:val="en-US"/>
        </w:rPr>
        <w:t xml:space="preserve">successfully </w:t>
      </w:r>
      <w:r w:rsidR="00F21054" w:rsidRPr="003E7EE5">
        <w:rPr>
          <w:rFonts w:ascii="Times New Roman" w:hAnsi="Times New Roman" w:cs="Times New Roman"/>
          <w:color w:val="000000" w:themeColor="text1"/>
          <w:sz w:val="24"/>
          <w:szCs w:val="26"/>
          <w:lang w:val="en-US"/>
        </w:rPr>
        <w:t xml:space="preserve">navigate </w:t>
      </w:r>
      <w:r w:rsidR="00A439DB" w:rsidRPr="003E7EE5">
        <w:rPr>
          <w:rFonts w:ascii="Times New Roman" w:hAnsi="Times New Roman" w:cs="Times New Roman"/>
          <w:color w:val="000000" w:themeColor="text1"/>
          <w:sz w:val="24"/>
          <w:szCs w:val="26"/>
          <w:lang w:val="en-US"/>
        </w:rPr>
        <w:t xml:space="preserve">performance </w:t>
      </w:r>
      <w:r w:rsidR="00501088" w:rsidRPr="003E7EE5">
        <w:rPr>
          <w:rFonts w:ascii="Times New Roman" w:hAnsi="Times New Roman" w:cs="Times New Roman"/>
          <w:color w:val="000000" w:themeColor="text1"/>
          <w:sz w:val="24"/>
          <w:szCs w:val="26"/>
          <w:lang w:val="en-US"/>
        </w:rPr>
        <w:t xml:space="preserve">both </w:t>
      </w:r>
      <w:r w:rsidR="006D0D47" w:rsidRPr="003E7EE5">
        <w:rPr>
          <w:rFonts w:ascii="Times New Roman" w:hAnsi="Times New Roman" w:cs="Times New Roman"/>
          <w:color w:val="000000" w:themeColor="text1"/>
          <w:sz w:val="24"/>
          <w:szCs w:val="26"/>
          <w:lang w:val="en-US"/>
        </w:rPr>
        <w:t>during</w:t>
      </w:r>
      <w:r w:rsidR="00E53F0C" w:rsidRPr="003E7EE5">
        <w:rPr>
          <w:rFonts w:ascii="Times New Roman" w:hAnsi="Times New Roman" w:cs="Times New Roman"/>
          <w:color w:val="000000" w:themeColor="text1"/>
          <w:sz w:val="24"/>
          <w:szCs w:val="26"/>
          <w:lang w:val="en-US"/>
        </w:rPr>
        <w:t xml:space="preserve"> and </w:t>
      </w:r>
      <w:r w:rsidR="002E6E6C" w:rsidRPr="003E7EE5">
        <w:rPr>
          <w:rFonts w:ascii="Times New Roman" w:hAnsi="Times New Roman" w:cs="Times New Roman"/>
          <w:color w:val="000000" w:themeColor="text1"/>
          <w:sz w:val="24"/>
          <w:szCs w:val="26"/>
          <w:lang w:val="en-US"/>
        </w:rPr>
        <w:t>after a</w:t>
      </w:r>
      <w:r w:rsidR="006D0D47" w:rsidRPr="003E7EE5">
        <w:rPr>
          <w:rFonts w:ascii="Times New Roman" w:hAnsi="Times New Roman" w:cs="Times New Roman"/>
          <w:color w:val="000000" w:themeColor="text1"/>
          <w:sz w:val="24"/>
          <w:szCs w:val="26"/>
          <w:lang w:val="en-US"/>
        </w:rPr>
        <w:t xml:space="preserve"> </w:t>
      </w:r>
      <w:r w:rsidR="00E53F0C" w:rsidRPr="003E7EE5">
        <w:rPr>
          <w:rFonts w:ascii="Times New Roman" w:hAnsi="Times New Roman" w:cs="Times New Roman"/>
          <w:color w:val="000000" w:themeColor="text1"/>
          <w:sz w:val="24"/>
          <w:szCs w:val="26"/>
          <w:lang w:val="en-US"/>
        </w:rPr>
        <w:t>crisis.</w:t>
      </w:r>
      <w:r w:rsidRPr="003E7EE5">
        <w:rPr>
          <w:rFonts w:ascii="Times New Roman" w:hAnsi="Times New Roman" w:cs="Times New Roman"/>
          <w:color w:val="000000" w:themeColor="text1"/>
          <w:sz w:val="24"/>
          <w:szCs w:val="26"/>
          <w:lang w:val="en-US"/>
        </w:rPr>
        <w:t xml:space="preserve"> </w:t>
      </w:r>
      <w:r w:rsidR="00D63536" w:rsidRPr="003E7EE5">
        <w:rPr>
          <w:rFonts w:ascii="Times New Roman" w:hAnsi="Times New Roman" w:cs="Times New Roman"/>
          <w:color w:val="000000" w:themeColor="text1"/>
          <w:sz w:val="24"/>
          <w:szCs w:val="26"/>
          <w:lang w:val="en-US"/>
        </w:rPr>
        <w:t xml:space="preserve">Six </w:t>
      </w:r>
      <w:r w:rsidR="00C01DD0" w:rsidRPr="003E7EE5">
        <w:rPr>
          <w:rFonts w:ascii="Times New Roman" w:hAnsi="Times New Roman" w:cs="Times New Roman"/>
          <w:color w:val="000000" w:themeColor="text1"/>
          <w:sz w:val="24"/>
          <w:szCs w:val="26"/>
          <w:lang w:val="en-US"/>
        </w:rPr>
        <w:t>crisis response</w:t>
      </w:r>
      <w:r w:rsidR="00D63536" w:rsidRPr="003E7EE5">
        <w:rPr>
          <w:rFonts w:ascii="Times New Roman" w:hAnsi="Times New Roman" w:cs="Times New Roman"/>
          <w:color w:val="000000" w:themeColor="text1"/>
          <w:sz w:val="24"/>
          <w:szCs w:val="26"/>
          <w:lang w:val="en-US"/>
        </w:rPr>
        <w:t xml:space="preserve"> profiles</w:t>
      </w:r>
      <w:r w:rsidR="00702453" w:rsidRPr="003E7EE5">
        <w:rPr>
          <w:rFonts w:ascii="Times New Roman" w:hAnsi="Times New Roman" w:cs="Times New Roman"/>
          <w:color w:val="000000" w:themeColor="text1"/>
          <w:sz w:val="24"/>
          <w:szCs w:val="26"/>
          <w:lang w:val="en-US"/>
        </w:rPr>
        <w:t xml:space="preserve"> </w:t>
      </w:r>
      <w:r w:rsidR="00D63536" w:rsidRPr="003E7EE5">
        <w:rPr>
          <w:rFonts w:ascii="Times New Roman" w:hAnsi="Times New Roman" w:cs="Times New Roman"/>
          <w:color w:val="000000" w:themeColor="text1"/>
          <w:sz w:val="24"/>
          <w:szCs w:val="26"/>
          <w:lang w:val="en-US"/>
        </w:rPr>
        <w:t xml:space="preserve">are </w:t>
      </w:r>
      <w:r w:rsidR="00702453" w:rsidRPr="003E7EE5">
        <w:rPr>
          <w:rFonts w:ascii="Times New Roman" w:hAnsi="Times New Roman" w:cs="Times New Roman"/>
          <w:color w:val="000000" w:themeColor="text1"/>
          <w:sz w:val="24"/>
          <w:szCs w:val="26"/>
          <w:lang w:val="en-US"/>
        </w:rPr>
        <w:t>offered</w:t>
      </w:r>
      <w:r w:rsidR="002E6E6C" w:rsidRPr="003E7EE5">
        <w:rPr>
          <w:rFonts w:ascii="Times New Roman" w:hAnsi="Times New Roman" w:cs="Times New Roman"/>
          <w:color w:val="000000" w:themeColor="text1"/>
          <w:sz w:val="24"/>
          <w:szCs w:val="26"/>
          <w:lang w:val="en-US"/>
        </w:rPr>
        <w:t>:</w:t>
      </w:r>
      <w:r w:rsidR="00702453" w:rsidRPr="003E7EE5">
        <w:rPr>
          <w:rFonts w:ascii="Times New Roman" w:hAnsi="Times New Roman" w:cs="Times New Roman"/>
          <w:color w:val="000000" w:themeColor="text1"/>
          <w:sz w:val="24"/>
          <w:szCs w:val="26"/>
          <w:lang w:val="en-US"/>
        </w:rPr>
        <w:t xml:space="preserve"> </w:t>
      </w:r>
      <w:r w:rsidR="00CD47CB" w:rsidRPr="003E7EE5">
        <w:rPr>
          <w:rFonts w:ascii="Times New Roman" w:hAnsi="Times New Roman" w:cs="Times New Roman"/>
          <w:color w:val="000000" w:themeColor="text1"/>
          <w:sz w:val="24"/>
          <w:szCs w:val="26"/>
          <w:lang w:val="en-US"/>
        </w:rPr>
        <w:t>(green</w:t>
      </w:r>
      <w:r w:rsidR="00D63536" w:rsidRPr="003E7EE5">
        <w:rPr>
          <w:rFonts w:ascii="Times New Roman" w:hAnsi="Times New Roman" w:cs="Times New Roman"/>
          <w:color w:val="000000" w:themeColor="text1"/>
          <w:sz w:val="24"/>
          <w:szCs w:val="26"/>
          <w:lang w:val="en-US"/>
        </w:rPr>
        <w:t>-</w:t>
      </w:r>
      <w:r w:rsidR="00CD47CB" w:rsidRPr="003E7EE5">
        <w:rPr>
          <w:rFonts w:ascii="Times New Roman" w:hAnsi="Times New Roman" w:cs="Times New Roman"/>
          <w:color w:val="000000" w:themeColor="text1"/>
          <w:sz w:val="24"/>
          <w:szCs w:val="26"/>
          <w:lang w:val="en-US"/>
        </w:rPr>
        <w:t xml:space="preserve"> non-believers, dis-investors</w:t>
      </w:r>
      <w:r w:rsidR="00D63536" w:rsidRPr="003E7EE5">
        <w:rPr>
          <w:rFonts w:ascii="Times New Roman" w:hAnsi="Times New Roman" w:cs="Times New Roman"/>
          <w:color w:val="000000" w:themeColor="text1"/>
          <w:sz w:val="24"/>
          <w:szCs w:val="26"/>
          <w:lang w:val="en-US"/>
        </w:rPr>
        <w:t xml:space="preserve">, </w:t>
      </w:r>
      <w:r w:rsidR="00CD47CB" w:rsidRPr="003E7EE5">
        <w:rPr>
          <w:rFonts w:ascii="Times New Roman" w:hAnsi="Times New Roman" w:cs="Times New Roman"/>
          <w:color w:val="000000" w:themeColor="text1"/>
          <w:sz w:val="24"/>
          <w:szCs w:val="26"/>
          <w:lang w:val="en-US"/>
        </w:rPr>
        <w:t>reluctants</w:t>
      </w:r>
      <w:r w:rsidR="00A73693">
        <w:rPr>
          <w:rFonts w:ascii="Times New Roman" w:hAnsi="Times New Roman" w:cs="Times New Roman"/>
          <w:color w:val="000000" w:themeColor="text1"/>
          <w:sz w:val="24"/>
          <w:szCs w:val="26"/>
          <w:lang w:val="en-US"/>
        </w:rPr>
        <w:t xml:space="preserve"> and</w:t>
      </w:r>
      <w:r w:rsidR="00C01DD0" w:rsidRPr="003E7EE5">
        <w:rPr>
          <w:rFonts w:ascii="Times New Roman" w:hAnsi="Times New Roman" w:cs="Times New Roman"/>
          <w:color w:val="000000" w:themeColor="text1"/>
          <w:sz w:val="24"/>
          <w:szCs w:val="26"/>
          <w:lang w:val="en-US"/>
        </w:rPr>
        <w:t xml:space="preserve"> </w:t>
      </w:r>
      <w:r w:rsidR="00CD47CB" w:rsidRPr="003E7EE5">
        <w:rPr>
          <w:rFonts w:ascii="Times New Roman" w:hAnsi="Times New Roman" w:cs="Times New Roman"/>
          <w:color w:val="000000" w:themeColor="text1"/>
          <w:sz w:val="24"/>
          <w:szCs w:val="26"/>
          <w:lang w:val="en-US"/>
        </w:rPr>
        <w:t>cautious</w:t>
      </w:r>
      <w:r w:rsidR="00A73693">
        <w:rPr>
          <w:rFonts w:ascii="Times New Roman" w:hAnsi="Times New Roman" w:cs="Times New Roman"/>
          <w:color w:val="000000" w:themeColor="text1"/>
          <w:sz w:val="24"/>
          <w:szCs w:val="26"/>
          <w:lang w:val="en-US"/>
        </w:rPr>
        <w:t>-</w:t>
      </w:r>
      <w:r w:rsidR="00D63536" w:rsidRPr="003E7EE5">
        <w:rPr>
          <w:rFonts w:ascii="Times New Roman" w:hAnsi="Times New Roman" w:cs="Times New Roman"/>
          <w:color w:val="000000" w:themeColor="text1"/>
          <w:sz w:val="24"/>
          <w:szCs w:val="26"/>
          <w:lang w:val="en-US"/>
        </w:rPr>
        <w:t>, opportunistic</w:t>
      </w:r>
      <w:r w:rsidR="00A73693">
        <w:rPr>
          <w:rFonts w:ascii="Times New Roman" w:hAnsi="Times New Roman" w:cs="Times New Roman"/>
          <w:color w:val="000000" w:themeColor="text1"/>
          <w:sz w:val="24"/>
          <w:szCs w:val="26"/>
          <w:lang w:val="en-US"/>
        </w:rPr>
        <w:t>-,</w:t>
      </w:r>
      <w:r w:rsidR="00D63536" w:rsidRPr="003E7EE5">
        <w:rPr>
          <w:rFonts w:ascii="Times New Roman" w:hAnsi="Times New Roman" w:cs="Times New Roman"/>
          <w:color w:val="000000" w:themeColor="text1"/>
          <w:sz w:val="24"/>
          <w:szCs w:val="26"/>
          <w:lang w:val="en-US"/>
        </w:rPr>
        <w:t xml:space="preserve"> strategic</w:t>
      </w:r>
      <w:r w:rsidR="00A73693">
        <w:rPr>
          <w:rFonts w:ascii="Times New Roman" w:hAnsi="Times New Roman" w:cs="Times New Roman"/>
          <w:color w:val="000000" w:themeColor="text1"/>
          <w:sz w:val="24"/>
          <w:szCs w:val="26"/>
          <w:lang w:val="en-US"/>
        </w:rPr>
        <w:t>-</w:t>
      </w:r>
      <w:r w:rsidR="00D63536" w:rsidRPr="003E7EE5">
        <w:rPr>
          <w:rFonts w:ascii="Times New Roman" w:hAnsi="Times New Roman" w:cs="Times New Roman"/>
          <w:color w:val="000000" w:themeColor="text1"/>
          <w:sz w:val="24"/>
          <w:szCs w:val="26"/>
          <w:lang w:val="en-US"/>
        </w:rPr>
        <w:t xml:space="preserve"> </w:t>
      </w:r>
      <w:r w:rsidR="00CD47CB" w:rsidRPr="003E7EE5">
        <w:rPr>
          <w:rFonts w:ascii="Times New Roman" w:hAnsi="Times New Roman" w:cs="Times New Roman"/>
          <w:color w:val="000000" w:themeColor="text1"/>
          <w:sz w:val="24"/>
          <w:szCs w:val="26"/>
          <w:lang w:val="en-US"/>
        </w:rPr>
        <w:t>green investors</w:t>
      </w:r>
      <w:r w:rsidR="00A73693">
        <w:rPr>
          <w:rFonts w:ascii="Times New Roman" w:hAnsi="Times New Roman" w:cs="Times New Roman"/>
          <w:color w:val="000000" w:themeColor="text1"/>
          <w:sz w:val="24"/>
          <w:szCs w:val="26"/>
          <w:lang w:val="en-US"/>
        </w:rPr>
        <w:t>)</w:t>
      </w:r>
      <w:r w:rsidR="009B38FA" w:rsidRPr="003E7EE5">
        <w:rPr>
          <w:rFonts w:ascii="Times New Roman" w:hAnsi="Times New Roman" w:cs="Times New Roman"/>
          <w:color w:val="000000" w:themeColor="text1"/>
          <w:sz w:val="24"/>
          <w:szCs w:val="26"/>
          <w:lang w:val="en-US"/>
        </w:rPr>
        <w:t>.</w:t>
      </w:r>
    </w:p>
    <w:p w14:paraId="357FE35D" w14:textId="67924B85" w:rsidR="00AF1519" w:rsidRPr="003E7EE5" w:rsidRDefault="00342B50" w:rsidP="005E1791">
      <w:pPr>
        <w:pStyle w:val="ListParagraph"/>
        <w:spacing w:after="0" w:line="480" w:lineRule="auto"/>
        <w:ind w:left="0"/>
        <w:rPr>
          <w:rFonts w:ascii="Times New Roman" w:hAnsi="Times New Roman" w:cs="Times New Roman"/>
          <w:sz w:val="24"/>
          <w:lang w:val="en-US"/>
        </w:rPr>
      </w:pPr>
      <w:r w:rsidRPr="003E7EE5">
        <w:rPr>
          <w:rFonts w:ascii="Times New Roman" w:hAnsi="Times New Roman" w:cs="Times New Roman"/>
          <w:b/>
          <w:sz w:val="24"/>
          <w:lang w:val="en-US"/>
        </w:rPr>
        <w:t xml:space="preserve">Social </w:t>
      </w:r>
      <w:r w:rsidR="002E6E6C" w:rsidRPr="003E7EE5">
        <w:rPr>
          <w:rFonts w:ascii="Times New Roman" w:hAnsi="Times New Roman" w:cs="Times New Roman"/>
          <w:b/>
          <w:sz w:val="24"/>
          <w:lang w:val="en-US"/>
        </w:rPr>
        <w:t>i</w:t>
      </w:r>
      <w:r w:rsidRPr="003E7EE5">
        <w:rPr>
          <w:rFonts w:ascii="Times New Roman" w:hAnsi="Times New Roman" w:cs="Times New Roman"/>
          <w:b/>
          <w:sz w:val="24"/>
          <w:lang w:val="en-US"/>
        </w:rPr>
        <w:t>mplications</w:t>
      </w:r>
      <w:r w:rsidR="002E6E6C" w:rsidRPr="003E7EE5">
        <w:rPr>
          <w:rFonts w:ascii="Times New Roman" w:hAnsi="Times New Roman" w:cs="Times New Roman"/>
          <w:color w:val="000000" w:themeColor="text1"/>
          <w:sz w:val="24"/>
          <w:szCs w:val="26"/>
          <w:lang w:val="en-US"/>
        </w:rPr>
        <w:t xml:space="preserve"> – </w:t>
      </w:r>
      <w:r w:rsidR="00CC7826" w:rsidRPr="003E7EE5">
        <w:rPr>
          <w:rFonts w:ascii="Times New Roman" w:hAnsi="Times New Roman" w:cs="Times New Roman"/>
          <w:bCs/>
          <w:sz w:val="24"/>
          <w:lang w:val="en-US"/>
        </w:rPr>
        <w:t xml:space="preserve">The </w:t>
      </w:r>
      <w:r w:rsidR="002E6E6C" w:rsidRPr="003E7EE5">
        <w:rPr>
          <w:rFonts w:ascii="Times New Roman" w:hAnsi="Times New Roman" w:cs="Times New Roman"/>
          <w:bCs/>
          <w:sz w:val="24"/>
          <w:lang w:val="en-US"/>
        </w:rPr>
        <w:t>study</w:t>
      </w:r>
      <w:r w:rsidR="00CC7826" w:rsidRPr="003E7EE5">
        <w:rPr>
          <w:rFonts w:ascii="Times New Roman" w:hAnsi="Times New Roman" w:cs="Times New Roman"/>
          <w:bCs/>
          <w:sz w:val="24"/>
          <w:lang w:val="en-US"/>
        </w:rPr>
        <w:t xml:space="preserve"> </w:t>
      </w:r>
      <w:r w:rsidR="00C01DD0" w:rsidRPr="003E7EE5">
        <w:rPr>
          <w:rFonts w:ascii="Times New Roman" w:hAnsi="Times New Roman" w:cs="Times New Roman"/>
          <w:bCs/>
          <w:sz w:val="24"/>
          <w:lang w:val="en-US"/>
        </w:rPr>
        <w:t>proposes</w:t>
      </w:r>
      <w:r w:rsidR="00CC7826" w:rsidRPr="003E7EE5">
        <w:rPr>
          <w:rFonts w:ascii="Times New Roman" w:hAnsi="Times New Roman" w:cs="Times New Roman"/>
          <w:bCs/>
          <w:sz w:val="24"/>
          <w:lang w:val="en-US"/>
        </w:rPr>
        <w:t xml:space="preserve"> </w:t>
      </w:r>
      <w:r w:rsidR="0053466E" w:rsidRPr="003E7EE5">
        <w:rPr>
          <w:rFonts w:ascii="Times New Roman" w:hAnsi="Times New Roman" w:cs="Times New Roman"/>
          <w:bCs/>
          <w:sz w:val="24"/>
          <w:lang w:val="en-US"/>
        </w:rPr>
        <w:t xml:space="preserve">a </w:t>
      </w:r>
      <w:r w:rsidR="00CC7826" w:rsidRPr="003E7EE5">
        <w:rPr>
          <w:rFonts w:ascii="Times New Roman" w:hAnsi="Times New Roman" w:cs="Times New Roman"/>
          <w:bCs/>
          <w:sz w:val="24"/>
          <w:lang w:val="en-US"/>
        </w:rPr>
        <w:t>balanced approach to environmental sustainability,</w:t>
      </w:r>
      <w:r w:rsidR="00AF1519" w:rsidRPr="003E7EE5">
        <w:rPr>
          <w:rFonts w:ascii="Times New Roman" w:hAnsi="Times New Roman" w:cs="Times New Roman"/>
          <w:bCs/>
          <w:sz w:val="24"/>
          <w:lang w:val="en-US"/>
        </w:rPr>
        <w:t xml:space="preserve"> marketing strategy,</w:t>
      </w:r>
      <w:r w:rsidR="00CC7826" w:rsidRPr="003E7EE5">
        <w:rPr>
          <w:rFonts w:ascii="Times New Roman" w:hAnsi="Times New Roman" w:cs="Times New Roman"/>
          <w:bCs/>
          <w:sz w:val="24"/>
          <w:lang w:val="en-US"/>
        </w:rPr>
        <w:t xml:space="preserve"> </w:t>
      </w:r>
      <w:r w:rsidR="00492ECC" w:rsidRPr="003E7EE5">
        <w:rPr>
          <w:rFonts w:ascii="Times New Roman" w:hAnsi="Times New Roman" w:cs="Times New Roman"/>
          <w:bCs/>
          <w:sz w:val="24"/>
          <w:lang w:val="en-US"/>
        </w:rPr>
        <w:t xml:space="preserve">and </w:t>
      </w:r>
      <w:r w:rsidR="00CC7826" w:rsidRPr="003E7EE5">
        <w:rPr>
          <w:rFonts w:ascii="Times New Roman" w:hAnsi="Times New Roman" w:cs="Times New Roman"/>
          <w:bCs/>
          <w:sz w:val="24"/>
          <w:lang w:val="en-US"/>
        </w:rPr>
        <w:t xml:space="preserve">firm </w:t>
      </w:r>
      <w:r w:rsidR="00AF1519" w:rsidRPr="003E7EE5">
        <w:rPr>
          <w:rFonts w:ascii="Times New Roman" w:hAnsi="Times New Roman" w:cs="Times New Roman"/>
          <w:bCs/>
          <w:sz w:val="24"/>
          <w:lang w:val="en-US"/>
        </w:rPr>
        <w:t>performance</w:t>
      </w:r>
      <w:r w:rsidR="00CC7826" w:rsidRPr="003E7EE5">
        <w:rPr>
          <w:rFonts w:ascii="Times New Roman" w:hAnsi="Times New Roman" w:cs="Times New Roman"/>
          <w:bCs/>
          <w:sz w:val="24"/>
          <w:lang w:val="en-US"/>
        </w:rPr>
        <w:t xml:space="preserve"> </w:t>
      </w:r>
      <w:r w:rsidR="00AF1519" w:rsidRPr="003E7EE5">
        <w:rPr>
          <w:rFonts w:ascii="Times New Roman" w:hAnsi="Times New Roman" w:cs="Times New Roman"/>
          <w:color w:val="000000" w:themeColor="text1"/>
          <w:sz w:val="24"/>
          <w:szCs w:val="26"/>
          <w:lang w:val="en-US"/>
        </w:rPr>
        <w:t xml:space="preserve">during </w:t>
      </w:r>
      <w:r w:rsidR="002043CE" w:rsidRPr="003E7EE5">
        <w:rPr>
          <w:rFonts w:ascii="Times New Roman" w:hAnsi="Times New Roman" w:cs="Times New Roman"/>
          <w:color w:val="000000" w:themeColor="text1"/>
          <w:sz w:val="24"/>
          <w:szCs w:val="26"/>
          <w:lang w:val="en-US"/>
        </w:rPr>
        <w:t>a crisis</w:t>
      </w:r>
      <w:r w:rsidR="001C6068" w:rsidRPr="003E7EE5">
        <w:rPr>
          <w:rFonts w:ascii="Times New Roman" w:hAnsi="Times New Roman" w:cs="Times New Roman"/>
          <w:color w:val="000000" w:themeColor="text1"/>
          <w:sz w:val="24"/>
          <w:szCs w:val="26"/>
          <w:lang w:val="en-US"/>
        </w:rPr>
        <w:t>.</w:t>
      </w:r>
    </w:p>
    <w:p w14:paraId="2B7DB135" w14:textId="6EF48B34" w:rsidR="00AE0EF2" w:rsidRPr="003E7EE5" w:rsidRDefault="005156C5" w:rsidP="00650F87">
      <w:pPr>
        <w:pStyle w:val="ListParagraph"/>
        <w:spacing w:after="0" w:line="480" w:lineRule="auto"/>
        <w:ind w:left="0"/>
        <w:rPr>
          <w:rFonts w:ascii="Times New Roman" w:hAnsi="Times New Roman" w:cs="Times New Roman"/>
          <w:bCs/>
          <w:sz w:val="24"/>
          <w:lang w:val="en-US"/>
        </w:rPr>
      </w:pPr>
      <w:r w:rsidRPr="003E7EE5">
        <w:rPr>
          <w:rFonts w:ascii="Times New Roman" w:hAnsi="Times New Roman" w:cs="Times New Roman"/>
          <w:b/>
          <w:sz w:val="24"/>
          <w:lang w:val="en-US"/>
        </w:rPr>
        <w:lastRenderedPageBreak/>
        <w:t>O</w:t>
      </w:r>
      <w:r w:rsidR="00342B50" w:rsidRPr="003E7EE5">
        <w:rPr>
          <w:rFonts w:ascii="Times New Roman" w:hAnsi="Times New Roman" w:cs="Times New Roman"/>
          <w:b/>
          <w:sz w:val="24"/>
          <w:lang w:val="en-US"/>
        </w:rPr>
        <w:t>riginality/value</w:t>
      </w:r>
      <w:r w:rsidR="002E6E6C" w:rsidRPr="003E7EE5">
        <w:rPr>
          <w:rFonts w:ascii="Times New Roman" w:hAnsi="Times New Roman" w:cs="Times New Roman"/>
          <w:color w:val="000000" w:themeColor="text1"/>
          <w:sz w:val="24"/>
          <w:szCs w:val="26"/>
          <w:lang w:val="en-US"/>
        </w:rPr>
        <w:t xml:space="preserve"> – </w:t>
      </w:r>
      <w:r w:rsidR="001C6068" w:rsidRPr="003E7EE5">
        <w:rPr>
          <w:rFonts w:ascii="Times New Roman" w:hAnsi="Times New Roman" w:cs="Times New Roman"/>
          <w:bCs/>
          <w:sz w:val="24"/>
          <w:lang w:val="en-US"/>
        </w:rPr>
        <w:t>Th</w:t>
      </w:r>
      <w:r w:rsidR="002E6E6C" w:rsidRPr="003E7EE5">
        <w:rPr>
          <w:rFonts w:ascii="Times New Roman" w:hAnsi="Times New Roman" w:cs="Times New Roman"/>
          <w:bCs/>
          <w:sz w:val="24"/>
          <w:lang w:val="en-US"/>
        </w:rPr>
        <w:t>e</w:t>
      </w:r>
      <w:r w:rsidR="001C6068" w:rsidRPr="003E7EE5">
        <w:rPr>
          <w:rFonts w:ascii="Times New Roman" w:hAnsi="Times New Roman" w:cs="Times New Roman"/>
          <w:bCs/>
          <w:sz w:val="24"/>
          <w:lang w:val="en-US"/>
        </w:rPr>
        <w:t xml:space="preserve"> </w:t>
      </w:r>
      <w:r w:rsidR="002E6E6C" w:rsidRPr="003E7EE5">
        <w:rPr>
          <w:rFonts w:ascii="Times New Roman" w:hAnsi="Times New Roman" w:cs="Times New Roman"/>
          <w:bCs/>
          <w:sz w:val="24"/>
          <w:lang w:val="en-US"/>
        </w:rPr>
        <w:t>study</w:t>
      </w:r>
      <w:r w:rsidR="0097148C" w:rsidRPr="003E7EE5">
        <w:rPr>
          <w:rFonts w:ascii="Times New Roman" w:hAnsi="Times New Roman" w:cs="Times New Roman"/>
          <w:bCs/>
          <w:sz w:val="24"/>
          <w:lang w:val="en-US"/>
        </w:rPr>
        <w:t xml:space="preserve"> argues that </w:t>
      </w:r>
      <w:r w:rsidR="006D0D47" w:rsidRPr="003E7EE5">
        <w:rPr>
          <w:rFonts w:ascii="Times New Roman" w:hAnsi="Times New Roman" w:cs="Times New Roman"/>
          <w:bCs/>
          <w:sz w:val="24"/>
          <w:lang w:val="en-US"/>
        </w:rPr>
        <w:t>GMS</w:t>
      </w:r>
      <w:r w:rsidR="00C405C8">
        <w:rPr>
          <w:rFonts w:ascii="Times New Roman" w:hAnsi="Times New Roman" w:cs="Times New Roman"/>
          <w:bCs/>
          <w:sz w:val="24"/>
          <w:lang w:val="en-US"/>
        </w:rPr>
        <w:t>s</w:t>
      </w:r>
      <w:r w:rsidR="001C6068" w:rsidRPr="003E7EE5">
        <w:rPr>
          <w:rFonts w:ascii="Times New Roman" w:hAnsi="Times New Roman" w:cs="Times New Roman"/>
          <w:bCs/>
          <w:sz w:val="24"/>
          <w:lang w:val="en-US"/>
        </w:rPr>
        <w:t xml:space="preserve"> </w:t>
      </w:r>
      <w:r w:rsidR="009B38FA" w:rsidRPr="003E7EE5">
        <w:rPr>
          <w:rFonts w:ascii="Times New Roman" w:hAnsi="Times New Roman" w:cs="Times New Roman"/>
          <w:bCs/>
          <w:sz w:val="24"/>
          <w:lang w:val="en-US"/>
        </w:rPr>
        <w:t xml:space="preserve">enables </w:t>
      </w:r>
      <w:r w:rsidR="0097148C" w:rsidRPr="003E7EE5">
        <w:rPr>
          <w:rFonts w:ascii="Times New Roman" w:hAnsi="Times New Roman" w:cs="Times New Roman"/>
          <w:bCs/>
          <w:sz w:val="24"/>
          <w:lang w:val="en-US"/>
        </w:rPr>
        <w:t>firms to survive a crisis</w:t>
      </w:r>
      <w:r w:rsidR="004271FE" w:rsidRPr="003E7EE5">
        <w:rPr>
          <w:rFonts w:ascii="Times New Roman" w:hAnsi="Times New Roman" w:cs="Times New Roman"/>
          <w:bCs/>
          <w:sz w:val="24"/>
          <w:lang w:val="en-US"/>
        </w:rPr>
        <w:t xml:space="preserve"> and</w:t>
      </w:r>
      <w:r w:rsidR="0097148C" w:rsidRPr="003E7EE5">
        <w:rPr>
          <w:rFonts w:ascii="Times New Roman" w:hAnsi="Times New Roman" w:cs="Times New Roman"/>
          <w:bCs/>
          <w:sz w:val="24"/>
          <w:lang w:val="en-US"/>
        </w:rPr>
        <w:t xml:space="preserve"> </w:t>
      </w:r>
      <w:r w:rsidR="00C01DD0" w:rsidRPr="003E7EE5">
        <w:rPr>
          <w:rFonts w:ascii="Times New Roman" w:hAnsi="Times New Roman" w:cs="Times New Roman"/>
          <w:bCs/>
          <w:sz w:val="24"/>
          <w:lang w:val="en-US"/>
        </w:rPr>
        <w:t>recover</w:t>
      </w:r>
      <w:r w:rsidR="0097148C" w:rsidRPr="003E7EE5">
        <w:rPr>
          <w:rFonts w:ascii="Times New Roman" w:hAnsi="Times New Roman" w:cs="Times New Roman"/>
          <w:bCs/>
          <w:sz w:val="24"/>
          <w:lang w:val="en-US"/>
        </w:rPr>
        <w:t xml:space="preserve"> </w:t>
      </w:r>
      <w:r w:rsidR="004271FE" w:rsidRPr="003E7EE5">
        <w:rPr>
          <w:rFonts w:ascii="Times New Roman" w:hAnsi="Times New Roman" w:cs="Times New Roman"/>
          <w:bCs/>
          <w:sz w:val="24"/>
          <w:lang w:val="en-US"/>
        </w:rPr>
        <w:t>from financial shocks.</w:t>
      </w:r>
    </w:p>
    <w:p w14:paraId="4CE33B0B" w14:textId="7945855E" w:rsidR="004D626C" w:rsidRPr="003E7EE5" w:rsidRDefault="004D7AF0" w:rsidP="00727A72">
      <w:pPr>
        <w:pStyle w:val="ListParagraph"/>
        <w:spacing w:after="0" w:line="480" w:lineRule="auto"/>
        <w:ind w:left="0"/>
        <w:outlineLvl w:val="0"/>
        <w:rPr>
          <w:rFonts w:ascii="Times New Roman" w:hAnsi="Times New Roman" w:cs="Times New Roman"/>
          <w:sz w:val="24"/>
          <w:lang w:val="en-US"/>
        </w:rPr>
      </w:pPr>
      <w:r w:rsidRPr="003E7EE5">
        <w:rPr>
          <w:rFonts w:ascii="Times New Roman" w:hAnsi="Times New Roman" w:cs="Times New Roman"/>
          <w:b/>
          <w:sz w:val="24"/>
          <w:lang w:val="en-US"/>
        </w:rPr>
        <w:t>Key</w:t>
      </w:r>
      <w:r w:rsidR="009A17C0" w:rsidRPr="003E7EE5">
        <w:rPr>
          <w:rFonts w:ascii="Times New Roman" w:hAnsi="Times New Roman" w:cs="Times New Roman"/>
          <w:b/>
          <w:sz w:val="24"/>
          <w:lang w:val="en-US"/>
        </w:rPr>
        <w:t>words</w:t>
      </w:r>
      <w:r w:rsidR="009A17C0" w:rsidRPr="003E7EE5">
        <w:rPr>
          <w:rFonts w:ascii="Times New Roman" w:hAnsi="Times New Roman" w:cs="Times New Roman"/>
          <w:sz w:val="24"/>
          <w:lang w:val="en-US"/>
        </w:rPr>
        <w:t xml:space="preserve"> </w:t>
      </w:r>
      <w:r w:rsidR="005D2F06" w:rsidRPr="003E7EE5">
        <w:rPr>
          <w:rFonts w:ascii="Times New Roman" w:hAnsi="Times New Roman" w:cs="Times New Roman"/>
          <w:color w:val="000000" w:themeColor="text1"/>
          <w:sz w:val="24"/>
          <w:szCs w:val="26"/>
          <w:lang w:val="en-US"/>
        </w:rPr>
        <w:t>–</w:t>
      </w:r>
      <w:r w:rsidR="005D2F06">
        <w:rPr>
          <w:rFonts w:ascii="Times New Roman" w:hAnsi="Times New Roman" w:cs="Times New Roman"/>
          <w:sz w:val="24"/>
          <w:lang w:val="en-US"/>
        </w:rPr>
        <w:t xml:space="preserve"> </w:t>
      </w:r>
      <w:r w:rsidR="002E6E6C" w:rsidRPr="003E7EE5">
        <w:rPr>
          <w:rFonts w:ascii="Times New Roman" w:hAnsi="Times New Roman" w:cs="Times New Roman"/>
          <w:sz w:val="24"/>
          <w:lang w:val="en-US"/>
        </w:rPr>
        <w:t>G</w:t>
      </w:r>
      <w:r w:rsidR="00D27CD9" w:rsidRPr="003E7EE5">
        <w:rPr>
          <w:rFonts w:ascii="Times New Roman" w:hAnsi="Times New Roman" w:cs="Times New Roman"/>
          <w:sz w:val="24"/>
          <w:lang w:val="en-US"/>
        </w:rPr>
        <w:t xml:space="preserve">reen </w:t>
      </w:r>
      <w:r w:rsidR="00FD0A73" w:rsidRPr="003E7EE5">
        <w:rPr>
          <w:rFonts w:ascii="Times New Roman" w:hAnsi="Times New Roman" w:cs="Times New Roman"/>
          <w:sz w:val="24"/>
          <w:lang w:val="en-US"/>
        </w:rPr>
        <w:t>marketing</w:t>
      </w:r>
      <w:r w:rsidR="00D20500" w:rsidRPr="003E7EE5">
        <w:rPr>
          <w:rFonts w:ascii="Times New Roman" w:hAnsi="Times New Roman" w:cs="Times New Roman"/>
          <w:sz w:val="24"/>
          <w:lang w:val="en-US"/>
        </w:rPr>
        <w:t xml:space="preserve"> strategy</w:t>
      </w:r>
      <w:r w:rsidR="002E6E6C" w:rsidRPr="003E7EE5">
        <w:rPr>
          <w:rFonts w:ascii="Times New Roman" w:hAnsi="Times New Roman" w:cs="Times New Roman"/>
          <w:sz w:val="24"/>
          <w:lang w:val="en-US"/>
        </w:rPr>
        <w:t>, U</w:t>
      </w:r>
      <w:r w:rsidR="00FD0A73" w:rsidRPr="003E7EE5">
        <w:rPr>
          <w:rFonts w:ascii="Times New Roman" w:hAnsi="Times New Roman" w:cs="Times New Roman"/>
          <w:sz w:val="24"/>
          <w:lang w:val="en-US"/>
        </w:rPr>
        <w:t>ncertainty</w:t>
      </w:r>
      <w:r w:rsidR="002E6E6C" w:rsidRPr="003E7EE5">
        <w:rPr>
          <w:rFonts w:ascii="Times New Roman" w:hAnsi="Times New Roman" w:cs="Times New Roman"/>
          <w:sz w:val="24"/>
          <w:lang w:val="en-US"/>
        </w:rPr>
        <w:t>, S</w:t>
      </w:r>
      <w:r w:rsidR="00CB2129" w:rsidRPr="003E7EE5">
        <w:rPr>
          <w:rFonts w:ascii="Times New Roman" w:hAnsi="Times New Roman" w:cs="Times New Roman"/>
          <w:sz w:val="24"/>
          <w:lang w:val="en-US"/>
        </w:rPr>
        <w:t>ustainability</w:t>
      </w:r>
      <w:r w:rsidR="002E6E6C" w:rsidRPr="003E7EE5">
        <w:rPr>
          <w:rFonts w:ascii="Times New Roman" w:hAnsi="Times New Roman" w:cs="Times New Roman"/>
          <w:sz w:val="24"/>
          <w:lang w:val="en-US"/>
        </w:rPr>
        <w:t>, R</w:t>
      </w:r>
      <w:r w:rsidR="00CB2129" w:rsidRPr="003E7EE5">
        <w:rPr>
          <w:rFonts w:ascii="Times New Roman" w:hAnsi="Times New Roman" w:cs="Times New Roman"/>
          <w:sz w:val="24"/>
          <w:lang w:val="en-US"/>
        </w:rPr>
        <w:t>esilience</w:t>
      </w:r>
      <w:r w:rsidR="002E6E6C" w:rsidRPr="003E7EE5">
        <w:rPr>
          <w:rFonts w:ascii="Times New Roman" w:hAnsi="Times New Roman" w:cs="Times New Roman"/>
          <w:sz w:val="24"/>
          <w:lang w:val="en-US"/>
        </w:rPr>
        <w:t>, F</w:t>
      </w:r>
      <w:r w:rsidR="008C1C71" w:rsidRPr="003E7EE5">
        <w:rPr>
          <w:rFonts w:ascii="Times New Roman" w:hAnsi="Times New Roman" w:cs="Times New Roman"/>
          <w:sz w:val="24"/>
          <w:lang w:val="en-US"/>
        </w:rPr>
        <w:t>inancial performance</w:t>
      </w:r>
    </w:p>
    <w:p w14:paraId="49CA01CB" w14:textId="3D77AAD4" w:rsidR="002E6E6C" w:rsidRPr="003E7EE5" w:rsidRDefault="002E6E6C" w:rsidP="00727A72">
      <w:pPr>
        <w:pStyle w:val="ListParagraph"/>
        <w:spacing w:after="0" w:line="480" w:lineRule="auto"/>
        <w:ind w:left="0"/>
        <w:outlineLvl w:val="0"/>
        <w:rPr>
          <w:rFonts w:ascii="Times New Roman" w:hAnsi="Times New Roman" w:cs="Times New Roman"/>
          <w:sz w:val="24"/>
          <w:lang w:val="en-US"/>
        </w:rPr>
      </w:pPr>
      <w:r w:rsidRPr="003E7EE5">
        <w:rPr>
          <w:rFonts w:ascii="Times New Roman" w:hAnsi="Times New Roman" w:cs="Times New Roman"/>
          <w:b/>
          <w:bCs/>
          <w:sz w:val="24"/>
          <w:lang w:val="en-US"/>
        </w:rPr>
        <w:t>Paper type</w:t>
      </w:r>
      <w:r w:rsidRPr="003E7EE5">
        <w:rPr>
          <w:rFonts w:ascii="Times New Roman" w:hAnsi="Times New Roman" w:cs="Times New Roman"/>
          <w:sz w:val="24"/>
          <w:lang w:val="en-US"/>
        </w:rPr>
        <w:t xml:space="preserve"> </w:t>
      </w:r>
      <w:r w:rsidR="005D2F06" w:rsidRPr="003E7EE5">
        <w:rPr>
          <w:rFonts w:ascii="Times New Roman" w:hAnsi="Times New Roman" w:cs="Times New Roman"/>
          <w:color w:val="000000" w:themeColor="text1"/>
          <w:sz w:val="24"/>
          <w:szCs w:val="26"/>
          <w:lang w:val="en-US"/>
        </w:rPr>
        <w:t>–</w:t>
      </w:r>
      <w:r w:rsidR="005D2F06">
        <w:rPr>
          <w:rFonts w:ascii="Times New Roman" w:hAnsi="Times New Roman" w:cs="Times New Roman"/>
          <w:color w:val="000000" w:themeColor="text1"/>
          <w:sz w:val="24"/>
          <w:szCs w:val="26"/>
          <w:lang w:val="en-US"/>
        </w:rPr>
        <w:t xml:space="preserve"> </w:t>
      </w:r>
      <w:r w:rsidRPr="003E7EE5">
        <w:rPr>
          <w:rFonts w:ascii="Times New Roman" w:hAnsi="Times New Roman" w:cs="Times New Roman"/>
          <w:sz w:val="24"/>
          <w:lang w:val="en-US"/>
        </w:rPr>
        <w:t>Research paper</w:t>
      </w:r>
    </w:p>
    <w:p w14:paraId="76043D23" w14:textId="77777777" w:rsidR="00477F25" w:rsidRPr="003E7EE5" w:rsidRDefault="00477F25" w:rsidP="00727A72">
      <w:pPr>
        <w:pStyle w:val="ListParagraph"/>
        <w:spacing w:after="0" w:line="480" w:lineRule="auto"/>
        <w:ind w:left="0"/>
        <w:outlineLvl w:val="0"/>
        <w:rPr>
          <w:rFonts w:ascii="Times New Roman" w:hAnsi="Times New Roman" w:cs="Times New Roman"/>
          <w:sz w:val="24"/>
          <w:lang w:val="en-US"/>
        </w:rPr>
      </w:pPr>
    </w:p>
    <w:p w14:paraId="212D4F18" w14:textId="35A5B180" w:rsidR="004B1CD0" w:rsidRPr="003E7EE5" w:rsidRDefault="004B1CD0" w:rsidP="00727A72">
      <w:pPr>
        <w:pStyle w:val="ListParagraph"/>
        <w:spacing w:after="0" w:line="480" w:lineRule="auto"/>
        <w:ind w:left="0"/>
        <w:outlineLvl w:val="0"/>
        <w:rPr>
          <w:rFonts w:ascii="Times New Roman" w:hAnsi="Times New Roman" w:cs="Times New Roman"/>
          <w:sz w:val="24"/>
          <w:lang w:val="en-US"/>
        </w:rPr>
      </w:pPr>
    </w:p>
    <w:p w14:paraId="30973EB6" w14:textId="354DA356" w:rsidR="00152EB3" w:rsidRPr="003E7EE5" w:rsidRDefault="00152EB3" w:rsidP="00727A72">
      <w:pPr>
        <w:pStyle w:val="ListParagraph"/>
        <w:spacing w:after="0" w:line="480" w:lineRule="auto"/>
        <w:ind w:left="0"/>
        <w:outlineLvl w:val="0"/>
        <w:rPr>
          <w:rFonts w:ascii="Times New Roman" w:hAnsi="Times New Roman" w:cs="Times New Roman"/>
          <w:sz w:val="24"/>
          <w:lang w:val="en-US"/>
        </w:rPr>
      </w:pPr>
    </w:p>
    <w:p w14:paraId="7E7FDE33" w14:textId="77777777" w:rsidR="00152EB3" w:rsidRPr="003E7EE5" w:rsidRDefault="00152EB3" w:rsidP="00727A72">
      <w:pPr>
        <w:pStyle w:val="ListParagraph"/>
        <w:spacing w:after="0" w:line="480" w:lineRule="auto"/>
        <w:ind w:left="0"/>
        <w:outlineLvl w:val="0"/>
        <w:rPr>
          <w:rFonts w:ascii="Times New Roman" w:hAnsi="Times New Roman" w:cs="Times New Roman"/>
          <w:sz w:val="24"/>
          <w:lang w:val="en-US"/>
        </w:rPr>
      </w:pPr>
    </w:p>
    <w:p w14:paraId="48601084" w14:textId="2F28A698" w:rsidR="00047765" w:rsidRPr="003E7EE5" w:rsidRDefault="00047765" w:rsidP="00727A72">
      <w:pPr>
        <w:pStyle w:val="ListParagraph"/>
        <w:spacing w:after="0" w:line="480" w:lineRule="auto"/>
        <w:ind w:left="0"/>
        <w:outlineLvl w:val="0"/>
        <w:rPr>
          <w:rFonts w:ascii="Times New Roman" w:hAnsi="Times New Roman" w:cs="Times New Roman"/>
          <w:sz w:val="24"/>
          <w:lang w:val="en-US"/>
        </w:rPr>
      </w:pPr>
    </w:p>
    <w:p w14:paraId="458BEFF5" w14:textId="24816292" w:rsidR="00524DA0" w:rsidRPr="003E7EE5" w:rsidRDefault="00524DA0" w:rsidP="00727A72">
      <w:pPr>
        <w:pStyle w:val="ListParagraph"/>
        <w:spacing w:after="0" w:line="480" w:lineRule="auto"/>
        <w:ind w:left="0"/>
        <w:outlineLvl w:val="0"/>
        <w:rPr>
          <w:rFonts w:ascii="Times New Roman" w:hAnsi="Times New Roman" w:cs="Times New Roman"/>
          <w:sz w:val="24"/>
          <w:lang w:val="en-US"/>
        </w:rPr>
      </w:pPr>
    </w:p>
    <w:p w14:paraId="271B6188" w14:textId="77777777" w:rsidR="00702453" w:rsidRPr="003E7EE5" w:rsidRDefault="00702453" w:rsidP="00727A72">
      <w:pPr>
        <w:pStyle w:val="ListParagraph"/>
        <w:spacing w:after="0" w:line="480" w:lineRule="auto"/>
        <w:ind w:left="0"/>
        <w:outlineLvl w:val="0"/>
        <w:rPr>
          <w:rFonts w:ascii="Times New Roman" w:hAnsi="Times New Roman" w:cs="Times New Roman"/>
          <w:sz w:val="24"/>
          <w:lang w:val="en-US"/>
        </w:rPr>
      </w:pPr>
    </w:p>
    <w:p w14:paraId="2E350400" w14:textId="77777777" w:rsidR="00702453" w:rsidRPr="003E7EE5" w:rsidRDefault="00702453" w:rsidP="00727A72">
      <w:pPr>
        <w:pStyle w:val="ListParagraph"/>
        <w:spacing w:after="0" w:line="480" w:lineRule="auto"/>
        <w:ind w:left="0"/>
        <w:outlineLvl w:val="0"/>
        <w:rPr>
          <w:rFonts w:ascii="Times New Roman" w:hAnsi="Times New Roman" w:cs="Times New Roman"/>
          <w:sz w:val="24"/>
          <w:lang w:val="en-US"/>
        </w:rPr>
      </w:pPr>
    </w:p>
    <w:p w14:paraId="01ADDED5" w14:textId="77777777" w:rsidR="00702453" w:rsidRPr="003E7EE5" w:rsidRDefault="00702453" w:rsidP="00727A72">
      <w:pPr>
        <w:pStyle w:val="ListParagraph"/>
        <w:spacing w:after="0" w:line="480" w:lineRule="auto"/>
        <w:ind w:left="0"/>
        <w:outlineLvl w:val="0"/>
        <w:rPr>
          <w:rFonts w:ascii="Times New Roman" w:hAnsi="Times New Roman" w:cs="Times New Roman"/>
          <w:sz w:val="24"/>
          <w:lang w:val="en-US"/>
        </w:rPr>
      </w:pPr>
    </w:p>
    <w:p w14:paraId="6718B291" w14:textId="77777777" w:rsidR="00702453" w:rsidRPr="003E7EE5" w:rsidRDefault="00702453" w:rsidP="00727A72">
      <w:pPr>
        <w:pStyle w:val="ListParagraph"/>
        <w:spacing w:after="0" w:line="480" w:lineRule="auto"/>
        <w:ind w:left="0"/>
        <w:outlineLvl w:val="0"/>
        <w:rPr>
          <w:rFonts w:ascii="Times New Roman" w:hAnsi="Times New Roman" w:cs="Times New Roman"/>
          <w:sz w:val="24"/>
          <w:lang w:val="en-US"/>
        </w:rPr>
      </w:pPr>
    </w:p>
    <w:p w14:paraId="77F4FB8A" w14:textId="77777777" w:rsidR="00702453" w:rsidRPr="003E7EE5" w:rsidRDefault="00702453" w:rsidP="00727A72">
      <w:pPr>
        <w:pStyle w:val="ListParagraph"/>
        <w:spacing w:after="0" w:line="480" w:lineRule="auto"/>
        <w:ind w:left="0"/>
        <w:outlineLvl w:val="0"/>
        <w:rPr>
          <w:rFonts w:ascii="Times New Roman" w:hAnsi="Times New Roman" w:cs="Times New Roman"/>
          <w:sz w:val="24"/>
          <w:lang w:val="en-US"/>
        </w:rPr>
      </w:pPr>
    </w:p>
    <w:p w14:paraId="13D0C3B3" w14:textId="77777777" w:rsidR="00702453" w:rsidRPr="003E7EE5" w:rsidRDefault="00702453" w:rsidP="00727A72">
      <w:pPr>
        <w:pStyle w:val="ListParagraph"/>
        <w:spacing w:after="0" w:line="480" w:lineRule="auto"/>
        <w:ind w:left="0"/>
        <w:outlineLvl w:val="0"/>
        <w:rPr>
          <w:rFonts w:ascii="Times New Roman" w:hAnsi="Times New Roman" w:cs="Times New Roman"/>
          <w:sz w:val="24"/>
          <w:lang w:val="en-US"/>
        </w:rPr>
      </w:pPr>
    </w:p>
    <w:p w14:paraId="5C4CE600" w14:textId="77777777" w:rsidR="00AE0EF2" w:rsidRPr="003E7EE5" w:rsidRDefault="00AE0EF2" w:rsidP="00727A72">
      <w:pPr>
        <w:pStyle w:val="ListParagraph"/>
        <w:spacing w:after="0" w:line="480" w:lineRule="auto"/>
        <w:ind w:left="0"/>
        <w:outlineLvl w:val="0"/>
        <w:rPr>
          <w:rFonts w:ascii="Times New Roman" w:hAnsi="Times New Roman" w:cs="Times New Roman"/>
          <w:sz w:val="24"/>
          <w:lang w:val="en-US"/>
        </w:rPr>
      </w:pPr>
    </w:p>
    <w:p w14:paraId="76B24521" w14:textId="77777777" w:rsidR="008C1931" w:rsidRPr="003E7EE5" w:rsidRDefault="008C1931" w:rsidP="00727A72">
      <w:pPr>
        <w:pStyle w:val="ListParagraph"/>
        <w:spacing w:after="0" w:line="480" w:lineRule="auto"/>
        <w:ind w:left="0"/>
        <w:outlineLvl w:val="0"/>
        <w:rPr>
          <w:rFonts w:ascii="Times New Roman" w:hAnsi="Times New Roman" w:cs="Times New Roman"/>
          <w:sz w:val="24"/>
          <w:lang w:val="en-US"/>
        </w:rPr>
      </w:pPr>
    </w:p>
    <w:p w14:paraId="4790392D" w14:textId="77777777" w:rsidR="00617A5D" w:rsidRPr="003E7EE5" w:rsidRDefault="00617A5D">
      <w:pPr>
        <w:rPr>
          <w:b/>
          <w:sz w:val="28"/>
          <w:szCs w:val="28"/>
        </w:rPr>
      </w:pPr>
      <w:r w:rsidRPr="003E7EE5">
        <w:rPr>
          <w:b/>
          <w:sz w:val="28"/>
          <w:szCs w:val="28"/>
        </w:rPr>
        <w:br w:type="page"/>
      </w:r>
    </w:p>
    <w:p w14:paraId="430D769D" w14:textId="1527CC44" w:rsidR="00BC0EA0" w:rsidRPr="003E7EE5" w:rsidRDefault="009A17C0" w:rsidP="005E1791">
      <w:pPr>
        <w:spacing w:line="480" w:lineRule="auto"/>
        <w:outlineLvl w:val="0"/>
        <w:rPr>
          <w:b/>
          <w:szCs w:val="21"/>
        </w:rPr>
      </w:pPr>
      <w:r w:rsidRPr="003E7EE5">
        <w:rPr>
          <w:b/>
          <w:szCs w:val="21"/>
        </w:rPr>
        <w:lastRenderedPageBreak/>
        <w:t>Introduction</w:t>
      </w:r>
    </w:p>
    <w:p w14:paraId="792F066B" w14:textId="1DBEA68C" w:rsidR="00E049E4" w:rsidRPr="003E7EE5" w:rsidRDefault="004D0082" w:rsidP="004B1CD0">
      <w:pPr>
        <w:spacing w:line="480" w:lineRule="auto"/>
      </w:pPr>
      <w:r w:rsidRPr="003E7EE5">
        <w:t xml:space="preserve">The </w:t>
      </w:r>
      <w:r w:rsidR="006C216D" w:rsidRPr="003E7EE5">
        <w:t>climate crisi</w:t>
      </w:r>
      <w:r w:rsidR="00DE5E42" w:rsidRPr="003E7EE5">
        <w:t>s</w:t>
      </w:r>
      <w:r w:rsidR="00CE3E85" w:rsidRPr="003E7EE5">
        <w:t xml:space="preserve">, </w:t>
      </w:r>
      <w:r w:rsidR="00575D14" w:rsidRPr="003E7EE5">
        <w:t xml:space="preserve">the </w:t>
      </w:r>
      <w:r w:rsidR="000C5571" w:rsidRPr="003E7EE5">
        <w:t>COVID-19</w:t>
      </w:r>
      <w:r w:rsidR="00CE3E85" w:rsidRPr="003E7EE5">
        <w:t xml:space="preserve"> pandemic</w:t>
      </w:r>
      <w:r w:rsidR="00112F3A" w:rsidRPr="003E7EE5">
        <w:t xml:space="preserve">, and </w:t>
      </w:r>
      <w:r w:rsidR="00575D14" w:rsidRPr="003E7EE5">
        <w:t xml:space="preserve">the ongoing </w:t>
      </w:r>
      <w:r w:rsidR="00112F3A" w:rsidRPr="003E7EE5">
        <w:t xml:space="preserve">inflation crisis </w:t>
      </w:r>
      <w:r w:rsidR="00617A5D" w:rsidRPr="001D621D">
        <w:t>due to</w:t>
      </w:r>
      <w:r w:rsidR="00112F3A" w:rsidRPr="001D621D">
        <w:t xml:space="preserve"> the </w:t>
      </w:r>
      <w:r w:rsidR="000F191D" w:rsidRPr="001D621D">
        <w:t xml:space="preserve">recent conflicts in Ukraine and </w:t>
      </w:r>
      <w:r w:rsidR="001D621D" w:rsidRPr="001D621D">
        <w:t>Middle East</w:t>
      </w:r>
      <w:r w:rsidR="00112F3A" w:rsidRPr="001D621D">
        <w:t xml:space="preserve"> </w:t>
      </w:r>
      <w:r w:rsidR="00DE5E42" w:rsidRPr="001D621D">
        <w:t xml:space="preserve">have </w:t>
      </w:r>
      <w:r w:rsidR="00112F3A" w:rsidRPr="001D621D">
        <w:t>created</w:t>
      </w:r>
      <w:r w:rsidR="00DE5E42" w:rsidRPr="001D621D">
        <w:t xml:space="preserve"> of a </w:t>
      </w:r>
      <w:r w:rsidR="00B24CB4" w:rsidRPr="001D621D">
        <w:t>pro</w:t>
      </w:r>
      <w:r w:rsidR="00DE5E42" w:rsidRPr="001D621D">
        <w:t>long</w:t>
      </w:r>
      <w:r w:rsidR="00B24CB4" w:rsidRPr="001D621D">
        <w:t>ed</w:t>
      </w:r>
      <w:r w:rsidR="00DE5E42" w:rsidRPr="001D621D">
        <w:t xml:space="preserve"> period of uncertainty</w:t>
      </w:r>
      <w:r w:rsidR="00B24CB4" w:rsidRPr="001D621D">
        <w:t>. In this</w:t>
      </w:r>
      <w:r w:rsidR="00DE5E42" w:rsidRPr="001D621D">
        <w:t xml:space="preserve"> </w:t>
      </w:r>
      <w:r w:rsidR="00112F3A" w:rsidRPr="001D621D">
        <w:t>“</w:t>
      </w:r>
      <w:r w:rsidR="009A6453" w:rsidRPr="001D621D">
        <w:t>new normal</w:t>
      </w:r>
      <w:r w:rsidR="00112F3A" w:rsidRPr="001D621D">
        <w:t>”</w:t>
      </w:r>
      <w:r w:rsidR="005D2F06" w:rsidRPr="001D621D">
        <w:t>,</w:t>
      </w:r>
      <w:r w:rsidR="009A6453" w:rsidRPr="001D621D">
        <w:t xml:space="preserve"> </w:t>
      </w:r>
      <w:r w:rsidR="00B24CB4" w:rsidRPr="001D621D">
        <w:t>f</w:t>
      </w:r>
      <w:r w:rsidR="00E42363" w:rsidRPr="001D621D">
        <w:t xml:space="preserve">irms </w:t>
      </w:r>
      <w:r w:rsidR="00617A5D" w:rsidRPr="001D621D">
        <w:t xml:space="preserve">are </w:t>
      </w:r>
      <w:r w:rsidR="00201AEC" w:rsidRPr="001D621D">
        <w:t>increasingly fac</w:t>
      </w:r>
      <w:r w:rsidR="00617A5D" w:rsidRPr="001D621D">
        <w:t>ing</w:t>
      </w:r>
      <w:r w:rsidR="00201AEC" w:rsidRPr="001D621D">
        <w:t xml:space="preserve"> the challenge of </w:t>
      </w:r>
      <w:r w:rsidR="00E42363" w:rsidRPr="001D621D">
        <w:t>identif</w:t>
      </w:r>
      <w:r w:rsidR="00201AEC" w:rsidRPr="001D621D">
        <w:t>ying</w:t>
      </w:r>
      <w:r w:rsidR="00E42363" w:rsidRPr="001D621D">
        <w:t xml:space="preserve"> optimal strategies that enable them to enhance </w:t>
      </w:r>
      <w:r w:rsidR="00737CD8" w:rsidRPr="001D621D">
        <w:t>cost</w:t>
      </w:r>
      <w:r w:rsidR="006D0D47" w:rsidRPr="001D621D">
        <w:t>-</w:t>
      </w:r>
      <w:r w:rsidR="00E42363" w:rsidRPr="001D621D">
        <w:t>efficiency</w:t>
      </w:r>
      <w:r w:rsidR="00737CD8" w:rsidRPr="001D621D">
        <w:t xml:space="preserve"> and </w:t>
      </w:r>
      <w:r w:rsidR="00E42363" w:rsidRPr="001D621D">
        <w:t xml:space="preserve">adapt to </w:t>
      </w:r>
      <w:r w:rsidR="005E29EB" w:rsidRPr="001D621D">
        <w:t>environmental disruptions</w:t>
      </w:r>
      <w:r w:rsidR="00E42363" w:rsidRPr="001D621D">
        <w:t xml:space="preserve"> </w:t>
      </w:r>
      <w:r w:rsidR="00737CD8" w:rsidRPr="001D621D">
        <w:t>while remaining</w:t>
      </w:r>
      <w:r w:rsidR="00E42363" w:rsidRPr="001D621D">
        <w:t xml:space="preserve"> resilient </w:t>
      </w:r>
      <w:r w:rsidR="00737CD8" w:rsidRPr="001D621D">
        <w:rPr>
          <w:color w:val="000000" w:themeColor="text1"/>
        </w:rPr>
        <w:t xml:space="preserve">and creating value through </w:t>
      </w:r>
      <w:r w:rsidRPr="001D621D">
        <w:rPr>
          <w:color w:val="000000" w:themeColor="text1"/>
        </w:rPr>
        <w:t xml:space="preserve">environmentally </w:t>
      </w:r>
      <w:r w:rsidR="00112F3A" w:rsidRPr="001D621D">
        <w:rPr>
          <w:color w:val="000000" w:themeColor="text1"/>
        </w:rPr>
        <w:t>sustainable business practices</w:t>
      </w:r>
      <w:r w:rsidR="00737CD8" w:rsidRPr="001D621D">
        <w:rPr>
          <w:color w:val="000000" w:themeColor="text1"/>
        </w:rPr>
        <w:t xml:space="preserve"> </w:t>
      </w:r>
      <w:r w:rsidR="00737CD8" w:rsidRPr="001D621D">
        <w:t xml:space="preserve">(McKinsey </w:t>
      </w:r>
      <w:r w:rsidR="0043222C" w:rsidRPr="001D621D">
        <w:t>&amp;</w:t>
      </w:r>
      <w:r w:rsidR="00737CD8" w:rsidRPr="001D621D">
        <w:t xml:space="preserve"> Company, 2022).</w:t>
      </w:r>
      <w:r w:rsidR="00E42363" w:rsidRPr="001D621D">
        <w:rPr>
          <w:color w:val="000000" w:themeColor="text1"/>
        </w:rPr>
        <w:t xml:space="preserve"> </w:t>
      </w:r>
      <w:r w:rsidR="00112F3A" w:rsidRPr="001D621D">
        <w:rPr>
          <w:color w:val="000000" w:themeColor="text1"/>
        </w:rPr>
        <w:t>In this ever</w:t>
      </w:r>
      <w:r w:rsidR="006D0D47" w:rsidRPr="001D621D">
        <w:rPr>
          <w:color w:val="000000" w:themeColor="text1"/>
        </w:rPr>
        <w:t>-</w:t>
      </w:r>
      <w:r w:rsidR="00112F3A" w:rsidRPr="001D621D">
        <w:rPr>
          <w:color w:val="000000" w:themeColor="text1"/>
        </w:rPr>
        <w:t>evolving crisis context, firms</w:t>
      </w:r>
      <w:r w:rsidR="00E42363" w:rsidRPr="001D621D">
        <w:t xml:space="preserve"> </w:t>
      </w:r>
      <w:r w:rsidR="006D0D47" w:rsidRPr="001D621D">
        <w:t xml:space="preserve">are </w:t>
      </w:r>
      <w:r w:rsidR="00E42363" w:rsidRPr="001D621D">
        <w:t>striv</w:t>
      </w:r>
      <w:r w:rsidR="006D0D47" w:rsidRPr="001D621D">
        <w:t>ing</w:t>
      </w:r>
      <w:r w:rsidR="00E42363" w:rsidRPr="001D621D">
        <w:t xml:space="preserve"> to </w:t>
      </w:r>
      <w:r w:rsidR="00703B2B" w:rsidRPr="001D621D">
        <w:t xml:space="preserve">find the right balance between meeting their commitments to </w:t>
      </w:r>
      <w:r w:rsidR="00E42363" w:rsidRPr="001D621D">
        <w:t xml:space="preserve">corporate sustainability </w:t>
      </w:r>
      <w:r w:rsidR="00703B2B" w:rsidRPr="001D621D">
        <w:t>and</w:t>
      </w:r>
      <w:r w:rsidR="00112F3A" w:rsidRPr="001D621D">
        <w:t xml:space="preserve"> safeguarding </w:t>
      </w:r>
      <w:r w:rsidR="00DE5E42" w:rsidRPr="001D621D">
        <w:t xml:space="preserve">their </w:t>
      </w:r>
      <w:r w:rsidR="00703B2B" w:rsidRPr="001D621D">
        <w:t xml:space="preserve">financial </w:t>
      </w:r>
      <w:r w:rsidR="00DE5E42" w:rsidRPr="001D621D">
        <w:t xml:space="preserve">performance in the long run (Ioannou </w:t>
      </w:r>
      <w:r w:rsidR="007E71B6" w:rsidRPr="001D621D">
        <w:t>and</w:t>
      </w:r>
      <w:r w:rsidR="007E5E4D" w:rsidRPr="001D621D">
        <w:t xml:space="preserve"> </w:t>
      </w:r>
      <w:proofErr w:type="spellStart"/>
      <w:r w:rsidR="00DE5E42" w:rsidRPr="001D621D">
        <w:t>Serafeim</w:t>
      </w:r>
      <w:proofErr w:type="spellEnd"/>
      <w:r w:rsidR="00DE5E42" w:rsidRPr="001D621D">
        <w:t>, 2019)</w:t>
      </w:r>
      <w:r w:rsidR="00E42363" w:rsidRPr="001D621D">
        <w:t xml:space="preserve">. </w:t>
      </w:r>
      <w:r w:rsidR="000F191D" w:rsidRPr="001D621D">
        <w:t xml:space="preserve">The present study aims to examine the impact of green marketing strategy (GMS) </w:t>
      </w:r>
      <w:r w:rsidR="000F191D" w:rsidRPr="001D621D">
        <w:rPr>
          <w:color w:val="000000" w:themeColor="text1"/>
          <w:szCs w:val="26"/>
        </w:rPr>
        <w:t xml:space="preserve">and firms’ decision to invest in or divest from green marketing activities during a long period of </w:t>
      </w:r>
      <w:proofErr w:type="spellStart"/>
      <w:r w:rsidR="000F191D" w:rsidRPr="001D621D">
        <w:rPr>
          <w:color w:val="000000" w:themeColor="text1"/>
          <w:szCs w:val="26"/>
        </w:rPr>
        <w:t>uncertanty</w:t>
      </w:r>
      <w:proofErr w:type="spellEnd"/>
      <w:r w:rsidR="000F191D" w:rsidRPr="001D621D">
        <w:rPr>
          <w:color w:val="000000" w:themeColor="text1"/>
          <w:szCs w:val="26"/>
        </w:rPr>
        <w:t>.</w:t>
      </w:r>
    </w:p>
    <w:p w14:paraId="092C8853" w14:textId="28A0694B" w:rsidR="00A946E6" w:rsidRPr="003E7EE5" w:rsidRDefault="00112F3A" w:rsidP="00902AC0">
      <w:pPr>
        <w:spacing w:line="480" w:lineRule="auto"/>
        <w:ind w:firstLine="720"/>
      </w:pPr>
      <w:r w:rsidRPr="003E7EE5">
        <w:t xml:space="preserve">As economic crises exert pressures on </w:t>
      </w:r>
      <w:r w:rsidR="004D0082" w:rsidRPr="003E7EE5">
        <w:t>company budgets</w:t>
      </w:r>
      <w:r w:rsidR="00036489" w:rsidRPr="003E7EE5">
        <w:t xml:space="preserve">, firms </w:t>
      </w:r>
      <w:r w:rsidR="00C405C8">
        <w:t xml:space="preserve">put </w:t>
      </w:r>
      <w:r w:rsidR="00C405C8" w:rsidRPr="003E7EE5">
        <w:t>increas</w:t>
      </w:r>
      <w:r w:rsidR="00C405C8">
        <w:t>ed</w:t>
      </w:r>
      <w:r w:rsidR="00C405C8" w:rsidRPr="003E7EE5">
        <w:t xml:space="preserve"> scrutin</w:t>
      </w:r>
      <w:r w:rsidR="00C405C8">
        <w:t>y</w:t>
      </w:r>
      <w:r w:rsidR="00C405C8" w:rsidRPr="003E7EE5">
        <w:t xml:space="preserve"> </w:t>
      </w:r>
      <w:r w:rsidR="00C405C8">
        <w:t xml:space="preserve">on </w:t>
      </w:r>
      <w:r w:rsidRPr="003E7EE5">
        <w:t>sustai</w:t>
      </w:r>
      <w:r w:rsidR="001E312E" w:rsidRPr="003E7EE5">
        <w:t>nabi</w:t>
      </w:r>
      <w:r w:rsidRPr="003E7EE5">
        <w:t xml:space="preserve">lity and marketing investments </w:t>
      </w:r>
      <w:r w:rsidR="006002DD" w:rsidRPr="003E7EE5">
        <w:t>(</w:t>
      </w:r>
      <w:r w:rsidR="00415113" w:rsidRPr="003E7EE5">
        <w:t>e.g.,</w:t>
      </w:r>
      <w:r w:rsidR="006D690C" w:rsidRPr="003E7EE5">
        <w:t xml:space="preserve"> </w:t>
      </w:r>
      <w:r w:rsidR="00644286" w:rsidRPr="003E7EE5">
        <w:t xml:space="preserve">Bhattacharya </w:t>
      </w:r>
      <w:r w:rsidR="00644286" w:rsidRPr="003E7EE5">
        <w:rPr>
          <w:i/>
          <w:iCs/>
        </w:rPr>
        <w:t>et al.</w:t>
      </w:r>
      <w:r w:rsidR="006D0D47" w:rsidRPr="003E7EE5">
        <w:t>,</w:t>
      </w:r>
      <w:r w:rsidR="00644286" w:rsidRPr="003E7EE5">
        <w:t xml:space="preserve"> 2020</w:t>
      </w:r>
      <w:r w:rsidR="00415113" w:rsidRPr="003E7EE5">
        <w:t xml:space="preserve">; </w:t>
      </w:r>
      <w:proofErr w:type="spellStart"/>
      <w:r w:rsidR="00644286" w:rsidRPr="003E7EE5">
        <w:t>Lamey</w:t>
      </w:r>
      <w:proofErr w:type="spellEnd"/>
      <w:r w:rsidR="00644286" w:rsidRPr="003E7EE5">
        <w:t xml:space="preserve"> </w:t>
      </w:r>
      <w:r w:rsidR="00644286" w:rsidRPr="003E7EE5">
        <w:rPr>
          <w:i/>
          <w:iCs/>
        </w:rPr>
        <w:t>et al.</w:t>
      </w:r>
      <w:r w:rsidR="00644286" w:rsidRPr="005E1791">
        <w:t>,</w:t>
      </w:r>
      <w:r w:rsidR="00644286" w:rsidRPr="003E7EE5">
        <w:t xml:space="preserve"> 2007</w:t>
      </w:r>
      <w:r w:rsidR="00CA4BA2" w:rsidRPr="003E7EE5">
        <w:t>)</w:t>
      </w:r>
      <w:r w:rsidR="000B7EDB" w:rsidRPr="003E7EE5">
        <w:t>.</w:t>
      </w:r>
      <w:r w:rsidR="00E049E4" w:rsidRPr="003E7EE5">
        <w:t xml:space="preserve"> When economies, markets, and industries become stagnant, </w:t>
      </w:r>
      <w:r w:rsidR="00703B2B" w:rsidRPr="003E7EE5">
        <w:t xml:space="preserve">profit </w:t>
      </w:r>
      <w:r w:rsidR="00E049E4" w:rsidRPr="003E7EE5">
        <w:t xml:space="preserve">margins </w:t>
      </w:r>
      <w:r w:rsidR="00A82FEC" w:rsidRPr="003E7EE5">
        <w:t>get trimmed</w:t>
      </w:r>
      <w:r w:rsidR="00E049E4" w:rsidRPr="003E7EE5">
        <w:t xml:space="preserve">, and the cost of capital sharply rises, managers are often torn between focusing </w:t>
      </w:r>
      <w:r w:rsidR="00703B2B" w:rsidRPr="003E7EE5">
        <w:t xml:space="preserve">on </w:t>
      </w:r>
      <w:r w:rsidR="00E049E4" w:rsidRPr="003E7EE5">
        <w:t>their firm</w:t>
      </w:r>
      <w:r w:rsidR="006D0D47" w:rsidRPr="003E7EE5">
        <w:t>s’</w:t>
      </w:r>
      <w:r w:rsidR="00E049E4" w:rsidRPr="003E7EE5">
        <w:t xml:space="preserve"> economic survival </w:t>
      </w:r>
      <w:r w:rsidR="006D0D47" w:rsidRPr="003E7EE5">
        <w:t>and</w:t>
      </w:r>
      <w:r w:rsidR="00E049E4" w:rsidRPr="003E7EE5">
        <w:t xml:space="preserve"> prioritizing environmental sustainability </w:t>
      </w:r>
      <w:r w:rsidR="00A82FEC" w:rsidRPr="003E7EE5">
        <w:t>challenges</w:t>
      </w:r>
      <w:r w:rsidR="00E049E4" w:rsidRPr="003E7EE5">
        <w:t>.</w:t>
      </w:r>
      <w:r w:rsidR="000B7EDB" w:rsidRPr="003E7EE5">
        <w:t xml:space="preserve"> </w:t>
      </w:r>
      <w:r w:rsidR="00E049E4" w:rsidRPr="003E7EE5">
        <w:t>In this context, m</w:t>
      </w:r>
      <w:r w:rsidR="00B400A7" w:rsidRPr="003E7EE5">
        <w:t>anagers</w:t>
      </w:r>
      <w:r w:rsidR="00E42363" w:rsidRPr="003E7EE5">
        <w:t xml:space="preserve"> </w:t>
      </w:r>
      <w:r w:rsidR="006D0D47" w:rsidRPr="003E7EE5">
        <w:t>must</w:t>
      </w:r>
      <w:r w:rsidRPr="003E7EE5">
        <w:t xml:space="preserve"> </w:t>
      </w:r>
      <w:r w:rsidR="00600C37" w:rsidRPr="003E7EE5">
        <w:t xml:space="preserve">make hard </w:t>
      </w:r>
      <w:r w:rsidR="004D0082" w:rsidRPr="003E7EE5">
        <w:t xml:space="preserve">decisions </w:t>
      </w:r>
      <w:r w:rsidR="00CA4BA2" w:rsidRPr="003E7EE5">
        <w:t>among</w:t>
      </w:r>
      <w:r w:rsidR="00AB0678" w:rsidRPr="003E7EE5">
        <w:t xml:space="preserve"> </w:t>
      </w:r>
      <w:r w:rsidR="00E42363" w:rsidRPr="003E7EE5">
        <w:t>strategic alternatives</w:t>
      </w:r>
      <w:r w:rsidR="006D0D47" w:rsidRPr="003E7EE5">
        <w:t>,</w:t>
      </w:r>
      <w:r w:rsidR="00E42363" w:rsidRPr="003E7EE5">
        <w:t xml:space="preserve"> such as continuing </w:t>
      </w:r>
      <w:r w:rsidR="006D0D47" w:rsidRPr="003E7EE5">
        <w:t xml:space="preserve">to invest </w:t>
      </w:r>
      <w:r w:rsidR="00E42363" w:rsidRPr="003E7EE5">
        <w:t xml:space="preserve">resources </w:t>
      </w:r>
      <w:r w:rsidR="00DD7C30" w:rsidRPr="003E7EE5">
        <w:t>in sustainability and</w:t>
      </w:r>
      <w:r w:rsidR="004C70DA" w:rsidRPr="003E7EE5">
        <w:t xml:space="preserve"> </w:t>
      </w:r>
      <w:r w:rsidR="00E42363" w:rsidRPr="003E7EE5">
        <w:t xml:space="preserve">marketing, reallocating sustainability resources to alternative activities </w:t>
      </w:r>
      <w:r w:rsidR="006D0D47" w:rsidRPr="003E7EE5">
        <w:t>considered</w:t>
      </w:r>
      <w:r w:rsidR="00E42363" w:rsidRPr="003E7EE5">
        <w:t xml:space="preserve"> more efficient</w:t>
      </w:r>
      <w:r w:rsidR="006D0D47" w:rsidRPr="003E7EE5">
        <w:t>,</w:t>
      </w:r>
      <w:r w:rsidR="00E42363" w:rsidRPr="003E7EE5">
        <w:t xml:space="preserve"> o</w:t>
      </w:r>
      <w:r w:rsidR="00EF590E" w:rsidRPr="003E7EE5">
        <w:t xml:space="preserve">r cutting sustainability </w:t>
      </w:r>
      <w:r w:rsidR="00881EC0" w:rsidRPr="003E7EE5">
        <w:t xml:space="preserve">and marketing </w:t>
      </w:r>
      <w:r w:rsidR="00EF590E" w:rsidRPr="003E7EE5">
        <w:t>budget</w:t>
      </w:r>
      <w:r w:rsidR="00E42363" w:rsidRPr="003E7EE5">
        <w:t>s altogether f</w:t>
      </w:r>
      <w:r w:rsidR="00B400A7" w:rsidRPr="003E7EE5">
        <w:t>or the purpose of cost</w:t>
      </w:r>
      <w:r w:rsidR="00AB0678" w:rsidRPr="003E7EE5">
        <w:t xml:space="preserve"> rationalization</w:t>
      </w:r>
      <w:r w:rsidR="00B400A7" w:rsidRPr="003E7EE5">
        <w:t>.</w:t>
      </w:r>
      <w:r w:rsidR="00E049E4" w:rsidRPr="003E7EE5">
        <w:rPr>
          <w:color w:val="000000" w:themeColor="text1"/>
        </w:rPr>
        <w:t xml:space="preserve"> </w:t>
      </w:r>
      <w:r w:rsidR="00902AC0" w:rsidRPr="003E7EE5">
        <w:rPr>
          <w:color w:val="000000" w:themeColor="text1"/>
        </w:rPr>
        <w:t xml:space="preserve">Although </w:t>
      </w:r>
      <w:r w:rsidR="00337B62" w:rsidRPr="003E7EE5">
        <w:rPr>
          <w:color w:val="000000" w:themeColor="text1"/>
        </w:rPr>
        <w:t>empirical research has established the performance benefits of implementing</w:t>
      </w:r>
      <w:r w:rsidR="00902AC0" w:rsidRPr="003E7EE5">
        <w:rPr>
          <w:color w:val="000000" w:themeColor="text1"/>
        </w:rPr>
        <w:t xml:space="preserve"> GMS</w:t>
      </w:r>
      <w:r w:rsidR="006D0D47" w:rsidRPr="003E7EE5">
        <w:rPr>
          <w:color w:val="000000" w:themeColor="text1"/>
        </w:rPr>
        <w:t>s</w:t>
      </w:r>
      <w:r w:rsidR="00902AC0" w:rsidRPr="003E7EE5">
        <w:rPr>
          <w:color w:val="000000" w:themeColor="text1"/>
        </w:rPr>
        <w:t xml:space="preserve"> (e.g., </w:t>
      </w:r>
      <w:r w:rsidR="00BF1725" w:rsidRPr="003E7EE5">
        <w:rPr>
          <w:color w:val="000000" w:themeColor="text1"/>
        </w:rPr>
        <w:t>Leonidou</w:t>
      </w:r>
      <w:r w:rsidR="007E71B6" w:rsidRPr="003E7EE5">
        <w:rPr>
          <w:color w:val="000000" w:themeColor="text1"/>
        </w:rPr>
        <w:t xml:space="preserve"> </w:t>
      </w:r>
      <w:r w:rsidR="007E71B6" w:rsidRPr="003E7EE5">
        <w:rPr>
          <w:i/>
        </w:rPr>
        <w:t>et al.</w:t>
      </w:r>
      <w:r w:rsidR="007E71B6" w:rsidRPr="003E7EE5">
        <w:t>,</w:t>
      </w:r>
      <w:r w:rsidR="00BF1725" w:rsidRPr="003E7EE5">
        <w:rPr>
          <w:color w:val="000000" w:themeColor="text1"/>
        </w:rPr>
        <w:t xml:space="preserve"> 2013</w:t>
      </w:r>
      <w:r w:rsidR="00902AC0" w:rsidRPr="003E7EE5">
        <w:rPr>
          <w:color w:val="000000" w:themeColor="text1"/>
        </w:rPr>
        <w:t xml:space="preserve">), </w:t>
      </w:r>
      <w:r w:rsidR="00BF1725" w:rsidRPr="003E7EE5">
        <w:rPr>
          <w:color w:val="000000" w:themeColor="text1"/>
        </w:rPr>
        <w:t>whether</w:t>
      </w:r>
      <w:r w:rsidR="00A82FEC" w:rsidRPr="003E7EE5">
        <w:rPr>
          <w:color w:val="000000" w:themeColor="text1"/>
        </w:rPr>
        <w:t xml:space="preserve"> investing in</w:t>
      </w:r>
      <w:r w:rsidR="00BF1725" w:rsidRPr="003E7EE5">
        <w:rPr>
          <w:color w:val="000000" w:themeColor="text1"/>
        </w:rPr>
        <w:t xml:space="preserve"> </w:t>
      </w:r>
      <w:r w:rsidR="00692734" w:rsidRPr="003E7EE5">
        <w:rPr>
          <w:color w:val="000000" w:themeColor="text1"/>
        </w:rPr>
        <w:t xml:space="preserve">such strategies </w:t>
      </w:r>
      <w:r w:rsidR="00A82FEC" w:rsidRPr="003E7EE5">
        <w:t>under recessionary economic phases</w:t>
      </w:r>
      <w:r w:rsidR="00A82FEC" w:rsidRPr="003E7EE5">
        <w:rPr>
          <w:color w:val="000000" w:themeColor="text1"/>
        </w:rPr>
        <w:t xml:space="preserve"> </w:t>
      </w:r>
      <w:r w:rsidR="00692734" w:rsidRPr="003E7EE5">
        <w:rPr>
          <w:color w:val="000000" w:themeColor="text1"/>
        </w:rPr>
        <w:t>lead</w:t>
      </w:r>
      <w:r w:rsidR="00A82FEC" w:rsidRPr="003E7EE5">
        <w:rPr>
          <w:color w:val="000000" w:themeColor="text1"/>
        </w:rPr>
        <w:t>s</w:t>
      </w:r>
      <w:r w:rsidR="00692734" w:rsidRPr="003E7EE5">
        <w:rPr>
          <w:color w:val="000000" w:themeColor="text1"/>
        </w:rPr>
        <w:t xml:space="preserve"> to </w:t>
      </w:r>
      <w:r w:rsidR="00BF1725" w:rsidRPr="003E7EE5">
        <w:rPr>
          <w:color w:val="000000" w:themeColor="text1"/>
        </w:rPr>
        <w:t xml:space="preserve">positive </w:t>
      </w:r>
      <w:r w:rsidR="00360BAF" w:rsidRPr="003E7EE5">
        <w:rPr>
          <w:color w:val="000000" w:themeColor="text1"/>
        </w:rPr>
        <w:t xml:space="preserve">and enduring </w:t>
      </w:r>
      <w:r w:rsidR="00337B62" w:rsidRPr="003E7EE5">
        <w:t>business performance outcomes</w:t>
      </w:r>
      <w:r w:rsidR="006D0D47" w:rsidRPr="003E7EE5">
        <w:rPr>
          <w:color w:val="000000" w:themeColor="text1"/>
        </w:rPr>
        <w:t xml:space="preserve"> remains unclear</w:t>
      </w:r>
      <w:r w:rsidR="00902AC0" w:rsidRPr="003E7EE5">
        <w:t xml:space="preserve">. </w:t>
      </w:r>
      <w:r w:rsidR="005F2637" w:rsidRPr="003E7EE5">
        <w:t xml:space="preserve">The lack of </w:t>
      </w:r>
      <w:r w:rsidR="00A82FEC" w:rsidRPr="003E7EE5">
        <w:t xml:space="preserve">related </w:t>
      </w:r>
      <w:r w:rsidR="005F2637" w:rsidRPr="003E7EE5">
        <w:t xml:space="preserve">research </w:t>
      </w:r>
      <w:r w:rsidR="00902AC0" w:rsidRPr="003E7EE5">
        <w:t xml:space="preserve">leaves several questions unanswered: (1) What makes some firms more willing to </w:t>
      </w:r>
      <w:r w:rsidR="00902AC0" w:rsidRPr="003E7EE5">
        <w:lastRenderedPageBreak/>
        <w:t xml:space="preserve">pursue </w:t>
      </w:r>
      <w:r w:rsidR="006D0D47" w:rsidRPr="003E7EE5">
        <w:t>GMSs</w:t>
      </w:r>
      <w:r w:rsidR="00902AC0" w:rsidRPr="003E7EE5">
        <w:t xml:space="preserve"> during recessions? (2) Does pursuing </w:t>
      </w:r>
      <w:r w:rsidR="00D64479" w:rsidRPr="003E7EE5">
        <w:t>a GMS</w:t>
      </w:r>
      <w:r w:rsidR="00902AC0" w:rsidRPr="003E7EE5">
        <w:t xml:space="preserve"> help a firm overcome an economic crisis? (3) Does increasing financial investments in green strategy during crisis conditions pay off or should green marketing investments be contained during crisis to achieve cost rationalization? Finally, (4) does investing in </w:t>
      </w:r>
      <w:r w:rsidR="006D0D47" w:rsidRPr="003E7EE5">
        <w:t>GMSs</w:t>
      </w:r>
      <w:r w:rsidR="00902AC0" w:rsidRPr="003E7EE5">
        <w:t xml:space="preserve"> during recessionary times leave the firm better off in terms of performance in the long run and after the recession has subsided? </w:t>
      </w:r>
    </w:p>
    <w:p w14:paraId="0481220E" w14:textId="01F2B3D7" w:rsidR="00837E73" w:rsidRPr="003E7EE5" w:rsidRDefault="00781B6E" w:rsidP="004B4A3D">
      <w:pPr>
        <w:spacing w:line="480" w:lineRule="auto"/>
        <w:ind w:firstLine="720"/>
        <w:rPr>
          <w:color w:val="000000" w:themeColor="text1"/>
        </w:rPr>
      </w:pPr>
      <w:r w:rsidRPr="003E7EE5">
        <w:t>Drawing</w:t>
      </w:r>
      <w:r w:rsidR="003A1D94" w:rsidRPr="003E7EE5">
        <w:rPr>
          <w:color w:val="000000" w:themeColor="text1"/>
          <w:szCs w:val="26"/>
        </w:rPr>
        <w:t xml:space="preserve"> on </w:t>
      </w:r>
      <w:r w:rsidR="000F5CA1" w:rsidRPr="003E7EE5">
        <w:rPr>
          <w:color w:val="000000" w:themeColor="text1"/>
          <w:szCs w:val="26"/>
        </w:rPr>
        <w:t xml:space="preserve">the </w:t>
      </w:r>
      <w:r w:rsidR="00086180" w:rsidRPr="003E7EE5">
        <w:rPr>
          <w:color w:val="000000" w:themeColor="text1"/>
          <w:szCs w:val="26"/>
        </w:rPr>
        <w:t>natural resource</w:t>
      </w:r>
      <w:r w:rsidR="00B87A36" w:rsidRPr="003E7EE5">
        <w:rPr>
          <w:color w:val="000000" w:themeColor="text1"/>
          <w:szCs w:val="26"/>
        </w:rPr>
        <w:t>-</w:t>
      </w:r>
      <w:r w:rsidR="00086180" w:rsidRPr="003E7EE5">
        <w:rPr>
          <w:color w:val="000000" w:themeColor="text1"/>
          <w:szCs w:val="26"/>
        </w:rPr>
        <w:t xml:space="preserve">based view </w:t>
      </w:r>
      <w:r w:rsidR="00B87A36" w:rsidRPr="003E7EE5">
        <w:rPr>
          <w:color w:val="000000" w:themeColor="text1"/>
          <w:szCs w:val="26"/>
        </w:rPr>
        <w:t>(</w:t>
      </w:r>
      <w:r w:rsidR="003E7EE5" w:rsidRPr="003E7EE5">
        <w:rPr>
          <w:color w:val="000000" w:themeColor="text1"/>
        </w:rPr>
        <w:t xml:space="preserve">NRBV; </w:t>
      </w:r>
      <w:r w:rsidR="00B87A36" w:rsidRPr="003E7EE5">
        <w:rPr>
          <w:color w:val="000000" w:themeColor="text1"/>
          <w:szCs w:val="26"/>
        </w:rPr>
        <w:t>Hart</w:t>
      </w:r>
      <w:r w:rsidR="00FB61CE" w:rsidRPr="003E7EE5">
        <w:rPr>
          <w:color w:val="000000" w:themeColor="text1"/>
          <w:szCs w:val="26"/>
        </w:rPr>
        <w:t>,</w:t>
      </w:r>
      <w:r w:rsidR="00B87A36" w:rsidRPr="003E7EE5">
        <w:rPr>
          <w:color w:val="000000" w:themeColor="text1"/>
          <w:szCs w:val="26"/>
        </w:rPr>
        <w:t xml:space="preserve"> 1995</w:t>
      </w:r>
      <w:r w:rsidR="00022903" w:rsidRPr="003E7EE5">
        <w:rPr>
          <w:color w:val="000000" w:themeColor="text1"/>
          <w:szCs w:val="26"/>
        </w:rPr>
        <w:t>)</w:t>
      </w:r>
      <w:r w:rsidRPr="003E7EE5">
        <w:rPr>
          <w:color w:val="000000" w:themeColor="text1"/>
          <w:szCs w:val="26"/>
        </w:rPr>
        <w:t xml:space="preserve"> and </w:t>
      </w:r>
      <w:r w:rsidR="00E049E4" w:rsidRPr="003E7EE5">
        <w:rPr>
          <w:color w:val="000000" w:themeColor="text1"/>
          <w:szCs w:val="26"/>
        </w:rPr>
        <w:t>contingency theory (</w:t>
      </w:r>
      <w:r w:rsidR="004B44B9" w:rsidRPr="003E7EE5">
        <w:rPr>
          <w:iCs/>
          <w:color w:val="000000" w:themeColor="text1"/>
          <w:szCs w:val="22"/>
        </w:rPr>
        <w:t>Lawrence and Lorsch, 1969</w:t>
      </w:r>
      <w:r w:rsidR="00E049E4" w:rsidRPr="003E7EE5">
        <w:rPr>
          <w:color w:val="000000" w:themeColor="text1"/>
          <w:szCs w:val="26"/>
        </w:rPr>
        <w:t>)</w:t>
      </w:r>
      <w:r w:rsidR="00871E81" w:rsidRPr="003E7EE5">
        <w:rPr>
          <w:color w:val="000000" w:themeColor="text1"/>
          <w:szCs w:val="26"/>
        </w:rPr>
        <w:t xml:space="preserve">, </w:t>
      </w:r>
      <w:r w:rsidR="00472E16" w:rsidRPr="003E7EE5">
        <w:rPr>
          <w:color w:val="000000" w:themeColor="text1"/>
        </w:rPr>
        <w:t>we develop</w:t>
      </w:r>
      <w:r w:rsidR="00837E73" w:rsidRPr="003E7EE5">
        <w:rPr>
          <w:color w:val="000000" w:themeColor="text1"/>
        </w:rPr>
        <w:t xml:space="preserve"> a </w:t>
      </w:r>
      <w:r w:rsidR="0081083C" w:rsidRPr="003E7EE5">
        <w:rPr>
          <w:color w:val="000000" w:themeColor="text1"/>
        </w:rPr>
        <w:t xml:space="preserve">conceptual </w:t>
      </w:r>
      <w:r w:rsidR="00837E73" w:rsidRPr="003E7EE5">
        <w:rPr>
          <w:color w:val="000000" w:themeColor="text1"/>
        </w:rPr>
        <w:t xml:space="preserve">model </w:t>
      </w:r>
      <w:r w:rsidR="00C466C3">
        <w:rPr>
          <w:color w:val="000000" w:themeColor="text1"/>
        </w:rPr>
        <w:t xml:space="preserve">(see Figure 1) </w:t>
      </w:r>
      <w:r w:rsidR="0081083C" w:rsidRPr="003E7EE5">
        <w:rPr>
          <w:color w:val="000000" w:themeColor="text1"/>
        </w:rPr>
        <w:t xml:space="preserve">that links </w:t>
      </w:r>
      <w:r w:rsidR="001F5270" w:rsidRPr="003E7EE5">
        <w:rPr>
          <w:color w:val="000000" w:themeColor="text1"/>
        </w:rPr>
        <w:t>GMS</w:t>
      </w:r>
      <w:r w:rsidR="00837E73" w:rsidRPr="003E7EE5">
        <w:rPr>
          <w:color w:val="000000" w:themeColor="text1"/>
        </w:rPr>
        <w:t xml:space="preserve"> and green marketing investments during a recession with short-</w:t>
      </w:r>
      <w:r w:rsidR="000E5881" w:rsidRPr="003E7EE5">
        <w:rPr>
          <w:color w:val="000000" w:themeColor="text1"/>
        </w:rPr>
        <w:t>term</w:t>
      </w:r>
      <w:r w:rsidR="00837E73" w:rsidRPr="003E7EE5">
        <w:rPr>
          <w:color w:val="000000" w:themeColor="text1"/>
        </w:rPr>
        <w:t xml:space="preserve"> </w:t>
      </w:r>
      <w:r w:rsidR="0081083C" w:rsidRPr="003E7EE5">
        <w:rPr>
          <w:color w:val="000000" w:themeColor="text1"/>
        </w:rPr>
        <w:t xml:space="preserve">(during crisis) </w:t>
      </w:r>
      <w:r w:rsidR="00837E73" w:rsidRPr="003E7EE5">
        <w:rPr>
          <w:color w:val="000000" w:themeColor="text1"/>
        </w:rPr>
        <w:t>and long</w:t>
      </w:r>
      <w:r w:rsidR="00360BAF" w:rsidRPr="003E7EE5">
        <w:rPr>
          <w:color w:val="000000" w:themeColor="text1"/>
        </w:rPr>
        <w:t>-</w:t>
      </w:r>
      <w:r w:rsidR="000E5881" w:rsidRPr="003E7EE5">
        <w:rPr>
          <w:color w:val="000000" w:themeColor="text1"/>
        </w:rPr>
        <w:t xml:space="preserve">term </w:t>
      </w:r>
      <w:r w:rsidR="0081083C" w:rsidRPr="003E7EE5">
        <w:rPr>
          <w:color w:val="000000" w:themeColor="text1"/>
        </w:rPr>
        <w:t>(</w:t>
      </w:r>
      <w:r w:rsidR="006D0D47" w:rsidRPr="003E7EE5">
        <w:rPr>
          <w:color w:val="000000" w:themeColor="text1"/>
        </w:rPr>
        <w:t xml:space="preserve">after </w:t>
      </w:r>
      <w:r w:rsidR="0081083C" w:rsidRPr="003E7EE5">
        <w:rPr>
          <w:color w:val="000000" w:themeColor="text1"/>
        </w:rPr>
        <w:t xml:space="preserve">crisis) </w:t>
      </w:r>
      <w:r w:rsidR="000E5881" w:rsidRPr="003E7EE5">
        <w:rPr>
          <w:color w:val="000000" w:themeColor="text1"/>
        </w:rPr>
        <w:t>performance outcomes</w:t>
      </w:r>
      <w:r w:rsidR="00837E73" w:rsidRPr="003E7EE5">
        <w:rPr>
          <w:color w:val="000000" w:themeColor="text1"/>
        </w:rPr>
        <w:t>.</w:t>
      </w:r>
      <w:r w:rsidR="00794F43" w:rsidRPr="003E7EE5">
        <w:rPr>
          <w:color w:val="000000" w:themeColor="text1"/>
        </w:rPr>
        <w:t xml:space="preserve"> </w:t>
      </w:r>
      <w:r w:rsidR="0081083C" w:rsidRPr="003E7EE5">
        <w:rPr>
          <w:color w:val="000000" w:themeColor="text1"/>
        </w:rPr>
        <w:t xml:space="preserve">We also examine the factors that build a firm’s commitment to </w:t>
      </w:r>
      <w:r w:rsidR="006D0D47" w:rsidRPr="003E7EE5">
        <w:rPr>
          <w:color w:val="000000" w:themeColor="text1"/>
        </w:rPr>
        <w:t>GMSs</w:t>
      </w:r>
      <w:r w:rsidR="0081083C" w:rsidRPr="003E7EE5">
        <w:rPr>
          <w:color w:val="000000" w:themeColor="text1"/>
        </w:rPr>
        <w:t xml:space="preserve"> during recessionary periods. </w:t>
      </w:r>
      <w:r w:rsidR="00837E73" w:rsidRPr="003E7EE5">
        <w:rPr>
          <w:color w:val="000000" w:themeColor="text1"/>
        </w:rPr>
        <w:t>We empirically test our model using su</w:t>
      </w:r>
      <w:r w:rsidR="00712561" w:rsidRPr="003E7EE5">
        <w:rPr>
          <w:color w:val="000000" w:themeColor="text1"/>
        </w:rPr>
        <w:t>r</w:t>
      </w:r>
      <w:r w:rsidR="00837E73" w:rsidRPr="003E7EE5">
        <w:rPr>
          <w:color w:val="000000" w:themeColor="text1"/>
        </w:rPr>
        <w:t xml:space="preserve">vey-based data </w:t>
      </w:r>
      <w:r w:rsidR="009A08B5" w:rsidRPr="003E7EE5">
        <w:rPr>
          <w:color w:val="000000" w:themeColor="text1"/>
        </w:rPr>
        <w:t xml:space="preserve">collected </w:t>
      </w:r>
      <w:r w:rsidR="00837E73" w:rsidRPr="003E7EE5">
        <w:rPr>
          <w:color w:val="000000" w:themeColor="text1"/>
        </w:rPr>
        <w:t xml:space="preserve">from </w:t>
      </w:r>
      <w:r w:rsidR="00D64479" w:rsidRPr="003E7EE5">
        <w:rPr>
          <w:color w:val="000000" w:themeColor="text1"/>
        </w:rPr>
        <w:t>managers of</w:t>
      </w:r>
      <w:r w:rsidR="00837E73" w:rsidRPr="003E7EE5">
        <w:rPr>
          <w:color w:val="000000" w:themeColor="text1"/>
        </w:rPr>
        <w:t xml:space="preserve"> Greek firms </w:t>
      </w:r>
      <w:r w:rsidR="009A08B5" w:rsidRPr="003E7EE5">
        <w:rPr>
          <w:color w:val="000000" w:themeColor="text1"/>
        </w:rPr>
        <w:t>during</w:t>
      </w:r>
      <w:r w:rsidR="00837E73" w:rsidRPr="003E7EE5">
        <w:rPr>
          <w:color w:val="000000" w:themeColor="text1"/>
        </w:rPr>
        <w:t xml:space="preserve"> the</w:t>
      </w:r>
      <w:r w:rsidR="00667DF0" w:rsidRPr="003E7EE5">
        <w:rPr>
          <w:color w:val="000000" w:themeColor="text1"/>
        </w:rPr>
        <w:t xml:space="preserve"> </w:t>
      </w:r>
      <w:r w:rsidR="006D0D47" w:rsidRPr="003E7EE5">
        <w:rPr>
          <w:color w:val="000000" w:themeColor="text1"/>
        </w:rPr>
        <w:t xml:space="preserve">2015 </w:t>
      </w:r>
      <w:r w:rsidR="00837E73" w:rsidRPr="003E7EE5">
        <w:rPr>
          <w:color w:val="000000" w:themeColor="text1"/>
        </w:rPr>
        <w:t>Eurozone crisis</w:t>
      </w:r>
      <w:r w:rsidR="00667DF0" w:rsidRPr="003E7EE5">
        <w:rPr>
          <w:color w:val="000000" w:themeColor="text1"/>
        </w:rPr>
        <w:t xml:space="preserve"> </w:t>
      </w:r>
      <w:r w:rsidR="00837E73" w:rsidRPr="003E7EE5">
        <w:rPr>
          <w:color w:val="000000" w:themeColor="text1"/>
        </w:rPr>
        <w:t xml:space="preserve">and objective performance metrics obtained for a subset of these firms </w:t>
      </w:r>
      <w:r w:rsidR="009A08B5" w:rsidRPr="003E7EE5">
        <w:rPr>
          <w:color w:val="000000" w:themeColor="text1"/>
        </w:rPr>
        <w:t xml:space="preserve">four years </w:t>
      </w:r>
      <w:r w:rsidR="00837E73" w:rsidRPr="003E7EE5">
        <w:rPr>
          <w:color w:val="000000" w:themeColor="text1"/>
        </w:rPr>
        <w:t xml:space="preserve">after the </w:t>
      </w:r>
      <w:r w:rsidR="00712561" w:rsidRPr="003E7EE5">
        <w:rPr>
          <w:color w:val="000000" w:themeColor="text1"/>
        </w:rPr>
        <w:t xml:space="preserve">peak of the </w:t>
      </w:r>
      <w:r w:rsidR="00837E73" w:rsidRPr="003E7EE5">
        <w:rPr>
          <w:color w:val="000000" w:themeColor="text1"/>
        </w:rPr>
        <w:t>crisis</w:t>
      </w:r>
      <w:r w:rsidR="00D64479" w:rsidRPr="003E7EE5">
        <w:rPr>
          <w:color w:val="000000" w:themeColor="text1"/>
        </w:rPr>
        <w:t xml:space="preserve">. </w:t>
      </w:r>
      <w:r w:rsidR="00837E73" w:rsidRPr="003E7EE5">
        <w:rPr>
          <w:color w:val="000000" w:themeColor="text1"/>
        </w:rPr>
        <w:t xml:space="preserve">The </w:t>
      </w:r>
      <w:r w:rsidR="006D0D47" w:rsidRPr="003E7EE5">
        <w:rPr>
          <w:color w:val="000000" w:themeColor="text1"/>
        </w:rPr>
        <w:t>findings</w:t>
      </w:r>
      <w:r w:rsidR="00837E73" w:rsidRPr="003E7EE5">
        <w:rPr>
          <w:color w:val="000000" w:themeColor="text1"/>
        </w:rPr>
        <w:t xml:space="preserve"> highlight </w:t>
      </w:r>
      <w:r w:rsidR="00B738C7" w:rsidRPr="003E7EE5">
        <w:rPr>
          <w:color w:val="000000" w:themeColor="text1"/>
        </w:rPr>
        <w:t>(1) the role of corporate sustainability and stakeholder pressures as</w:t>
      </w:r>
      <w:r w:rsidR="009A08B5" w:rsidRPr="003E7EE5">
        <w:rPr>
          <w:color w:val="000000" w:themeColor="text1"/>
        </w:rPr>
        <w:t xml:space="preserve"> intrinsic and extrinsic</w:t>
      </w:r>
      <w:r w:rsidR="00B738C7" w:rsidRPr="003E7EE5">
        <w:rPr>
          <w:color w:val="000000" w:themeColor="text1"/>
        </w:rPr>
        <w:t xml:space="preserve"> drivers of a firm’s commitment to GMS, (2) </w:t>
      </w:r>
      <w:r w:rsidR="00837E73" w:rsidRPr="003E7EE5">
        <w:rPr>
          <w:color w:val="000000" w:themeColor="text1"/>
        </w:rPr>
        <w:t xml:space="preserve">the positive effects of </w:t>
      </w:r>
      <w:r w:rsidR="001F5270" w:rsidRPr="003E7EE5">
        <w:rPr>
          <w:color w:val="000000" w:themeColor="text1"/>
        </w:rPr>
        <w:t>GMS</w:t>
      </w:r>
      <w:r w:rsidR="00837E73" w:rsidRPr="003E7EE5">
        <w:rPr>
          <w:color w:val="000000" w:themeColor="text1"/>
        </w:rPr>
        <w:t xml:space="preserve"> on the firm’s ability to overcome a </w:t>
      </w:r>
      <w:r w:rsidR="009A08B5" w:rsidRPr="003E7EE5">
        <w:rPr>
          <w:color w:val="000000" w:themeColor="text1"/>
        </w:rPr>
        <w:t xml:space="preserve">crisis, </w:t>
      </w:r>
      <w:r w:rsidR="00B738C7" w:rsidRPr="003E7EE5">
        <w:rPr>
          <w:color w:val="000000" w:themeColor="text1"/>
        </w:rPr>
        <w:t xml:space="preserve">and (3) </w:t>
      </w:r>
      <w:r w:rsidR="00837E73" w:rsidRPr="003E7EE5">
        <w:rPr>
          <w:color w:val="000000" w:themeColor="text1"/>
        </w:rPr>
        <w:t>the positive, long-term effects of increasing investments in green marketing during recessions.</w:t>
      </w:r>
      <w:r w:rsidR="0081083C" w:rsidRPr="003E7EE5">
        <w:rPr>
          <w:color w:val="000000" w:themeColor="text1"/>
        </w:rPr>
        <w:t xml:space="preserve"> </w:t>
      </w:r>
    </w:p>
    <w:p w14:paraId="11CCA68F" w14:textId="074EFE67" w:rsidR="00C43AA8" w:rsidRPr="003E7EE5" w:rsidRDefault="00837E73" w:rsidP="001073B7">
      <w:pPr>
        <w:spacing w:line="480" w:lineRule="auto"/>
        <w:ind w:firstLine="720"/>
        <w:rPr>
          <w:szCs w:val="26"/>
        </w:rPr>
      </w:pPr>
      <w:r w:rsidRPr="003E7EE5">
        <w:rPr>
          <w:color w:val="000000" w:themeColor="text1"/>
          <w:szCs w:val="26"/>
        </w:rPr>
        <w:t>Our findings</w:t>
      </w:r>
      <w:r w:rsidR="00A0551D" w:rsidRPr="003E7EE5">
        <w:rPr>
          <w:color w:val="000000" w:themeColor="text1"/>
          <w:szCs w:val="26"/>
        </w:rPr>
        <w:t xml:space="preserve"> contribute to the </w:t>
      </w:r>
      <w:r w:rsidR="00667DF0" w:rsidRPr="003E7EE5">
        <w:rPr>
          <w:color w:val="000000" w:themeColor="text1"/>
          <w:szCs w:val="26"/>
        </w:rPr>
        <w:t xml:space="preserve">environmental/green marketing and </w:t>
      </w:r>
      <w:r w:rsidR="00AF4B84" w:rsidRPr="003E7EE5">
        <w:rPr>
          <w:color w:val="000000" w:themeColor="text1"/>
          <w:szCs w:val="26"/>
        </w:rPr>
        <w:t>management</w:t>
      </w:r>
      <w:r w:rsidRPr="003E7EE5">
        <w:rPr>
          <w:color w:val="000000" w:themeColor="text1"/>
          <w:szCs w:val="26"/>
        </w:rPr>
        <w:t xml:space="preserve"> </w:t>
      </w:r>
      <w:r w:rsidR="00715EEA" w:rsidRPr="003E7EE5">
        <w:rPr>
          <w:color w:val="000000" w:themeColor="text1"/>
          <w:szCs w:val="26"/>
        </w:rPr>
        <w:t>literature</w:t>
      </w:r>
      <w:r w:rsidR="004E52C1" w:rsidRPr="003E7EE5">
        <w:rPr>
          <w:color w:val="000000" w:themeColor="text1"/>
          <w:szCs w:val="26"/>
        </w:rPr>
        <w:t xml:space="preserve"> and practice</w:t>
      </w:r>
      <w:r w:rsidR="00351AB1" w:rsidRPr="003E7EE5">
        <w:rPr>
          <w:color w:val="000000" w:themeColor="text1"/>
          <w:szCs w:val="26"/>
        </w:rPr>
        <w:t xml:space="preserve"> </w:t>
      </w:r>
      <w:r w:rsidR="004E52C1" w:rsidRPr="003E7EE5">
        <w:rPr>
          <w:color w:val="000000" w:themeColor="text1"/>
          <w:szCs w:val="26"/>
        </w:rPr>
        <w:t xml:space="preserve">in several ways. First, </w:t>
      </w:r>
      <w:r w:rsidR="004E52C1" w:rsidRPr="003E7EE5">
        <w:rPr>
          <w:szCs w:val="26"/>
        </w:rPr>
        <w:t>we</w:t>
      </w:r>
      <w:r w:rsidR="007C4A20" w:rsidRPr="003E7EE5">
        <w:rPr>
          <w:szCs w:val="26"/>
        </w:rPr>
        <w:t xml:space="preserve"> </w:t>
      </w:r>
      <w:r w:rsidR="00704A0C" w:rsidRPr="003E7EE5">
        <w:rPr>
          <w:szCs w:val="26"/>
        </w:rPr>
        <w:t>exp</w:t>
      </w:r>
      <w:r w:rsidR="00176408" w:rsidRPr="003E7EE5">
        <w:rPr>
          <w:szCs w:val="26"/>
        </w:rPr>
        <w:t>lain how the exogenous environment</w:t>
      </w:r>
      <w:r w:rsidR="00704A0C" w:rsidRPr="003E7EE5">
        <w:rPr>
          <w:szCs w:val="26"/>
        </w:rPr>
        <w:t xml:space="preserve"> of uncertainty influences the development of a </w:t>
      </w:r>
      <w:r w:rsidR="002F59EC" w:rsidRPr="003E7EE5">
        <w:rPr>
          <w:szCs w:val="26"/>
        </w:rPr>
        <w:t>GMS</w:t>
      </w:r>
      <w:r w:rsidR="002F0BA7" w:rsidRPr="003E7EE5">
        <w:rPr>
          <w:szCs w:val="26"/>
        </w:rPr>
        <w:t xml:space="preserve"> as a dynamic capability (Katsikeas</w:t>
      </w:r>
      <w:r w:rsidR="00CF46EF" w:rsidRPr="003E7EE5">
        <w:rPr>
          <w:szCs w:val="26"/>
        </w:rPr>
        <w:t xml:space="preserve"> </w:t>
      </w:r>
      <w:r w:rsidR="00CF46EF" w:rsidRPr="003E7EE5">
        <w:rPr>
          <w:i/>
        </w:rPr>
        <w:t>et al.</w:t>
      </w:r>
      <w:r w:rsidR="00CF46EF" w:rsidRPr="003E7EE5">
        <w:t>,</w:t>
      </w:r>
      <w:r w:rsidR="002F0BA7" w:rsidRPr="003E7EE5">
        <w:rPr>
          <w:szCs w:val="26"/>
        </w:rPr>
        <w:t xml:space="preserve"> 2016)</w:t>
      </w:r>
      <w:r w:rsidR="004E52C1" w:rsidRPr="003E7EE5">
        <w:rPr>
          <w:szCs w:val="26"/>
        </w:rPr>
        <w:t xml:space="preserve">. Second, </w:t>
      </w:r>
      <w:r w:rsidR="0002237B" w:rsidRPr="003E7EE5">
        <w:rPr>
          <w:szCs w:val="26"/>
        </w:rPr>
        <w:t>taking</w:t>
      </w:r>
      <w:r w:rsidR="00304F92" w:rsidRPr="003E7EE5">
        <w:rPr>
          <w:szCs w:val="26"/>
        </w:rPr>
        <w:t xml:space="preserve"> resilience as </w:t>
      </w:r>
      <w:r w:rsidR="00A82FEC" w:rsidRPr="003E7EE5">
        <w:rPr>
          <w:szCs w:val="26"/>
        </w:rPr>
        <w:t xml:space="preserve">a firm’s </w:t>
      </w:r>
      <w:r w:rsidR="00304F92" w:rsidRPr="003E7EE5">
        <w:rPr>
          <w:color w:val="000000" w:themeColor="text1"/>
        </w:rPr>
        <w:t xml:space="preserve">adaptive capability to respond </w:t>
      </w:r>
      <w:r w:rsidR="0002237B" w:rsidRPr="003E7EE5">
        <w:rPr>
          <w:color w:val="000000" w:themeColor="text1"/>
        </w:rPr>
        <w:t xml:space="preserve">to </w:t>
      </w:r>
      <w:r w:rsidR="00304F92" w:rsidRPr="003E7EE5">
        <w:rPr>
          <w:color w:val="000000" w:themeColor="text1"/>
        </w:rPr>
        <w:t xml:space="preserve">and recover from disruptions while sustaining </w:t>
      </w:r>
      <w:r w:rsidR="00A82FEC" w:rsidRPr="003E7EE5">
        <w:rPr>
          <w:color w:val="000000" w:themeColor="text1"/>
        </w:rPr>
        <w:t xml:space="preserve">successful </w:t>
      </w:r>
      <w:r w:rsidR="00304F92" w:rsidRPr="003E7EE5">
        <w:rPr>
          <w:color w:val="000000" w:themeColor="text1"/>
        </w:rPr>
        <w:t>operations and financ</w:t>
      </w:r>
      <w:r w:rsidR="00A82FEC" w:rsidRPr="003E7EE5">
        <w:rPr>
          <w:color w:val="000000" w:themeColor="text1"/>
        </w:rPr>
        <w:t>ial health</w:t>
      </w:r>
      <w:r w:rsidR="00304F92" w:rsidRPr="003E7EE5">
        <w:rPr>
          <w:color w:val="000000" w:themeColor="text1"/>
        </w:rPr>
        <w:t xml:space="preserve"> (Erol </w:t>
      </w:r>
      <w:r w:rsidR="00304F92" w:rsidRPr="003E7EE5">
        <w:rPr>
          <w:i/>
        </w:rPr>
        <w:t>et al.</w:t>
      </w:r>
      <w:r w:rsidR="00304F92" w:rsidRPr="003E7EE5">
        <w:t xml:space="preserve">, </w:t>
      </w:r>
      <w:r w:rsidR="00304F92" w:rsidRPr="003E7EE5">
        <w:rPr>
          <w:color w:val="000000" w:themeColor="text1"/>
        </w:rPr>
        <w:t xml:space="preserve">2010), </w:t>
      </w:r>
      <w:r w:rsidR="004E52C1" w:rsidRPr="003E7EE5">
        <w:rPr>
          <w:szCs w:val="26"/>
        </w:rPr>
        <w:t>we</w:t>
      </w:r>
      <w:r w:rsidR="003433AD" w:rsidRPr="003E7EE5">
        <w:rPr>
          <w:szCs w:val="26"/>
        </w:rPr>
        <w:t xml:space="preserve"> show</w:t>
      </w:r>
      <w:r w:rsidR="000B7EDB" w:rsidRPr="003E7EE5">
        <w:rPr>
          <w:szCs w:val="26"/>
        </w:rPr>
        <w:t xml:space="preserve"> </w:t>
      </w:r>
      <w:r w:rsidR="004E52C1" w:rsidRPr="003E7EE5">
        <w:rPr>
          <w:szCs w:val="26"/>
        </w:rPr>
        <w:t xml:space="preserve">that </w:t>
      </w:r>
      <w:r w:rsidR="00A82FEC" w:rsidRPr="003E7EE5">
        <w:rPr>
          <w:szCs w:val="26"/>
        </w:rPr>
        <w:t xml:space="preserve">actively supporting </w:t>
      </w:r>
      <w:r w:rsidR="008D1ED1" w:rsidRPr="003E7EE5">
        <w:rPr>
          <w:szCs w:val="26"/>
        </w:rPr>
        <w:t>a</w:t>
      </w:r>
      <w:r w:rsidR="004B40C0" w:rsidRPr="003E7EE5">
        <w:rPr>
          <w:szCs w:val="26"/>
        </w:rPr>
        <w:t xml:space="preserve"> GMS</w:t>
      </w:r>
      <w:r w:rsidR="00E164E5" w:rsidRPr="003E7EE5">
        <w:rPr>
          <w:szCs w:val="26"/>
        </w:rPr>
        <w:t xml:space="preserve"> </w:t>
      </w:r>
      <w:r w:rsidR="004E52C1" w:rsidRPr="003E7EE5">
        <w:rPr>
          <w:szCs w:val="26"/>
        </w:rPr>
        <w:t xml:space="preserve">during </w:t>
      </w:r>
      <w:r w:rsidR="002A3BFE" w:rsidRPr="003E7EE5">
        <w:rPr>
          <w:szCs w:val="26"/>
        </w:rPr>
        <w:t xml:space="preserve">a crisis </w:t>
      </w:r>
      <w:r w:rsidR="00E164E5" w:rsidRPr="003E7EE5">
        <w:rPr>
          <w:szCs w:val="26"/>
        </w:rPr>
        <w:t>helps firm</w:t>
      </w:r>
      <w:r w:rsidR="00A82FEC" w:rsidRPr="003E7EE5">
        <w:rPr>
          <w:szCs w:val="26"/>
        </w:rPr>
        <w:t>s</w:t>
      </w:r>
      <w:r w:rsidR="00E164E5" w:rsidRPr="003E7EE5">
        <w:rPr>
          <w:szCs w:val="26"/>
        </w:rPr>
        <w:t xml:space="preserve"> </w:t>
      </w:r>
      <w:r w:rsidR="00A82FEC" w:rsidRPr="003E7EE5">
        <w:rPr>
          <w:szCs w:val="26"/>
        </w:rPr>
        <w:t>become more resilient</w:t>
      </w:r>
      <w:r w:rsidR="003433AD" w:rsidRPr="003E7EE5">
        <w:rPr>
          <w:szCs w:val="26"/>
        </w:rPr>
        <w:t xml:space="preserve"> </w:t>
      </w:r>
      <w:r w:rsidR="00A82FEC" w:rsidRPr="003E7EE5">
        <w:rPr>
          <w:szCs w:val="26"/>
        </w:rPr>
        <w:t>through periods of</w:t>
      </w:r>
      <w:r w:rsidR="00432B3D" w:rsidRPr="003E7EE5">
        <w:rPr>
          <w:szCs w:val="26"/>
        </w:rPr>
        <w:t xml:space="preserve"> uncertainty</w:t>
      </w:r>
      <w:r w:rsidR="004E52C1" w:rsidRPr="003E7EE5">
        <w:rPr>
          <w:szCs w:val="26"/>
        </w:rPr>
        <w:t xml:space="preserve">. </w:t>
      </w:r>
      <w:r w:rsidR="000B7EDB" w:rsidRPr="003E7EE5">
        <w:rPr>
          <w:szCs w:val="26"/>
        </w:rPr>
        <w:t>Third</w:t>
      </w:r>
      <w:r w:rsidR="004E52C1" w:rsidRPr="003E7EE5">
        <w:rPr>
          <w:szCs w:val="26"/>
        </w:rPr>
        <w:t xml:space="preserve">, </w:t>
      </w:r>
      <w:r w:rsidR="00337B62" w:rsidRPr="003E7EE5">
        <w:rPr>
          <w:szCs w:val="26"/>
        </w:rPr>
        <w:t xml:space="preserve">using subjective and objective performance data drawn </w:t>
      </w:r>
      <w:r w:rsidR="00957027" w:rsidRPr="003E7EE5">
        <w:rPr>
          <w:szCs w:val="26"/>
        </w:rPr>
        <w:t xml:space="preserve">in </w:t>
      </w:r>
      <w:r w:rsidR="00337B62" w:rsidRPr="003E7EE5">
        <w:rPr>
          <w:szCs w:val="26"/>
        </w:rPr>
        <w:t xml:space="preserve">both pre- and post-crisis settings, </w:t>
      </w:r>
      <w:r w:rsidR="004E52C1" w:rsidRPr="003E7EE5">
        <w:rPr>
          <w:szCs w:val="26"/>
        </w:rPr>
        <w:t>we</w:t>
      </w:r>
      <w:r w:rsidR="003433AD" w:rsidRPr="003E7EE5">
        <w:rPr>
          <w:szCs w:val="26"/>
        </w:rPr>
        <w:t xml:space="preserve"> </w:t>
      </w:r>
      <w:r w:rsidR="004E52C1" w:rsidRPr="003E7EE5">
        <w:rPr>
          <w:szCs w:val="26"/>
        </w:rPr>
        <w:t xml:space="preserve">empirically test how and when increasing </w:t>
      </w:r>
      <w:r w:rsidR="004E52C1" w:rsidRPr="003E7EE5">
        <w:rPr>
          <w:szCs w:val="26"/>
        </w:rPr>
        <w:lastRenderedPageBreak/>
        <w:t xml:space="preserve">green marketing investments during </w:t>
      </w:r>
      <w:r w:rsidR="0002237B" w:rsidRPr="003E7EE5">
        <w:rPr>
          <w:szCs w:val="26"/>
        </w:rPr>
        <w:t xml:space="preserve">a </w:t>
      </w:r>
      <w:r w:rsidR="004E52C1" w:rsidRPr="003E7EE5">
        <w:rPr>
          <w:szCs w:val="26"/>
        </w:rPr>
        <w:t xml:space="preserve">crisis leads to long-term performance gains. Finally, we </w:t>
      </w:r>
      <w:r w:rsidR="00392E6D" w:rsidRPr="003E7EE5">
        <w:rPr>
          <w:szCs w:val="26"/>
        </w:rPr>
        <w:t xml:space="preserve">offer a typology of green strategic responses in times of </w:t>
      </w:r>
      <w:r w:rsidR="0002237B" w:rsidRPr="003E7EE5">
        <w:rPr>
          <w:szCs w:val="26"/>
        </w:rPr>
        <w:t>crises to</w:t>
      </w:r>
      <w:r w:rsidR="00392E6D" w:rsidRPr="003E7EE5">
        <w:rPr>
          <w:szCs w:val="26"/>
        </w:rPr>
        <w:t xml:space="preserve"> guide managerial decisions </w:t>
      </w:r>
      <w:r w:rsidR="0002237B" w:rsidRPr="003E7EE5">
        <w:rPr>
          <w:szCs w:val="26"/>
        </w:rPr>
        <w:t xml:space="preserve">on </w:t>
      </w:r>
      <w:r w:rsidR="00337B62" w:rsidRPr="003E7EE5">
        <w:rPr>
          <w:szCs w:val="26"/>
        </w:rPr>
        <w:t>strate</w:t>
      </w:r>
      <w:r w:rsidR="00BE1328">
        <w:rPr>
          <w:szCs w:val="26"/>
        </w:rPr>
        <w:t>g</w:t>
      </w:r>
      <w:r w:rsidR="00337B62" w:rsidRPr="003E7EE5">
        <w:rPr>
          <w:szCs w:val="26"/>
        </w:rPr>
        <w:t>ic planning, development, and investments</w:t>
      </w:r>
      <w:r w:rsidR="00392E6D" w:rsidRPr="003E7EE5">
        <w:rPr>
          <w:szCs w:val="26"/>
        </w:rPr>
        <w:t>.</w:t>
      </w:r>
    </w:p>
    <w:p w14:paraId="0B938150" w14:textId="729B5B7A" w:rsidR="00CE3D9E" w:rsidRPr="003E7EE5" w:rsidRDefault="0020758D" w:rsidP="005E1791">
      <w:pPr>
        <w:spacing w:line="480" w:lineRule="auto"/>
        <w:outlineLvl w:val="0"/>
        <w:rPr>
          <w:b/>
          <w:szCs w:val="21"/>
        </w:rPr>
      </w:pPr>
      <w:r w:rsidRPr="003E7EE5">
        <w:rPr>
          <w:b/>
          <w:szCs w:val="21"/>
        </w:rPr>
        <w:t xml:space="preserve">Conceptual </w:t>
      </w:r>
      <w:r w:rsidR="0002237B" w:rsidRPr="003E7EE5">
        <w:rPr>
          <w:b/>
          <w:szCs w:val="21"/>
        </w:rPr>
        <w:t>b</w:t>
      </w:r>
      <w:r w:rsidR="00E21E3C" w:rsidRPr="003E7EE5">
        <w:rPr>
          <w:b/>
          <w:szCs w:val="21"/>
        </w:rPr>
        <w:t>ackground</w:t>
      </w:r>
      <w:r w:rsidRPr="003E7EE5">
        <w:rPr>
          <w:b/>
          <w:szCs w:val="21"/>
        </w:rPr>
        <w:t xml:space="preserve"> and </w:t>
      </w:r>
      <w:r w:rsidR="0002237B" w:rsidRPr="003E7EE5">
        <w:rPr>
          <w:b/>
          <w:szCs w:val="21"/>
        </w:rPr>
        <w:t>r</w:t>
      </w:r>
      <w:r w:rsidRPr="003E7EE5">
        <w:rPr>
          <w:b/>
          <w:szCs w:val="21"/>
        </w:rPr>
        <w:t xml:space="preserve">esearch </w:t>
      </w:r>
      <w:r w:rsidR="0002237B" w:rsidRPr="003E7EE5">
        <w:rPr>
          <w:b/>
          <w:szCs w:val="21"/>
        </w:rPr>
        <w:t>h</w:t>
      </w:r>
      <w:r w:rsidRPr="003E7EE5">
        <w:rPr>
          <w:b/>
          <w:szCs w:val="21"/>
        </w:rPr>
        <w:t>ypotheses</w:t>
      </w:r>
    </w:p>
    <w:p w14:paraId="7DA33BD2" w14:textId="29D98993" w:rsidR="007C6C30" w:rsidRPr="003E7EE5" w:rsidRDefault="00E758B2" w:rsidP="005E1791">
      <w:pPr>
        <w:spacing w:line="480" w:lineRule="auto"/>
        <w:outlineLvl w:val="0"/>
        <w:rPr>
          <w:i/>
          <w:color w:val="000000" w:themeColor="text1"/>
        </w:rPr>
      </w:pPr>
      <w:r>
        <w:rPr>
          <w:b/>
          <w:szCs w:val="21"/>
        </w:rPr>
        <w:t>Green Marketing Strategy</w:t>
      </w:r>
    </w:p>
    <w:p w14:paraId="4C1EBA09" w14:textId="303BC01B" w:rsidR="00FE6111" w:rsidRPr="003E7EE5" w:rsidRDefault="00891460" w:rsidP="00617A5D">
      <w:pPr>
        <w:spacing w:line="480" w:lineRule="auto"/>
        <w:outlineLvl w:val="0"/>
        <w:rPr>
          <w:color w:val="000000" w:themeColor="text1"/>
        </w:rPr>
      </w:pPr>
      <w:r w:rsidRPr="003E7EE5">
        <w:rPr>
          <w:color w:val="000000" w:themeColor="text1"/>
        </w:rPr>
        <w:t>M</w:t>
      </w:r>
      <w:r w:rsidR="00856BD3" w:rsidRPr="003E7EE5">
        <w:rPr>
          <w:color w:val="000000" w:themeColor="text1"/>
        </w:rPr>
        <w:t xml:space="preserve">arketing </w:t>
      </w:r>
      <w:r w:rsidR="00E07540" w:rsidRPr="003E7EE5">
        <w:rPr>
          <w:color w:val="000000" w:themeColor="text1"/>
        </w:rPr>
        <w:t>scholars</w:t>
      </w:r>
      <w:r w:rsidR="00856BD3" w:rsidRPr="003E7EE5">
        <w:rPr>
          <w:color w:val="000000" w:themeColor="text1"/>
        </w:rPr>
        <w:t xml:space="preserve"> </w:t>
      </w:r>
      <w:r w:rsidR="0043222C" w:rsidRPr="003E7EE5">
        <w:rPr>
          <w:color w:val="000000" w:themeColor="text1"/>
        </w:rPr>
        <w:t xml:space="preserve">have </w:t>
      </w:r>
      <w:r w:rsidR="00856BD3" w:rsidRPr="003E7EE5">
        <w:rPr>
          <w:color w:val="000000" w:themeColor="text1"/>
        </w:rPr>
        <w:t>argue</w:t>
      </w:r>
      <w:r w:rsidR="0043222C" w:rsidRPr="003E7EE5">
        <w:rPr>
          <w:color w:val="000000" w:themeColor="text1"/>
        </w:rPr>
        <w:t>d</w:t>
      </w:r>
      <w:r w:rsidR="00856BD3" w:rsidRPr="003E7EE5">
        <w:rPr>
          <w:color w:val="000000" w:themeColor="text1"/>
        </w:rPr>
        <w:t xml:space="preserve"> that firms need capabilities that </w:t>
      </w:r>
      <w:r w:rsidR="000337E2" w:rsidRPr="003E7EE5">
        <w:rPr>
          <w:color w:val="000000" w:themeColor="text1"/>
        </w:rPr>
        <w:t>allow them to</w:t>
      </w:r>
      <w:r w:rsidR="00856BD3" w:rsidRPr="003E7EE5">
        <w:rPr>
          <w:color w:val="000000" w:themeColor="text1"/>
        </w:rPr>
        <w:t xml:space="preserve"> </w:t>
      </w:r>
      <w:r w:rsidR="00E07540" w:rsidRPr="003E7EE5">
        <w:rPr>
          <w:color w:val="000000" w:themeColor="text1"/>
        </w:rPr>
        <w:t>sense and exploit</w:t>
      </w:r>
      <w:r w:rsidR="00856BD3" w:rsidRPr="003E7EE5">
        <w:rPr>
          <w:color w:val="000000" w:themeColor="text1"/>
        </w:rPr>
        <w:t xml:space="preserve"> external </w:t>
      </w:r>
      <w:r w:rsidR="00E07540" w:rsidRPr="003E7EE5">
        <w:rPr>
          <w:color w:val="000000" w:themeColor="text1"/>
        </w:rPr>
        <w:t>opportuniti</w:t>
      </w:r>
      <w:r w:rsidR="00154A96" w:rsidRPr="003E7EE5">
        <w:rPr>
          <w:color w:val="000000" w:themeColor="text1"/>
        </w:rPr>
        <w:t>es (</w:t>
      </w:r>
      <w:r w:rsidR="00E07540" w:rsidRPr="003E7EE5">
        <w:rPr>
          <w:color w:val="000000" w:themeColor="text1"/>
        </w:rPr>
        <w:t xml:space="preserve">Menon </w:t>
      </w:r>
      <w:r w:rsidR="007E71B6" w:rsidRPr="003E7EE5">
        <w:rPr>
          <w:color w:val="000000" w:themeColor="text1"/>
        </w:rPr>
        <w:t>and</w:t>
      </w:r>
      <w:r w:rsidR="00E07540" w:rsidRPr="003E7EE5">
        <w:rPr>
          <w:color w:val="000000" w:themeColor="text1"/>
        </w:rPr>
        <w:t xml:space="preserve"> Menon</w:t>
      </w:r>
      <w:r w:rsidR="00F10C83" w:rsidRPr="003E7EE5">
        <w:rPr>
          <w:color w:val="000000" w:themeColor="text1"/>
        </w:rPr>
        <w:t>,</w:t>
      </w:r>
      <w:r w:rsidR="00E07540" w:rsidRPr="003E7EE5">
        <w:rPr>
          <w:color w:val="000000" w:themeColor="text1"/>
        </w:rPr>
        <w:t xml:space="preserve"> </w:t>
      </w:r>
      <w:r w:rsidR="005D7710" w:rsidRPr="003E7EE5">
        <w:rPr>
          <w:color w:val="000000" w:themeColor="text1"/>
        </w:rPr>
        <w:t>1997</w:t>
      </w:r>
      <w:r w:rsidR="00E07540" w:rsidRPr="003E7EE5">
        <w:rPr>
          <w:color w:val="000000" w:themeColor="text1"/>
        </w:rPr>
        <w:t xml:space="preserve">). </w:t>
      </w:r>
      <w:r w:rsidR="00E81F2A" w:rsidRPr="003E7EE5">
        <w:rPr>
          <w:color w:val="000000" w:themeColor="text1"/>
        </w:rPr>
        <w:t>P</w:t>
      </w:r>
      <w:r w:rsidR="00E07540" w:rsidRPr="003E7EE5">
        <w:rPr>
          <w:color w:val="000000" w:themeColor="text1"/>
        </w:rPr>
        <w:t xml:space="preserve">revious studies </w:t>
      </w:r>
      <w:r w:rsidR="0043222C" w:rsidRPr="003E7EE5">
        <w:rPr>
          <w:color w:val="000000" w:themeColor="text1"/>
        </w:rPr>
        <w:t xml:space="preserve">have </w:t>
      </w:r>
      <w:r w:rsidR="00E07540" w:rsidRPr="003E7EE5">
        <w:rPr>
          <w:color w:val="000000" w:themeColor="text1"/>
        </w:rPr>
        <w:t>approach</w:t>
      </w:r>
      <w:r w:rsidR="0043222C" w:rsidRPr="003E7EE5">
        <w:rPr>
          <w:color w:val="000000" w:themeColor="text1"/>
        </w:rPr>
        <w:t>ed</w:t>
      </w:r>
      <w:r w:rsidR="00E07540" w:rsidRPr="003E7EE5">
        <w:rPr>
          <w:color w:val="000000" w:themeColor="text1"/>
        </w:rPr>
        <w:t xml:space="preserve"> </w:t>
      </w:r>
      <w:r w:rsidR="00E308A0" w:rsidRPr="003E7EE5">
        <w:rPr>
          <w:color w:val="000000" w:themeColor="text1"/>
        </w:rPr>
        <w:t xml:space="preserve">environmental strategies as capabilities that help firms achieve a strong market position and enhanced performance </w:t>
      </w:r>
      <w:r w:rsidR="00E07540" w:rsidRPr="003E7EE5">
        <w:rPr>
          <w:color w:val="000000" w:themeColor="text1"/>
        </w:rPr>
        <w:t>(e.g.</w:t>
      </w:r>
      <w:r w:rsidR="0039207A" w:rsidRPr="003E7EE5">
        <w:rPr>
          <w:color w:val="000000" w:themeColor="text1"/>
        </w:rPr>
        <w:t>,</w:t>
      </w:r>
      <w:r w:rsidR="00E07540" w:rsidRPr="003E7EE5">
        <w:rPr>
          <w:color w:val="000000" w:themeColor="text1"/>
        </w:rPr>
        <w:t xml:space="preserve"> </w:t>
      </w:r>
      <w:r w:rsidR="001C0D6E" w:rsidRPr="003E7EE5">
        <w:rPr>
          <w:color w:val="000000" w:themeColor="text1"/>
        </w:rPr>
        <w:t>Polonsky</w:t>
      </w:r>
      <w:r w:rsidR="001D7EB3" w:rsidRPr="003E7EE5">
        <w:rPr>
          <w:color w:val="000000" w:themeColor="text1"/>
        </w:rPr>
        <w:t>, 2011</w:t>
      </w:r>
      <w:r w:rsidR="002900A4" w:rsidRPr="003E7EE5">
        <w:rPr>
          <w:color w:val="000000" w:themeColor="text1"/>
        </w:rPr>
        <w:t xml:space="preserve">; Yim </w:t>
      </w:r>
      <w:r w:rsidR="002900A4" w:rsidRPr="003E7EE5">
        <w:rPr>
          <w:i/>
          <w:iCs/>
          <w:color w:val="000000" w:themeColor="text1"/>
        </w:rPr>
        <w:t>et al.</w:t>
      </w:r>
      <w:r w:rsidR="00C405C8">
        <w:rPr>
          <w:color w:val="000000" w:themeColor="text1"/>
        </w:rPr>
        <w:t>,</w:t>
      </w:r>
      <w:r w:rsidR="002900A4" w:rsidRPr="003E7EE5">
        <w:rPr>
          <w:color w:val="000000" w:themeColor="text1"/>
        </w:rPr>
        <w:t xml:space="preserve"> 2019</w:t>
      </w:r>
      <w:r w:rsidR="00E07540" w:rsidRPr="003E7EE5">
        <w:rPr>
          <w:color w:val="000000" w:themeColor="text1"/>
        </w:rPr>
        <w:t>)</w:t>
      </w:r>
      <w:r w:rsidR="00E308A0" w:rsidRPr="003E7EE5">
        <w:rPr>
          <w:color w:val="000000" w:themeColor="text1"/>
        </w:rPr>
        <w:t xml:space="preserve">. </w:t>
      </w:r>
      <w:r w:rsidR="00E07540" w:rsidRPr="003E7EE5">
        <w:rPr>
          <w:color w:val="000000" w:themeColor="text1"/>
        </w:rPr>
        <w:t>Such</w:t>
      </w:r>
      <w:r w:rsidR="00E308A0" w:rsidRPr="003E7EE5">
        <w:rPr>
          <w:color w:val="000000" w:themeColor="text1"/>
        </w:rPr>
        <w:t xml:space="preserve"> strategies </w:t>
      </w:r>
      <w:r w:rsidR="0043222C" w:rsidRPr="003E7EE5">
        <w:rPr>
          <w:color w:val="000000" w:themeColor="text1"/>
        </w:rPr>
        <w:t xml:space="preserve">enable firms to </w:t>
      </w:r>
      <w:r w:rsidR="00E308A0" w:rsidRPr="003E7EE5">
        <w:rPr>
          <w:color w:val="000000" w:themeColor="text1"/>
        </w:rPr>
        <w:t>anticipate mar</w:t>
      </w:r>
      <w:r w:rsidR="00E07540" w:rsidRPr="003E7EE5">
        <w:rPr>
          <w:color w:val="000000" w:themeColor="text1"/>
        </w:rPr>
        <w:t>ket changes and demand for sus</w:t>
      </w:r>
      <w:r w:rsidR="00E308A0" w:rsidRPr="003E7EE5">
        <w:rPr>
          <w:color w:val="000000" w:themeColor="text1"/>
        </w:rPr>
        <w:t xml:space="preserve">tainable products and equip </w:t>
      </w:r>
      <w:r w:rsidR="0043222C" w:rsidRPr="003E7EE5">
        <w:rPr>
          <w:color w:val="000000" w:themeColor="text1"/>
        </w:rPr>
        <w:t>them</w:t>
      </w:r>
      <w:r w:rsidR="00E308A0" w:rsidRPr="003E7EE5">
        <w:rPr>
          <w:color w:val="000000" w:themeColor="text1"/>
        </w:rPr>
        <w:t xml:space="preserve"> with the necessary skills and knowledge to respond effectively. Accordingly, we view </w:t>
      </w:r>
      <w:r w:rsidR="00FA1270" w:rsidRPr="003E7EE5">
        <w:rPr>
          <w:color w:val="000000" w:themeColor="text1"/>
        </w:rPr>
        <w:t>GMS</w:t>
      </w:r>
      <w:r w:rsidR="00E07540" w:rsidRPr="003E7EE5">
        <w:rPr>
          <w:color w:val="000000" w:themeColor="text1"/>
        </w:rPr>
        <w:t xml:space="preserve"> as a </w:t>
      </w:r>
      <w:r w:rsidR="00E308A0" w:rsidRPr="003E7EE5">
        <w:rPr>
          <w:color w:val="000000" w:themeColor="text1"/>
        </w:rPr>
        <w:t>market-based capability th</w:t>
      </w:r>
      <w:r w:rsidR="00916B9E" w:rsidRPr="003E7EE5">
        <w:rPr>
          <w:color w:val="000000" w:themeColor="text1"/>
        </w:rPr>
        <w:t>at reflects initiatives and actions in the development, delivery</w:t>
      </w:r>
      <w:r w:rsidR="0043222C" w:rsidRPr="003E7EE5">
        <w:rPr>
          <w:color w:val="000000" w:themeColor="text1"/>
        </w:rPr>
        <w:t>,</w:t>
      </w:r>
      <w:r w:rsidR="00916B9E" w:rsidRPr="003E7EE5">
        <w:rPr>
          <w:color w:val="000000" w:themeColor="text1"/>
        </w:rPr>
        <w:t xml:space="preserve"> and communication</w:t>
      </w:r>
      <w:r w:rsidR="00E308A0" w:rsidRPr="003E7EE5">
        <w:rPr>
          <w:color w:val="000000" w:themeColor="text1"/>
        </w:rPr>
        <w:t xml:space="preserve"> of products </w:t>
      </w:r>
      <w:r w:rsidR="00394622" w:rsidRPr="003E7EE5">
        <w:rPr>
          <w:color w:val="000000" w:themeColor="text1"/>
        </w:rPr>
        <w:t>with a</w:t>
      </w:r>
      <w:r w:rsidR="00C057E3" w:rsidRPr="003E7EE5">
        <w:rPr>
          <w:color w:val="000000" w:themeColor="text1"/>
        </w:rPr>
        <w:t xml:space="preserve"> minimized environmental impact </w:t>
      </w:r>
      <w:r w:rsidR="0081456D" w:rsidRPr="003E7EE5">
        <w:rPr>
          <w:color w:val="000000" w:themeColor="text1"/>
        </w:rPr>
        <w:t>(</w:t>
      </w:r>
      <w:proofErr w:type="spellStart"/>
      <w:r w:rsidR="0081456D" w:rsidRPr="003E7EE5">
        <w:rPr>
          <w:color w:val="000000" w:themeColor="text1"/>
        </w:rPr>
        <w:t>Dangelico</w:t>
      </w:r>
      <w:proofErr w:type="spellEnd"/>
      <w:r w:rsidR="007E71B6" w:rsidRPr="003E7EE5">
        <w:rPr>
          <w:color w:val="000000" w:themeColor="text1"/>
        </w:rPr>
        <w:t xml:space="preserve"> </w:t>
      </w:r>
      <w:r w:rsidR="007E71B6" w:rsidRPr="003E7EE5">
        <w:rPr>
          <w:i/>
        </w:rPr>
        <w:t>et al.</w:t>
      </w:r>
      <w:r w:rsidR="007E71B6" w:rsidRPr="003E7EE5">
        <w:t>,</w:t>
      </w:r>
      <w:r w:rsidR="00E308A0" w:rsidRPr="003E7EE5">
        <w:rPr>
          <w:color w:val="000000" w:themeColor="text1"/>
        </w:rPr>
        <w:t xml:space="preserve"> 2013).</w:t>
      </w:r>
      <w:r w:rsidR="00617A5D" w:rsidRPr="003E7EE5">
        <w:rPr>
          <w:color w:val="000000" w:themeColor="text1"/>
        </w:rPr>
        <w:t xml:space="preserve"> </w:t>
      </w:r>
      <w:r w:rsidR="00240479" w:rsidRPr="003E7EE5">
        <w:rPr>
          <w:color w:val="000000" w:themeColor="text1"/>
        </w:rPr>
        <w:t xml:space="preserve">By GMS, we </w:t>
      </w:r>
      <w:r w:rsidR="000337E2" w:rsidRPr="003E7EE5">
        <w:rPr>
          <w:color w:val="000000" w:themeColor="text1"/>
        </w:rPr>
        <w:t xml:space="preserve">refer to </w:t>
      </w:r>
      <w:r w:rsidR="00240479" w:rsidRPr="003E7EE5">
        <w:rPr>
          <w:color w:val="000000" w:themeColor="text1"/>
        </w:rPr>
        <w:t>the holistic environmental approach of a firm’s key strategic marketing activities</w:t>
      </w:r>
      <w:r w:rsidR="0043222C" w:rsidRPr="003E7EE5">
        <w:rPr>
          <w:color w:val="000000" w:themeColor="text1"/>
        </w:rPr>
        <w:t>,</w:t>
      </w:r>
      <w:r w:rsidR="00240479" w:rsidRPr="003E7EE5">
        <w:rPr>
          <w:color w:val="000000" w:themeColor="text1"/>
        </w:rPr>
        <w:t xml:space="preserve"> such as new product development, market research, segmentation, targeting, positioning</w:t>
      </w:r>
      <w:r w:rsidR="0043222C" w:rsidRPr="003E7EE5">
        <w:rPr>
          <w:color w:val="000000" w:themeColor="text1"/>
        </w:rPr>
        <w:t>,</w:t>
      </w:r>
      <w:r w:rsidR="00240479" w:rsidRPr="003E7EE5">
        <w:rPr>
          <w:color w:val="000000" w:themeColor="text1"/>
        </w:rPr>
        <w:t xml:space="preserve"> and marketing</w:t>
      </w:r>
      <w:r w:rsidR="0043222C" w:rsidRPr="003E7EE5">
        <w:rPr>
          <w:color w:val="000000" w:themeColor="text1"/>
        </w:rPr>
        <w:t xml:space="preserve"> </w:t>
      </w:r>
      <w:r w:rsidR="00240479" w:rsidRPr="003E7EE5">
        <w:rPr>
          <w:color w:val="000000" w:themeColor="text1"/>
        </w:rPr>
        <w:t>mix (</w:t>
      </w:r>
      <w:r w:rsidR="00C85572" w:rsidRPr="003E7EE5">
        <w:rPr>
          <w:color w:val="000000" w:themeColor="text1"/>
        </w:rPr>
        <w:t>Banerjee</w:t>
      </w:r>
      <w:r w:rsidR="00F132C0">
        <w:rPr>
          <w:color w:val="000000" w:themeColor="text1"/>
        </w:rPr>
        <w:t xml:space="preserve"> </w:t>
      </w:r>
      <w:r w:rsidR="00F132C0">
        <w:rPr>
          <w:i/>
          <w:iCs/>
          <w:color w:val="000000" w:themeColor="text1"/>
        </w:rPr>
        <w:t>et al.</w:t>
      </w:r>
      <w:r w:rsidR="00C85572" w:rsidRPr="003E7EE5">
        <w:rPr>
          <w:color w:val="000000" w:themeColor="text1"/>
        </w:rPr>
        <w:t>, 2003</w:t>
      </w:r>
      <w:r w:rsidR="00240479" w:rsidRPr="003E7EE5">
        <w:rPr>
          <w:color w:val="000000" w:themeColor="text1"/>
        </w:rPr>
        <w:t xml:space="preserve">). </w:t>
      </w:r>
      <w:r w:rsidR="005937F1" w:rsidRPr="003E7EE5">
        <w:rPr>
          <w:color w:val="000000" w:themeColor="text1"/>
        </w:rPr>
        <w:t xml:space="preserve">For example, </w:t>
      </w:r>
      <w:r w:rsidR="00C405C8">
        <w:rPr>
          <w:color w:val="000000" w:themeColor="text1"/>
        </w:rPr>
        <w:t>undertaking</w:t>
      </w:r>
      <w:r w:rsidR="005937F1" w:rsidRPr="003E7EE5">
        <w:rPr>
          <w:color w:val="000000" w:themeColor="text1"/>
        </w:rPr>
        <w:t xml:space="preserve"> market research </w:t>
      </w:r>
      <w:r w:rsidR="0043222C" w:rsidRPr="003E7EE5">
        <w:rPr>
          <w:color w:val="000000" w:themeColor="text1"/>
        </w:rPr>
        <w:t>to uncover</w:t>
      </w:r>
      <w:r w:rsidR="005937F1" w:rsidRPr="003E7EE5">
        <w:rPr>
          <w:color w:val="000000" w:themeColor="text1"/>
        </w:rPr>
        <w:t xml:space="preserve"> environmental trends, using recycled or reusable materials for products</w:t>
      </w:r>
      <w:r w:rsidR="0043222C" w:rsidRPr="003E7EE5">
        <w:rPr>
          <w:color w:val="000000" w:themeColor="text1"/>
        </w:rPr>
        <w:t>,</w:t>
      </w:r>
      <w:r w:rsidR="005937F1" w:rsidRPr="003E7EE5">
        <w:rPr>
          <w:color w:val="000000" w:themeColor="text1"/>
        </w:rPr>
        <w:t xml:space="preserve"> and investing in R</w:t>
      </w:r>
      <w:r w:rsidR="000337E2" w:rsidRPr="003E7EE5">
        <w:rPr>
          <w:color w:val="000000" w:themeColor="text1"/>
        </w:rPr>
        <w:t>&amp;</w:t>
      </w:r>
      <w:r w:rsidR="005937F1" w:rsidRPr="003E7EE5">
        <w:rPr>
          <w:color w:val="000000" w:themeColor="text1"/>
        </w:rPr>
        <w:t>D to create environmentally friendly products/services are initiative</w:t>
      </w:r>
      <w:r w:rsidR="000337E2" w:rsidRPr="003E7EE5">
        <w:rPr>
          <w:color w:val="000000" w:themeColor="text1"/>
        </w:rPr>
        <w:t>s</w:t>
      </w:r>
      <w:r w:rsidR="005937F1" w:rsidRPr="003E7EE5">
        <w:rPr>
          <w:color w:val="000000" w:themeColor="text1"/>
        </w:rPr>
        <w:t xml:space="preserve"> that reflect a GMS (</w:t>
      </w:r>
      <w:r w:rsidR="00E5095E" w:rsidRPr="003E7EE5">
        <w:rPr>
          <w:color w:val="000000" w:themeColor="text1"/>
        </w:rPr>
        <w:t xml:space="preserve">Fraj-Andrés </w:t>
      </w:r>
      <w:r w:rsidR="00E5095E" w:rsidRPr="005E1791">
        <w:rPr>
          <w:i/>
          <w:iCs/>
          <w:color w:val="000000" w:themeColor="text1"/>
        </w:rPr>
        <w:t>et al.</w:t>
      </w:r>
      <w:r w:rsidR="00E5095E" w:rsidRPr="003E7EE5">
        <w:rPr>
          <w:color w:val="000000" w:themeColor="text1"/>
        </w:rPr>
        <w:t>, 2009;</w:t>
      </w:r>
      <w:r w:rsidR="005937F1" w:rsidRPr="003E7EE5">
        <w:rPr>
          <w:color w:val="000000" w:themeColor="text1"/>
        </w:rPr>
        <w:t xml:space="preserve"> Papadas </w:t>
      </w:r>
      <w:r w:rsidR="005937F1" w:rsidRPr="005E1791">
        <w:rPr>
          <w:i/>
          <w:iCs/>
          <w:color w:val="000000" w:themeColor="text1"/>
        </w:rPr>
        <w:t>et al.</w:t>
      </w:r>
      <w:r w:rsidR="005937F1" w:rsidRPr="003E7EE5">
        <w:rPr>
          <w:color w:val="000000" w:themeColor="text1"/>
        </w:rPr>
        <w:t>, 2017).</w:t>
      </w:r>
    </w:p>
    <w:p w14:paraId="275BA074" w14:textId="1FEF5B9E" w:rsidR="00B07F40" w:rsidRPr="003E7EE5" w:rsidRDefault="00B07F40" w:rsidP="00617A5D">
      <w:pPr>
        <w:spacing w:line="480" w:lineRule="auto"/>
        <w:ind w:firstLine="720"/>
        <w:rPr>
          <w:i/>
          <w:color w:val="000000" w:themeColor="text1"/>
          <w:szCs w:val="22"/>
        </w:rPr>
      </w:pPr>
      <w:r w:rsidRPr="003E7EE5">
        <w:rPr>
          <w:color w:val="000000" w:themeColor="text1"/>
        </w:rPr>
        <w:t>Business management scholars have long argued for a positive association between proactive environmental strategies and firm performance (e.g.</w:t>
      </w:r>
      <w:r w:rsidR="00C405C8">
        <w:rPr>
          <w:color w:val="000000" w:themeColor="text1"/>
        </w:rPr>
        <w:t>,</w:t>
      </w:r>
      <w:r w:rsidRPr="003E7EE5">
        <w:rPr>
          <w:color w:val="000000" w:themeColor="text1"/>
        </w:rPr>
        <w:t xml:space="preserve"> </w:t>
      </w:r>
      <w:proofErr w:type="spellStart"/>
      <w:r w:rsidRPr="003E7EE5">
        <w:rPr>
          <w:color w:val="000000" w:themeColor="text1"/>
        </w:rPr>
        <w:t>Menguc</w:t>
      </w:r>
      <w:proofErr w:type="spellEnd"/>
      <w:r w:rsidRPr="003E7EE5">
        <w:rPr>
          <w:color w:val="000000" w:themeColor="text1"/>
        </w:rPr>
        <w:t xml:space="preserve"> </w:t>
      </w:r>
      <w:r w:rsidRPr="003E7EE5">
        <w:rPr>
          <w:i/>
        </w:rPr>
        <w:t>et al.</w:t>
      </w:r>
      <w:r w:rsidRPr="003E7EE5">
        <w:t xml:space="preserve">, </w:t>
      </w:r>
      <w:r w:rsidRPr="003E7EE5">
        <w:rPr>
          <w:color w:val="000000" w:themeColor="text1"/>
        </w:rPr>
        <w:t xml:space="preserve">2010; Oh </w:t>
      </w:r>
      <w:r w:rsidRPr="003E7EE5">
        <w:rPr>
          <w:i/>
          <w:iCs/>
          <w:color w:val="000000" w:themeColor="text1"/>
        </w:rPr>
        <w:t>et al.,</w:t>
      </w:r>
      <w:r w:rsidRPr="003E7EE5">
        <w:rPr>
          <w:color w:val="000000" w:themeColor="text1"/>
        </w:rPr>
        <w:t xml:space="preserve"> 2019)</w:t>
      </w:r>
      <w:r w:rsidR="0043222C" w:rsidRPr="003E7EE5">
        <w:rPr>
          <w:color w:val="000000" w:themeColor="text1"/>
        </w:rPr>
        <w:t>,</w:t>
      </w:r>
      <w:r w:rsidRPr="003E7EE5">
        <w:rPr>
          <w:color w:val="000000" w:themeColor="text1"/>
        </w:rPr>
        <w:t xml:space="preserve"> including studies examin</w:t>
      </w:r>
      <w:r w:rsidR="0043222C" w:rsidRPr="003E7EE5">
        <w:rPr>
          <w:color w:val="000000" w:themeColor="text1"/>
        </w:rPr>
        <w:t>ing</w:t>
      </w:r>
      <w:r w:rsidRPr="003E7EE5">
        <w:rPr>
          <w:color w:val="000000" w:themeColor="text1"/>
        </w:rPr>
        <w:t xml:space="preserve"> this relationship in business contexts with specific characteristics</w:t>
      </w:r>
      <w:r w:rsidR="0043222C" w:rsidRPr="003E7EE5">
        <w:rPr>
          <w:color w:val="000000" w:themeColor="text1"/>
        </w:rPr>
        <w:t>,</w:t>
      </w:r>
      <w:r w:rsidRPr="003E7EE5">
        <w:rPr>
          <w:color w:val="000000" w:themeColor="text1"/>
        </w:rPr>
        <w:t xml:space="preserve"> such as markets undergoing periods of increased uncertainty (Ruenda-Manzanares </w:t>
      </w:r>
      <w:r w:rsidRPr="003E7EE5">
        <w:rPr>
          <w:i/>
        </w:rPr>
        <w:t>et al.</w:t>
      </w:r>
      <w:r w:rsidRPr="003E7EE5">
        <w:t>,</w:t>
      </w:r>
      <w:r w:rsidRPr="003E7EE5">
        <w:rPr>
          <w:color w:val="000000" w:themeColor="text1"/>
        </w:rPr>
        <w:t xml:space="preserve"> 2008). While</w:t>
      </w:r>
      <w:r w:rsidRPr="003E7EE5">
        <w:rPr>
          <w:color w:val="000000" w:themeColor="text1"/>
          <w:szCs w:val="22"/>
        </w:rPr>
        <w:t xml:space="preserve"> </w:t>
      </w:r>
      <w:r w:rsidR="0043222C" w:rsidRPr="003E7EE5">
        <w:rPr>
          <w:color w:val="000000" w:themeColor="text1"/>
          <w:szCs w:val="22"/>
        </w:rPr>
        <w:t>prior</w:t>
      </w:r>
      <w:r w:rsidRPr="003E7EE5">
        <w:rPr>
          <w:color w:val="000000" w:themeColor="text1"/>
          <w:szCs w:val="22"/>
        </w:rPr>
        <w:t xml:space="preserve"> research has shown the direct influence of perceived uncertainty or similar variables (</w:t>
      </w:r>
      <w:r w:rsidR="003E7EE5" w:rsidRPr="003E7EE5">
        <w:rPr>
          <w:color w:val="000000" w:themeColor="text1"/>
          <w:szCs w:val="22"/>
        </w:rPr>
        <w:t>e.g.,</w:t>
      </w:r>
      <w:r w:rsidRPr="003E7EE5">
        <w:rPr>
          <w:color w:val="000000" w:themeColor="text1"/>
          <w:szCs w:val="22"/>
        </w:rPr>
        <w:t xml:space="preserve"> industry growth, market dy</w:t>
      </w:r>
      <w:r w:rsidR="00BE1328">
        <w:rPr>
          <w:color w:val="000000" w:themeColor="text1"/>
          <w:szCs w:val="22"/>
        </w:rPr>
        <w:t>n</w:t>
      </w:r>
      <w:r w:rsidRPr="003E7EE5">
        <w:rPr>
          <w:color w:val="000000" w:themeColor="text1"/>
          <w:szCs w:val="22"/>
        </w:rPr>
        <w:t>a</w:t>
      </w:r>
      <w:r w:rsidR="00BE1328">
        <w:rPr>
          <w:color w:val="000000" w:themeColor="text1"/>
          <w:szCs w:val="22"/>
        </w:rPr>
        <w:t>m</w:t>
      </w:r>
      <w:r w:rsidRPr="003E7EE5">
        <w:rPr>
          <w:color w:val="000000" w:themeColor="text1"/>
          <w:szCs w:val="22"/>
        </w:rPr>
        <w:t xml:space="preserve">ism) as moderators of </w:t>
      </w:r>
      <w:r w:rsidRPr="003E7EE5">
        <w:rPr>
          <w:color w:val="000000" w:themeColor="text1"/>
          <w:szCs w:val="22"/>
        </w:rPr>
        <w:lastRenderedPageBreak/>
        <w:t>decisions related to environmental strategies</w:t>
      </w:r>
      <w:r w:rsidR="00432EAB">
        <w:rPr>
          <w:color w:val="000000" w:themeColor="text1"/>
          <w:szCs w:val="22"/>
        </w:rPr>
        <w:t xml:space="preserve"> (</w:t>
      </w:r>
      <w:r w:rsidR="00432EAB" w:rsidRPr="003E7EE5">
        <w:rPr>
          <w:color w:val="000000" w:themeColor="text1"/>
        </w:rPr>
        <w:t xml:space="preserve">Katsikeas </w:t>
      </w:r>
      <w:r w:rsidR="00432EAB" w:rsidRPr="003E7EE5">
        <w:rPr>
          <w:i/>
          <w:color w:val="000000" w:themeColor="text1"/>
        </w:rPr>
        <w:t>et al.</w:t>
      </w:r>
      <w:r w:rsidR="00432EAB" w:rsidRPr="003E7EE5">
        <w:rPr>
          <w:color w:val="000000" w:themeColor="text1"/>
        </w:rPr>
        <w:t>, 2016</w:t>
      </w:r>
      <w:r w:rsidR="00432EAB">
        <w:rPr>
          <w:color w:val="000000" w:themeColor="text1"/>
        </w:rPr>
        <w:t>)</w:t>
      </w:r>
      <w:r w:rsidRPr="003E7EE5">
        <w:rPr>
          <w:color w:val="000000" w:themeColor="text1"/>
          <w:szCs w:val="22"/>
        </w:rPr>
        <w:t xml:space="preserve">, little is known about how such strategies perform under conditions of heightened uncertainty triggered by recessions </w:t>
      </w:r>
      <w:r w:rsidR="003E7EE5" w:rsidRPr="003E7EE5">
        <w:rPr>
          <w:color w:val="000000" w:themeColor="text1"/>
          <w:szCs w:val="22"/>
        </w:rPr>
        <w:t xml:space="preserve">in </w:t>
      </w:r>
      <w:r w:rsidRPr="003E7EE5">
        <w:rPr>
          <w:color w:val="000000" w:themeColor="text1"/>
          <w:szCs w:val="22"/>
        </w:rPr>
        <w:t xml:space="preserve">both the short (i.e., during </w:t>
      </w:r>
      <w:r w:rsidR="003E7EE5" w:rsidRPr="003E7EE5">
        <w:rPr>
          <w:color w:val="000000" w:themeColor="text1"/>
          <w:szCs w:val="22"/>
        </w:rPr>
        <w:t xml:space="preserve">a </w:t>
      </w:r>
      <w:r w:rsidRPr="003E7EE5">
        <w:rPr>
          <w:color w:val="000000" w:themeColor="text1"/>
          <w:szCs w:val="22"/>
        </w:rPr>
        <w:t xml:space="preserve">crisis) and long (i.e., </w:t>
      </w:r>
      <w:r w:rsidR="003E7EE5" w:rsidRPr="003E7EE5">
        <w:rPr>
          <w:color w:val="000000" w:themeColor="text1"/>
          <w:szCs w:val="22"/>
        </w:rPr>
        <w:t xml:space="preserve">after a </w:t>
      </w:r>
      <w:r w:rsidRPr="003E7EE5">
        <w:rPr>
          <w:color w:val="000000" w:themeColor="text1"/>
          <w:szCs w:val="22"/>
        </w:rPr>
        <w:t>crisis)</w:t>
      </w:r>
      <w:r w:rsidR="003E7EE5" w:rsidRPr="003E7EE5">
        <w:rPr>
          <w:color w:val="000000" w:themeColor="text1"/>
          <w:szCs w:val="22"/>
        </w:rPr>
        <w:t xml:space="preserve"> run</w:t>
      </w:r>
      <w:r w:rsidRPr="003E7EE5">
        <w:rPr>
          <w:color w:val="000000" w:themeColor="text1"/>
          <w:szCs w:val="22"/>
        </w:rPr>
        <w:t>. Table 1 provides an overview of empirical studies in this field</w:t>
      </w:r>
      <w:r w:rsidR="003E7EE5" w:rsidRPr="003E7EE5">
        <w:rPr>
          <w:color w:val="000000" w:themeColor="text1"/>
          <w:szCs w:val="22"/>
        </w:rPr>
        <w:t>,</w:t>
      </w:r>
      <w:r w:rsidRPr="003E7EE5">
        <w:rPr>
          <w:color w:val="000000" w:themeColor="text1"/>
          <w:szCs w:val="22"/>
        </w:rPr>
        <w:t xml:space="preserve"> reflect</w:t>
      </w:r>
      <w:r w:rsidR="003E7EE5" w:rsidRPr="003E7EE5">
        <w:rPr>
          <w:color w:val="000000" w:themeColor="text1"/>
          <w:szCs w:val="22"/>
        </w:rPr>
        <w:t>ing</w:t>
      </w:r>
      <w:r w:rsidRPr="003E7EE5">
        <w:rPr>
          <w:color w:val="000000" w:themeColor="text1"/>
          <w:szCs w:val="22"/>
        </w:rPr>
        <w:t xml:space="preserve"> the need to </w:t>
      </w:r>
      <w:r w:rsidR="003E7EE5" w:rsidRPr="003E7EE5">
        <w:rPr>
          <w:color w:val="000000" w:themeColor="text1"/>
          <w:szCs w:val="22"/>
        </w:rPr>
        <w:t>(1</w:t>
      </w:r>
      <w:r w:rsidRPr="003E7EE5">
        <w:rPr>
          <w:color w:val="000000" w:themeColor="text1"/>
          <w:szCs w:val="22"/>
        </w:rPr>
        <w:t>) study the GMS</w:t>
      </w:r>
      <w:r w:rsidR="003E7EE5" w:rsidRPr="003E7EE5">
        <w:rPr>
          <w:color w:val="000000" w:themeColor="text1"/>
          <w:szCs w:val="22"/>
        </w:rPr>
        <w:t>–</w:t>
      </w:r>
      <w:r w:rsidRPr="003E7EE5">
        <w:rPr>
          <w:color w:val="000000" w:themeColor="text1"/>
          <w:szCs w:val="22"/>
        </w:rPr>
        <w:t xml:space="preserve">firm performance relationship during periods of uncertainty, </w:t>
      </w:r>
      <w:r w:rsidR="003E7EE5" w:rsidRPr="003E7EE5">
        <w:rPr>
          <w:color w:val="000000" w:themeColor="text1"/>
          <w:szCs w:val="22"/>
        </w:rPr>
        <w:t>(2</w:t>
      </w:r>
      <w:r w:rsidRPr="003E7EE5">
        <w:rPr>
          <w:color w:val="000000" w:themeColor="text1"/>
          <w:szCs w:val="22"/>
        </w:rPr>
        <w:t xml:space="preserve">) investigate how investment/divestment moderates this relationship, and </w:t>
      </w:r>
      <w:r w:rsidR="003E7EE5" w:rsidRPr="003E7EE5">
        <w:rPr>
          <w:color w:val="000000" w:themeColor="text1"/>
          <w:szCs w:val="22"/>
        </w:rPr>
        <w:t>(3</w:t>
      </w:r>
      <w:r w:rsidRPr="003E7EE5">
        <w:rPr>
          <w:color w:val="000000" w:themeColor="text1"/>
          <w:szCs w:val="22"/>
        </w:rPr>
        <w:t>) measure uncertainty as a natural context (i.e., a country experiencing a long period of uncertainty) instead of a simple variable.</w:t>
      </w:r>
      <w:r w:rsidRPr="003E7EE5">
        <w:rPr>
          <w:i/>
          <w:color w:val="000000" w:themeColor="text1"/>
          <w:szCs w:val="22"/>
        </w:rPr>
        <w:t xml:space="preserve"> </w:t>
      </w:r>
    </w:p>
    <w:p w14:paraId="0127425C" w14:textId="77777777" w:rsidR="00B07F40" w:rsidRPr="003E7EE5" w:rsidRDefault="00B07F40" w:rsidP="005E1791">
      <w:pPr>
        <w:spacing w:line="480" w:lineRule="auto"/>
        <w:jc w:val="center"/>
        <w:rPr>
          <w:i/>
          <w:color w:val="000000" w:themeColor="text1"/>
          <w:szCs w:val="22"/>
        </w:rPr>
      </w:pPr>
      <w:r w:rsidRPr="003E7EE5">
        <w:rPr>
          <w:i/>
          <w:color w:val="000000" w:themeColor="text1"/>
          <w:szCs w:val="22"/>
        </w:rPr>
        <w:t>Table 1 here</w:t>
      </w:r>
    </w:p>
    <w:p w14:paraId="73947F2C" w14:textId="39C40320" w:rsidR="00FE6111" w:rsidRPr="003E7EE5" w:rsidRDefault="00FE6111" w:rsidP="00617A5D">
      <w:pPr>
        <w:spacing w:line="480" w:lineRule="auto"/>
        <w:rPr>
          <w:i/>
          <w:color w:val="000000" w:themeColor="text1"/>
          <w:szCs w:val="22"/>
        </w:rPr>
      </w:pPr>
      <w:r w:rsidRPr="003E7EE5">
        <w:rPr>
          <w:i/>
          <w:color w:val="000000" w:themeColor="text1"/>
          <w:szCs w:val="22"/>
        </w:rPr>
        <w:t>NRBV Theor</w:t>
      </w:r>
      <w:r w:rsidR="00B07F40" w:rsidRPr="003E7EE5">
        <w:rPr>
          <w:i/>
          <w:color w:val="000000" w:themeColor="text1"/>
          <w:szCs w:val="22"/>
        </w:rPr>
        <w:t>y: Green Marketing as a Capability</w:t>
      </w:r>
    </w:p>
    <w:p w14:paraId="4740F0B9" w14:textId="57058816" w:rsidR="00C663F0" w:rsidRPr="003E7EE5" w:rsidRDefault="003E7EE5" w:rsidP="005E1791">
      <w:pPr>
        <w:widowControl w:val="0"/>
        <w:autoSpaceDE w:val="0"/>
        <w:autoSpaceDN w:val="0"/>
        <w:adjustRightInd w:val="0"/>
        <w:spacing w:line="480" w:lineRule="auto"/>
        <w:rPr>
          <w:color w:val="000000" w:themeColor="text1"/>
        </w:rPr>
      </w:pPr>
      <w:r w:rsidRPr="003E7EE5">
        <w:rPr>
          <w:color w:val="000000" w:themeColor="text1"/>
        </w:rPr>
        <w:t xml:space="preserve">The </w:t>
      </w:r>
      <w:r w:rsidR="00C663F0" w:rsidRPr="003E7EE5">
        <w:rPr>
          <w:color w:val="000000" w:themeColor="text1"/>
        </w:rPr>
        <w:t xml:space="preserve">NRBV posits </w:t>
      </w:r>
      <w:r w:rsidR="00C663F0" w:rsidRPr="003E7EE5">
        <w:rPr>
          <w:color w:val="000000" w:themeColor="text1"/>
          <w:shd w:val="clear" w:color="auto" w:fill="FFFFFF"/>
        </w:rPr>
        <w:t>that a firm’s environmental commitment can develop unique environmental capabilities. These capabilities result not only in competitive advantage but also in pro-environmental responses (Hart and Dowell, 2010).</w:t>
      </w:r>
      <w:r w:rsidR="00C663F0" w:rsidRPr="003E7EE5">
        <w:rPr>
          <w:color w:val="000000" w:themeColor="text1"/>
        </w:rPr>
        <w:t xml:space="preserve"> </w:t>
      </w:r>
      <w:r w:rsidR="00FB2634" w:rsidRPr="003E7EE5">
        <w:rPr>
          <w:color w:val="000000" w:themeColor="text1"/>
        </w:rPr>
        <w:t xml:space="preserve">NRBV theory </w:t>
      </w:r>
      <w:r w:rsidRPr="003E7EE5">
        <w:rPr>
          <w:color w:val="000000" w:themeColor="text1"/>
        </w:rPr>
        <w:t>puts</w:t>
      </w:r>
      <w:r w:rsidR="00FB2634" w:rsidRPr="003E7EE5">
        <w:rPr>
          <w:color w:val="000000" w:themeColor="text1"/>
        </w:rPr>
        <w:t xml:space="preserve"> emphasis on the development of three strategic capabilities to build an environmentally</w:t>
      </w:r>
      <w:r w:rsidRPr="003E7EE5">
        <w:rPr>
          <w:color w:val="000000" w:themeColor="text1"/>
        </w:rPr>
        <w:t xml:space="preserve"> </w:t>
      </w:r>
      <w:r w:rsidR="00FB2634" w:rsidRPr="003E7EE5">
        <w:rPr>
          <w:color w:val="000000" w:themeColor="text1"/>
        </w:rPr>
        <w:t xml:space="preserve">driven strategy: </w:t>
      </w:r>
      <w:r w:rsidRPr="003E7EE5">
        <w:rPr>
          <w:color w:val="000000" w:themeColor="text1"/>
        </w:rPr>
        <w:t>(</w:t>
      </w:r>
      <w:r w:rsidR="00FB2634" w:rsidRPr="003E7EE5">
        <w:rPr>
          <w:color w:val="000000" w:themeColor="text1"/>
        </w:rPr>
        <w:t>1) pollution prevention</w:t>
      </w:r>
      <w:r w:rsidRPr="003E7EE5">
        <w:rPr>
          <w:color w:val="000000" w:themeColor="text1"/>
        </w:rPr>
        <w:t>, (</w:t>
      </w:r>
      <w:r w:rsidR="00FB2634" w:rsidRPr="003E7EE5">
        <w:rPr>
          <w:color w:val="000000" w:themeColor="text1"/>
        </w:rPr>
        <w:t>2) product stewardship</w:t>
      </w:r>
      <w:r w:rsidRPr="003E7EE5">
        <w:rPr>
          <w:color w:val="000000" w:themeColor="text1"/>
        </w:rPr>
        <w:t>,</w:t>
      </w:r>
      <w:r w:rsidR="00FB2634" w:rsidRPr="003E7EE5">
        <w:rPr>
          <w:color w:val="000000" w:themeColor="text1"/>
        </w:rPr>
        <w:t xml:space="preserve"> and </w:t>
      </w:r>
      <w:r w:rsidRPr="003E7EE5">
        <w:rPr>
          <w:color w:val="000000" w:themeColor="text1"/>
        </w:rPr>
        <w:t>(</w:t>
      </w:r>
      <w:r w:rsidR="00FB2634" w:rsidRPr="003E7EE5">
        <w:rPr>
          <w:color w:val="000000" w:themeColor="text1"/>
        </w:rPr>
        <w:t>3) sustainable development</w:t>
      </w:r>
      <w:r w:rsidR="002E479D" w:rsidRPr="003E7EE5">
        <w:rPr>
          <w:color w:val="000000" w:themeColor="text1"/>
        </w:rPr>
        <w:t xml:space="preserve"> (Hart, 1995)</w:t>
      </w:r>
      <w:r w:rsidR="00FB2634" w:rsidRPr="003E7EE5">
        <w:rPr>
          <w:color w:val="000000" w:themeColor="text1"/>
        </w:rPr>
        <w:t xml:space="preserve">. Green marketing holistically captures these three capabilities as it </w:t>
      </w:r>
      <w:r w:rsidRPr="003E7EE5">
        <w:rPr>
          <w:color w:val="000000" w:themeColor="text1"/>
        </w:rPr>
        <w:t>aims</w:t>
      </w:r>
      <w:r w:rsidR="00FB2634" w:rsidRPr="003E7EE5">
        <w:rPr>
          <w:color w:val="000000" w:themeColor="text1"/>
        </w:rPr>
        <w:t xml:space="preserve"> to reduce emissions and waste (e.g., green logistics</w:t>
      </w:r>
      <w:r w:rsidRPr="003E7EE5">
        <w:rPr>
          <w:color w:val="000000" w:themeColor="text1"/>
        </w:rPr>
        <w:t>,</w:t>
      </w:r>
      <w:r w:rsidR="00FB2634" w:rsidRPr="003E7EE5">
        <w:rPr>
          <w:color w:val="000000" w:themeColor="text1"/>
        </w:rPr>
        <w:t xml:space="preserve"> green R&amp;D), introduce eco-friendly processes (e.g., green marketing mix)</w:t>
      </w:r>
      <w:r w:rsidRPr="003E7EE5">
        <w:rPr>
          <w:color w:val="000000" w:themeColor="text1"/>
        </w:rPr>
        <w:t>,</w:t>
      </w:r>
      <w:r w:rsidR="00FB2634" w:rsidRPr="003E7EE5">
        <w:rPr>
          <w:color w:val="000000" w:themeColor="text1"/>
        </w:rPr>
        <w:t xml:space="preserve"> and cultivate stakeholder engagement considering the natural environment (e.g., environmental business networks) (Papadas </w:t>
      </w:r>
      <w:r w:rsidR="00FB2634" w:rsidRPr="003E7EE5">
        <w:rPr>
          <w:i/>
        </w:rPr>
        <w:t>et al.</w:t>
      </w:r>
      <w:r w:rsidR="00FB2634" w:rsidRPr="003E7EE5">
        <w:t>,</w:t>
      </w:r>
      <w:r w:rsidR="00FB2634" w:rsidRPr="003E7EE5">
        <w:rPr>
          <w:color w:val="000000" w:themeColor="text1"/>
        </w:rPr>
        <w:t xml:space="preserve"> 2019). </w:t>
      </w:r>
    </w:p>
    <w:p w14:paraId="12104DB1" w14:textId="627DF238" w:rsidR="00F73CA2" w:rsidRPr="003E7EE5" w:rsidRDefault="00C663F0" w:rsidP="00F73CA2">
      <w:pPr>
        <w:widowControl w:val="0"/>
        <w:autoSpaceDE w:val="0"/>
        <w:autoSpaceDN w:val="0"/>
        <w:adjustRightInd w:val="0"/>
        <w:spacing w:line="480" w:lineRule="auto"/>
        <w:ind w:firstLine="720"/>
        <w:rPr>
          <w:color w:val="000000" w:themeColor="text1"/>
        </w:rPr>
      </w:pPr>
      <w:r w:rsidRPr="003E7EE5">
        <w:rPr>
          <w:color w:val="000000" w:themeColor="text1"/>
        </w:rPr>
        <w:t xml:space="preserve">However, environmental capabilities require time and resources to contribute to a sustainable performance over time (Hart, 1995). Therefore, commitment and resources are considered two important pre-requisites for developing a GMS over time. </w:t>
      </w:r>
      <w:r w:rsidR="003E7EE5" w:rsidRPr="003E7EE5">
        <w:rPr>
          <w:color w:val="000000" w:themeColor="text1"/>
        </w:rPr>
        <w:t xml:space="preserve">A </w:t>
      </w:r>
      <w:r w:rsidRPr="003E7EE5">
        <w:rPr>
          <w:color w:val="000000" w:themeColor="text1"/>
        </w:rPr>
        <w:t>GMS satisfies these conditions because it involves input from various organi</w:t>
      </w:r>
      <w:r w:rsidR="003E7EE5">
        <w:rPr>
          <w:color w:val="000000" w:themeColor="text1"/>
        </w:rPr>
        <w:t>z</w:t>
      </w:r>
      <w:r w:rsidRPr="003E7EE5">
        <w:rPr>
          <w:color w:val="000000" w:themeColor="text1"/>
        </w:rPr>
        <w:t>ational units</w:t>
      </w:r>
      <w:r w:rsidR="00957027" w:rsidRPr="003E7EE5">
        <w:rPr>
          <w:color w:val="000000" w:themeColor="text1"/>
        </w:rPr>
        <w:t>,</w:t>
      </w:r>
      <w:r w:rsidRPr="003E7EE5">
        <w:rPr>
          <w:color w:val="000000" w:themeColor="text1"/>
        </w:rPr>
        <w:t xml:space="preserve"> sufficient managerial initiatives</w:t>
      </w:r>
      <w:r w:rsidR="00957027" w:rsidRPr="003E7EE5">
        <w:rPr>
          <w:color w:val="000000" w:themeColor="text1"/>
        </w:rPr>
        <w:t>,</w:t>
      </w:r>
      <w:r w:rsidRPr="003E7EE5">
        <w:rPr>
          <w:color w:val="000000" w:themeColor="text1"/>
        </w:rPr>
        <w:t xml:space="preserve"> and resources </w:t>
      </w:r>
      <w:r w:rsidR="003E7EE5">
        <w:rPr>
          <w:color w:val="000000" w:themeColor="text1"/>
        </w:rPr>
        <w:t>as well as</w:t>
      </w:r>
      <w:r w:rsidRPr="003E7EE5">
        <w:rPr>
          <w:color w:val="000000" w:themeColor="text1"/>
        </w:rPr>
        <w:t xml:space="preserve"> specific technical expertise to introduce and manage new technologies and processes (Leonidou </w:t>
      </w:r>
      <w:r w:rsidRPr="003E7EE5">
        <w:rPr>
          <w:i/>
          <w:color w:val="000000" w:themeColor="text1"/>
        </w:rPr>
        <w:t>et al.</w:t>
      </w:r>
      <w:r w:rsidRPr="003E7EE5">
        <w:rPr>
          <w:color w:val="000000" w:themeColor="text1"/>
        </w:rPr>
        <w:t xml:space="preserve">, 2013). </w:t>
      </w:r>
    </w:p>
    <w:p w14:paraId="6D682193" w14:textId="0DB59375" w:rsidR="00AC416B" w:rsidRPr="003E7EE5" w:rsidRDefault="00C663F0" w:rsidP="00617A5D">
      <w:pPr>
        <w:widowControl w:val="0"/>
        <w:autoSpaceDE w:val="0"/>
        <w:autoSpaceDN w:val="0"/>
        <w:adjustRightInd w:val="0"/>
        <w:spacing w:line="480" w:lineRule="auto"/>
        <w:ind w:firstLine="720"/>
        <w:rPr>
          <w:color w:val="000000" w:themeColor="text1"/>
        </w:rPr>
      </w:pPr>
      <w:r w:rsidRPr="003E7EE5">
        <w:rPr>
          <w:color w:val="000000" w:themeColor="text1"/>
        </w:rPr>
        <w:lastRenderedPageBreak/>
        <w:t>Importantly</w:t>
      </w:r>
      <w:r w:rsidR="00AC416B" w:rsidRPr="003E7EE5">
        <w:rPr>
          <w:color w:val="000000" w:themeColor="text1"/>
        </w:rPr>
        <w:t>, NRBV further examin</w:t>
      </w:r>
      <w:r w:rsidRPr="003E7EE5">
        <w:rPr>
          <w:color w:val="000000" w:themeColor="text1"/>
        </w:rPr>
        <w:t>es</w:t>
      </w:r>
      <w:r w:rsidR="00AC416B" w:rsidRPr="003E7EE5">
        <w:rPr>
          <w:color w:val="000000" w:themeColor="text1"/>
        </w:rPr>
        <w:t xml:space="preserve"> the relationship between environmental and business performance by </w:t>
      </w:r>
      <w:r w:rsidRPr="003E7EE5">
        <w:rPr>
          <w:color w:val="000000" w:themeColor="text1"/>
        </w:rPr>
        <w:t>connecting</w:t>
      </w:r>
      <w:r w:rsidR="00AC416B" w:rsidRPr="003E7EE5">
        <w:rPr>
          <w:color w:val="000000" w:themeColor="text1"/>
        </w:rPr>
        <w:t xml:space="preserve"> resources, capabilities</w:t>
      </w:r>
      <w:r w:rsidR="003E7EE5">
        <w:rPr>
          <w:color w:val="000000" w:themeColor="text1"/>
        </w:rPr>
        <w:t>,</w:t>
      </w:r>
      <w:r w:rsidR="00AC416B" w:rsidRPr="003E7EE5">
        <w:rPr>
          <w:color w:val="000000" w:themeColor="text1"/>
        </w:rPr>
        <w:t xml:space="preserve"> and strategic outcomes</w:t>
      </w:r>
      <w:r w:rsidRPr="003E7EE5">
        <w:rPr>
          <w:color w:val="000000" w:themeColor="text1"/>
        </w:rPr>
        <w:t xml:space="preserve"> (Hart and Dowell, 201</w:t>
      </w:r>
      <w:r w:rsidR="000615F4">
        <w:rPr>
          <w:color w:val="000000" w:themeColor="text1"/>
        </w:rPr>
        <w:t>0</w:t>
      </w:r>
      <w:r w:rsidRPr="003E7EE5">
        <w:rPr>
          <w:color w:val="000000" w:themeColor="text1"/>
        </w:rPr>
        <w:t>)</w:t>
      </w:r>
      <w:r w:rsidR="00AC416B" w:rsidRPr="003E7EE5">
        <w:rPr>
          <w:color w:val="000000" w:themeColor="text1"/>
        </w:rPr>
        <w:t>. NRBV emphasizes the conti</w:t>
      </w:r>
      <w:r w:rsidR="00BE1328">
        <w:rPr>
          <w:color w:val="000000" w:themeColor="text1"/>
        </w:rPr>
        <w:t>n</w:t>
      </w:r>
      <w:r w:rsidR="00AC416B" w:rsidRPr="003E7EE5">
        <w:rPr>
          <w:color w:val="000000" w:themeColor="text1"/>
        </w:rPr>
        <w:t xml:space="preserve">gent nature of resources and capabilities </w:t>
      </w:r>
      <w:r w:rsidRPr="003E7EE5">
        <w:rPr>
          <w:color w:val="000000" w:themeColor="text1"/>
        </w:rPr>
        <w:t>and the need to commit resources to the dynamic development of environmental capabilities to combine success</w:t>
      </w:r>
      <w:r w:rsidR="00BE1328">
        <w:rPr>
          <w:color w:val="000000" w:themeColor="text1"/>
        </w:rPr>
        <w:t>f</w:t>
      </w:r>
      <w:r w:rsidRPr="003E7EE5">
        <w:rPr>
          <w:color w:val="000000" w:themeColor="text1"/>
        </w:rPr>
        <w:t>ul</w:t>
      </w:r>
      <w:r w:rsidR="00AC416B" w:rsidRPr="003E7EE5">
        <w:rPr>
          <w:color w:val="000000" w:themeColor="text1"/>
        </w:rPr>
        <w:t xml:space="preserve"> environmental </w:t>
      </w:r>
      <w:r w:rsidRPr="003E7EE5">
        <w:rPr>
          <w:color w:val="000000" w:themeColor="text1"/>
        </w:rPr>
        <w:t xml:space="preserve">outcomes with superior </w:t>
      </w:r>
      <w:r w:rsidR="00AC416B" w:rsidRPr="003E7EE5">
        <w:rPr>
          <w:color w:val="000000" w:themeColor="text1"/>
        </w:rPr>
        <w:t>business performance.</w:t>
      </w:r>
    </w:p>
    <w:p w14:paraId="42B34CC2" w14:textId="55990CCB" w:rsidR="00FE6111" w:rsidRPr="003E7EE5" w:rsidRDefault="00E1611C" w:rsidP="00617A5D">
      <w:pPr>
        <w:spacing w:line="480" w:lineRule="auto"/>
        <w:rPr>
          <w:i/>
          <w:color w:val="000000" w:themeColor="text1"/>
          <w:szCs w:val="22"/>
        </w:rPr>
      </w:pPr>
      <w:r w:rsidRPr="003E7EE5">
        <w:rPr>
          <w:i/>
          <w:color w:val="000000" w:themeColor="text1"/>
          <w:szCs w:val="22"/>
        </w:rPr>
        <w:t>C</w:t>
      </w:r>
      <w:r w:rsidR="00FE6111" w:rsidRPr="003E7EE5">
        <w:rPr>
          <w:i/>
          <w:color w:val="000000" w:themeColor="text1"/>
          <w:szCs w:val="22"/>
        </w:rPr>
        <w:t>onti</w:t>
      </w:r>
      <w:r w:rsidR="00BE1328">
        <w:rPr>
          <w:i/>
          <w:color w:val="000000" w:themeColor="text1"/>
          <w:szCs w:val="22"/>
        </w:rPr>
        <w:t>n</w:t>
      </w:r>
      <w:r w:rsidR="00FE6111" w:rsidRPr="003E7EE5">
        <w:rPr>
          <w:i/>
          <w:color w:val="000000" w:themeColor="text1"/>
          <w:szCs w:val="22"/>
        </w:rPr>
        <w:t xml:space="preserve">gency </w:t>
      </w:r>
      <w:r w:rsidR="003E7EE5">
        <w:rPr>
          <w:i/>
          <w:color w:val="000000" w:themeColor="text1"/>
          <w:szCs w:val="22"/>
        </w:rPr>
        <w:t>t</w:t>
      </w:r>
      <w:r w:rsidR="0020758D" w:rsidRPr="003E7EE5">
        <w:rPr>
          <w:i/>
          <w:color w:val="000000" w:themeColor="text1"/>
          <w:szCs w:val="22"/>
        </w:rPr>
        <w:t>heory</w:t>
      </w:r>
      <w:r w:rsidR="000C389E" w:rsidRPr="003E7EE5">
        <w:rPr>
          <w:i/>
          <w:color w:val="000000" w:themeColor="text1"/>
          <w:szCs w:val="22"/>
        </w:rPr>
        <w:t xml:space="preserve">: </w:t>
      </w:r>
      <w:r w:rsidR="003E7EE5">
        <w:rPr>
          <w:i/>
          <w:color w:val="000000" w:themeColor="text1"/>
          <w:szCs w:val="22"/>
        </w:rPr>
        <w:t>g</w:t>
      </w:r>
      <w:r w:rsidR="000C389E" w:rsidRPr="003E7EE5">
        <w:rPr>
          <w:i/>
          <w:color w:val="000000" w:themeColor="text1"/>
          <w:szCs w:val="22"/>
        </w:rPr>
        <w:t xml:space="preserve">reen </w:t>
      </w:r>
      <w:r w:rsidR="003E7EE5">
        <w:rPr>
          <w:i/>
          <w:color w:val="000000" w:themeColor="text1"/>
          <w:szCs w:val="22"/>
        </w:rPr>
        <w:t>m</w:t>
      </w:r>
      <w:r w:rsidR="000C389E" w:rsidRPr="003E7EE5">
        <w:rPr>
          <w:i/>
          <w:color w:val="000000" w:themeColor="text1"/>
          <w:szCs w:val="22"/>
        </w:rPr>
        <w:t xml:space="preserve">arketing during </w:t>
      </w:r>
      <w:r w:rsidR="003E7EE5">
        <w:rPr>
          <w:i/>
          <w:color w:val="000000" w:themeColor="text1"/>
          <w:szCs w:val="22"/>
        </w:rPr>
        <w:t>c</w:t>
      </w:r>
      <w:r w:rsidR="000C389E" w:rsidRPr="003E7EE5">
        <w:rPr>
          <w:i/>
          <w:color w:val="000000" w:themeColor="text1"/>
          <w:szCs w:val="22"/>
        </w:rPr>
        <w:t>rises</w:t>
      </w:r>
    </w:p>
    <w:p w14:paraId="4B151C78" w14:textId="29F30944" w:rsidR="00BA15E8" w:rsidRDefault="000517A1" w:rsidP="00BA15E8">
      <w:pPr>
        <w:widowControl w:val="0"/>
        <w:autoSpaceDE w:val="0"/>
        <w:autoSpaceDN w:val="0"/>
        <w:adjustRightInd w:val="0"/>
        <w:spacing w:line="480" w:lineRule="auto"/>
      </w:pPr>
      <w:r w:rsidRPr="003E7EE5">
        <w:rPr>
          <w:iCs/>
          <w:color w:val="000000" w:themeColor="text1"/>
          <w:szCs w:val="22"/>
        </w:rPr>
        <w:t xml:space="preserve">According to contingency theory, </w:t>
      </w:r>
      <w:r w:rsidR="00A71ADC" w:rsidRPr="003E7EE5">
        <w:rPr>
          <w:iCs/>
          <w:color w:val="000000" w:themeColor="text1"/>
          <w:szCs w:val="22"/>
        </w:rPr>
        <w:t xml:space="preserve">organizations achieve effectiveness by aligning </w:t>
      </w:r>
      <w:r w:rsidR="003E7EE5">
        <w:rPr>
          <w:iCs/>
          <w:color w:val="000000" w:themeColor="text1"/>
          <w:szCs w:val="22"/>
        </w:rPr>
        <w:t>their</w:t>
      </w:r>
      <w:r w:rsidR="00A71ADC" w:rsidRPr="003E7EE5">
        <w:rPr>
          <w:iCs/>
          <w:color w:val="000000" w:themeColor="text1"/>
          <w:szCs w:val="22"/>
        </w:rPr>
        <w:t xml:space="preserve"> characteristics </w:t>
      </w:r>
      <w:r w:rsidR="003E7EE5">
        <w:rPr>
          <w:iCs/>
          <w:color w:val="000000" w:themeColor="text1"/>
          <w:szCs w:val="22"/>
        </w:rPr>
        <w:t xml:space="preserve">with </w:t>
      </w:r>
      <w:r w:rsidR="00C96B2F" w:rsidRPr="003E7EE5">
        <w:rPr>
          <w:iCs/>
          <w:color w:val="000000" w:themeColor="text1"/>
          <w:szCs w:val="22"/>
        </w:rPr>
        <w:t xml:space="preserve">conditions </w:t>
      </w:r>
      <w:r w:rsidR="00A71ADC" w:rsidRPr="003E7EE5">
        <w:rPr>
          <w:iCs/>
          <w:color w:val="000000" w:themeColor="text1"/>
          <w:szCs w:val="22"/>
        </w:rPr>
        <w:t xml:space="preserve">that reflect </w:t>
      </w:r>
      <w:r w:rsidR="003E7EE5">
        <w:rPr>
          <w:iCs/>
          <w:color w:val="000000" w:themeColor="text1"/>
          <w:szCs w:val="22"/>
        </w:rPr>
        <w:t>their</w:t>
      </w:r>
      <w:r w:rsidR="00A71ADC" w:rsidRPr="003E7EE5">
        <w:rPr>
          <w:iCs/>
          <w:color w:val="000000" w:themeColor="text1"/>
          <w:szCs w:val="22"/>
        </w:rPr>
        <w:t xml:space="preserve"> </w:t>
      </w:r>
      <w:r w:rsidR="0020758D" w:rsidRPr="003E7EE5">
        <w:rPr>
          <w:iCs/>
          <w:color w:val="000000" w:themeColor="text1"/>
          <w:szCs w:val="22"/>
        </w:rPr>
        <w:t>exter</w:t>
      </w:r>
      <w:r w:rsidR="000E0A3E" w:rsidRPr="003E7EE5">
        <w:rPr>
          <w:iCs/>
          <w:color w:val="000000" w:themeColor="text1"/>
          <w:szCs w:val="22"/>
        </w:rPr>
        <w:t xml:space="preserve">nal </w:t>
      </w:r>
      <w:r w:rsidR="00C96B2F" w:rsidRPr="003E7EE5">
        <w:rPr>
          <w:iCs/>
          <w:color w:val="000000" w:themeColor="text1"/>
          <w:szCs w:val="22"/>
        </w:rPr>
        <w:t>environment</w:t>
      </w:r>
      <w:r w:rsidR="003E7EE5">
        <w:rPr>
          <w:iCs/>
          <w:color w:val="000000" w:themeColor="text1"/>
          <w:szCs w:val="22"/>
        </w:rPr>
        <w:t>s</w:t>
      </w:r>
      <w:r w:rsidR="00C96B2F" w:rsidRPr="003E7EE5">
        <w:rPr>
          <w:iCs/>
          <w:color w:val="000000" w:themeColor="text1"/>
          <w:szCs w:val="22"/>
        </w:rPr>
        <w:t xml:space="preserve"> </w:t>
      </w:r>
      <w:r w:rsidRPr="003E7EE5">
        <w:rPr>
          <w:iCs/>
          <w:color w:val="000000" w:themeColor="text1"/>
          <w:szCs w:val="22"/>
        </w:rPr>
        <w:t xml:space="preserve">(Lawrence and Lorsch, 1969). </w:t>
      </w:r>
      <w:r w:rsidR="003E7EE5">
        <w:rPr>
          <w:iCs/>
          <w:color w:val="000000" w:themeColor="text1"/>
          <w:szCs w:val="22"/>
        </w:rPr>
        <w:t>Adopting</w:t>
      </w:r>
      <w:r w:rsidR="000E0A3E" w:rsidRPr="003E7EE5">
        <w:rPr>
          <w:iCs/>
          <w:color w:val="000000" w:themeColor="text1"/>
          <w:szCs w:val="22"/>
        </w:rPr>
        <w:t xml:space="preserve"> </w:t>
      </w:r>
      <w:r w:rsidR="006D165A" w:rsidRPr="003E7EE5">
        <w:rPr>
          <w:iCs/>
          <w:color w:val="000000" w:themeColor="text1"/>
          <w:szCs w:val="22"/>
        </w:rPr>
        <w:t>a</w:t>
      </w:r>
      <w:r w:rsidR="004E3051" w:rsidRPr="003E7EE5">
        <w:rPr>
          <w:iCs/>
          <w:color w:val="000000" w:themeColor="text1"/>
          <w:szCs w:val="22"/>
        </w:rPr>
        <w:t xml:space="preserve"> contingency </w:t>
      </w:r>
      <w:r w:rsidR="000E0A3E" w:rsidRPr="003E7EE5">
        <w:rPr>
          <w:iCs/>
          <w:color w:val="000000" w:themeColor="text1"/>
          <w:szCs w:val="22"/>
        </w:rPr>
        <w:t xml:space="preserve">theory lens on </w:t>
      </w:r>
      <w:r w:rsidR="004B75F7" w:rsidRPr="003E7EE5">
        <w:rPr>
          <w:iCs/>
          <w:color w:val="000000" w:themeColor="text1"/>
          <w:szCs w:val="22"/>
        </w:rPr>
        <w:t>NRBV</w:t>
      </w:r>
      <w:r w:rsidR="008365DC" w:rsidRPr="003E7EE5">
        <w:rPr>
          <w:iCs/>
          <w:color w:val="000000" w:themeColor="text1"/>
          <w:szCs w:val="22"/>
        </w:rPr>
        <w:t xml:space="preserve">, </w:t>
      </w:r>
      <w:r w:rsidR="000E0A3E" w:rsidRPr="003E7EE5">
        <w:rPr>
          <w:iCs/>
          <w:color w:val="000000" w:themeColor="text1"/>
          <w:szCs w:val="22"/>
        </w:rPr>
        <w:t>we</w:t>
      </w:r>
      <w:r w:rsidR="004E3051" w:rsidRPr="003E7EE5">
        <w:rPr>
          <w:iCs/>
          <w:color w:val="000000" w:themeColor="text1"/>
          <w:szCs w:val="22"/>
        </w:rPr>
        <w:t xml:space="preserve"> argue that the </w:t>
      </w:r>
      <w:r w:rsidR="00C96B2F" w:rsidRPr="003E7EE5">
        <w:rPr>
          <w:iCs/>
          <w:color w:val="000000" w:themeColor="text1"/>
          <w:szCs w:val="22"/>
        </w:rPr>
        <w:t xml:space="preserve">implementation </w:t>
      </w:r>
      <w:r w:rsidR="004E3051" w:rsidRPr="003E7EE5">
        <w:rPr>
          <w:iCs/>
          <w:color w:val="000000" w:themeColor="text1"/>
          <w:szCs w:val="22"/>
        </w:rPr>
        <w:t>of green marketing practices is context dependent</w:t>
      </w:r>
      <w:r w:rsidR="00444327" w:rsidRPr="003E7EE5">
        <w:rPr>
          <w:iCs/>
          <w:color w:val="000000" w:themeColor="text1"/>
          <w:szCs w:val="22"/>
        </w:rPr>
        <w:t xml:space="preserve">. </w:t>
      </w:r>
      <w:r w:rsidR="00444327" w:rsidRPr="003E7EE5">
        <w:rPr>
          <w:color w:val="000000" w:themeColor="text1"/>
        </w:rPr>
        <w:t>Previous</w:t>
      </w:r>
      <w:r w:rsidR="00F73CA2" w:rsidRPr="003E7EE5">
        <w:rPr>
          <w:color w:val="000000" w:themeColor="text1"/>
        </w:rPr>
        <w:t xml:space="preserve"> studies </w:t>
      </w:r>
      <w:r w:rsidR="003E7EE5">
        <w:rPr>
          <w:color w:val="000000" w:themeColor="text1"/>
        </w:rPr>
        <w:t xml:space="preserve">have </w:t>
      </w:r>
      <w:r w:rsidR="00F73CA2" w:rsidRPr="003E7EE5">
        <w:rPr>
          <w:color w:val="000000" w:themeColor="text1"/>
        </w:rPr>
        <w:t>stress</w:t>
      </w:r>
      <w:r w:rsidR="003E7EE5">
        <w:rPr>
          <w:color w:val="000000" w:themeColor="text1"/>
        </w:rPr>
        <w:t>ed</w:t>
      </w:r>
      <w:r w:rsidR="00F73CA2" w:rsidRPr="003E7EE5">
        <w:rPr>
          <w:color w:val="000000" w:themeColor="text1"/>
        </w:rPr>
        <w:t xml:space="preserve"> the importance of developing adaptive marketing capabilities that </w:t>
      </w:r>
      <w:r w:rsidR="003E7EE5">
        <w:rPr>
          <w:color w:val="000000" w:themeColor="text1"/>
        </w:rPr>
        <w:t xml:space="preserve">help </w:t>
      </w:r>
      <w:r w:rsidR="00F73CA2" w:rsidRPr="003E7EE5">
        <w:rPr>
          <w:color w:val="000000" w:themeColor="text1"/>
        </w:rPr>
        <w:t>anticipat</w:t>
      </w:r>
      <w:r w:rsidR="003E7EE5">
        <w:rPr>
          <w:color w:val="000000" w:themeColor="text1"/>
        </w:rPr>
        <w:t>e</w:t>
      </w:r>
      <w:r w:rsidR="00F73CA2" w:rsidRPr="003E7EE5">
        <w:rPr>
          <w:color w:val="000000" w:themeColor="text1"/>
        </w:rPr>
        <w:t xml:space="preserve"> trends and </w:t>
      </w:r>
      <w:r w:rsidR="003E7EE5">
        <w:rPr>
          <w:color w:val="000000" w:themeColor="text1"/>
        </w:rPr>
        <w:t xml:space="preserve">make </w:t>
      </w:r>
      <w:r w:rsidR="00F73CA2" w:rsidRPr="003E7EE5">
        <w:rPr>
          <w:color w:val="000000" w:themeColor="text1"/>
        </w:rPr>
        <w:t>faster adjustments to key market changes (e.g., Day, 2011)</w:t>
      </w:r>
      <w:r w:rsidR="00444327" w:rsidRPr="003E7EE5">
        <w:rPr>
          <w:color w:val="000000" w:themeColor="text1"/>
        </w:rPr>
        <w:t xml:space="preserve">. However, </w:t>
      </w:r>
      <w:r w:rsidR="00E7427F">
        <w:rPr>
          <w:color w:val="000000" w:themeColor="text1"/>
        </w:rPr>
        <w:t xml:space="preserve">the </w:t>
      </w:r>
      <w:r w:rsidR="00444327" w:rsidRPr="003E7EE5">
        <w:rPr>
          <w:color w:val="000000" w:themeColor="text1"/>
        </w:rPr>
        <w:t xml:space="preserve">literature </w:t>
      </w:r>
      <w:r w:rsidR="00C96B2F" w:rsidRPr="003E7EE5">
        <w:rPr>
          <w:color w:val="000000" w:themeColor="text1"/>
        </w:rPr>
        <w:t xml:space="preserve">remains silent </w:t>
      </w:r>
      <w:r w:rsidR="00E7427F">
        <w:rPr>
          <w:color w:val="000000" w:themeColor="text1"/>
        </w:rPr>
        <w:t>on</w:t>
      </w:r>
      <w:r w:rsidR="00392AB8" w:rsidRPr="003E7EE5">
        <w:rPr>
          <w:color w:val="000000" w:themeColor="text1"/>
        </w:rPr>
        <w:t xml:space="preserve"> </w:t>
      </w:r>
      <w:r w:rsidR="00C96B2F" w:rsidRPr="003E7EE5">
        <w:rPr>
          <w:color w:val="000000" w:themeColor="text1"/>
        </w:rPr>
        <w:t>how</w:t>
      </w:r>
      <w:r w:rsidR="00444327" w:rsidRPr="003E7EE5">
        <w:rPr>
          <w:color w:val="000000" w:themeColor="text1"/>
        </w:rPr>
        <w:t xml:space="preserve"> external contingency factors (</w:t>
      </w:r>
      <w:r w:rsidR="00A71ADC" w:rsidRPr="003E7EE5">
        <w:rPr>
          <w:color w:val="000000" w:themeColor="text1"/>
        </w:rPr>
        <w:t>e.g., economic</w:t>
      </w:r>
      <w:r w:rsidR="00444327" w:rsidRPr="003E7EE5">
        <w:rPr>
          <w:color w:val="000000" w:themeColor="text1"/>
        </w:rPr>
        <w:t xml:space="preserve"> uncertainty) </w:t>
      </w:r>
      <w:r w:rsidR="00C96B2F" w:rsidRPr="003E7EE5">
        <w:rPr>
          <w:color w:val="000000" w:themeColor="text1"/>
        </w:rPr>
        <w:t xml:space="preserve">influence </w:t>
      </w:r>
      <w:r w:rsidR="00444327" w:rsidRPr="003E7EE5">
        <w:rPr>
          <w:color w:val="000000" w:themeColor="text1"/>
        </w:rPr>
        <w:t>the relationship between green marketing practices and organization</w:t>
      </w:r>
      <w:r w:rsidR="00C96B2F" w:rsidRPr="003E7EE5">
        <w:rPr>
          <w:color w:val="000000" w:themeColor="text1"/>
        </w:rPr>
        <w:t>al</w:t>
      </w:r>
      <w:r w:rsidR="00444327" w:rsidRPr="003E7EE5">
        <w:rPr>
          <w:color w:val="000000" w:themeColor="text1"/>
        </w:rPr>
        <w:t xml:space="preserve"> performance </w:t>
      </w:r>
      <w:r w:rsidR="0032370A" w:rsidRPr="003E7EE5">
        <w:rPr>
          <w:color w:val="000000" w:themeColor="text1"/>
        </w:rPr>
        <w:t>(</w:t>
      </w:r>
      <w:proofErr w:type="spellStart"/>
      <w:r w:rsidR="0032370A" w:rsidRPr="003E7EE5">
        <w:rPr>
          <w:color w:val="000000" w:themeColor="text1"/>
        </w:rPr>
        <w:t>Maletič</w:t>
      </w:r>
      <w:proofErr w:type="spellEnd"/>
      <w:r w:rsidR="0032370A" w:rsidRPr="003E7EE5">
        <w:rPr>
          <w:color w:val="000000" w:themeColor="text1"/>
        </w:rPr>
        <w:t xml:space="preserve"> </w:t>
      </w:r>
      <w:r w:rsidR="0032370A" w:rsidRPr="005E1791">
        <w:rPr>
          <w:i/>
          <w:iCs/>
          <w:color w:val="000000" w:themeColor="text1"/>
        </w:rPr>
        <w:t>et al.</w:t>
      </w:r>
      <w:r w:rsidR="0032370A" w:rsidRPr="003E7EE5">
        <w:rPr>
          <w:color w:val="000000" w:themeColor="text1"/>
        </w:rPr>
        <w:t>, 2018)</w:t>
      </w:r>
      <w:r w:rsidR="00444327" w:rsidRPr="003E7EE5">
        <w:rPr>
          <w:color w:val="000000" w:themeColor="text1"/>
        </w:rPr>
        <w:t xml:space="preserve">. </w:t>
      </w:r>
      <w:r w:rsidR="00A71ADC" w:rsidRPr="003E7EE5">
        <w:rPr>
          <w:color w:val="000000" w:themeColor="text1"/>
        </w:rPr>
        <w:t xml:space="preserve">A deep economic recession </w:t>
      </w:r>
      <w:r w:rsidR="00C96B2F" w:rsidRPr="003E7EE5">
        <w:rPr>
          <w:color w:val="000000" w:themeColor="text1"/>
        </w:rPr>
        <w:t>forces</w:t>
      </w:r>
      <w:r w:rsidR="00A71ADC" w:rsidRPr="003E7EE5">
        <w:rPr>
          <w:color w:val="000000" w:themeColor="text1"/>
        </w:rPr>
        <w:t xml:space="preserve"> organizations to make strategic </w:t>
      </w:r>
      <w:r w:rsidR="0032370A" w:rsidRPr="003E7EE5">
        <w:rPr>
          <w:color w:val="000000" w:themeColor="text1"/>
        </w:rPr>
        <w:t>decision</w:t>
      </w:r>
      <w:r w:rsidR="00C96B2F" w:rsidRPr="003E7EE5">
        <w:rPr>
          <w:color w:val="000000" w:themeColor="text1"/>
        </w:rPr>
        <w:t>s</w:t>
      </w:r>
      <w:r w:rsidR="00E7427F">
        <w:rPr>
          <w:color w:val="000000" w:themeColor="text1"/>
        </w:rPr>
        <w:t xml:space="preserve"> </w:t>
      </w:r>
      <w:r w:rsidR="00B30F40">
        <w:rPr>
          <w:color w:val="000000" w:themeColor="text1"/>
        </w:rPr>
        <w:t>on</w:t>
      </w:r>
      <w:r w:rsidR="00C96B2F" w:rsidRPr="003E7EE5">
        <w:rPr>
          <w:color w:val="000000" w:themeColor="text1"/>
        </w:rPr>
        <w:t xml:space="preserve"> (1) how committed they will be to their GMS</w:t>
      </w:r>
      <w:r w:rsidR="00E7427F">
        <w:rPr>
          <w:color w:val="000000" w:themeColor="text1"/>
        </w:rPr>
        <w:t>s</w:t>
      </w:r>
      <w:r w:rsidR="00C96B2F" w:rsidRPr="003E7EE5">
        <w:rPr>
          <w:color w:val="000000" w:themeColor="text1"/>
        </w:rPr>
        <w:t xml:space="preserve"> and (2)</w:t>
      </w:r>
      <w:r w:rsidR="00A71ADC" w:rsidRPr="003E7EE5">
        <w:rPr>
          <w:color w:val="000000" w:themeColor="text1"/>
        </w:rPr>
        <w:t xml:space="preserve"> </w:t>
      </w:r>
      <w:r w:rsidR="00C96B2F" w:rsidRPr="003E7EE5">
        <w:rPr>
          <w:color w:val="000000" w:themeColor="text1"/>
        </w:rPr>
        <w:t>whether they will continue allocating resources to enable or reinfor</w:t>
      </w:r>
      <w:r w:rsidR="00E7427F">
        <w:rPr>
          <w:color w:val="000000" w:themeColor="text1"/>
        </w:rPr>
        <w:t>ce</w:t>
      </w:r>
      <w:r w:rsidR="00C96B2F" w:rsidRPr="003E7EE5">
        <w:rPr>
          <w:color w:val="000000" w:themeColor="text1"/>
        </w:rPr>
        <w:t xml:space="preserve"> </w:t>
      </w:r>
      <w:r w:rsidR="00E7427F">
        <w:rPr>
          <w:color w:val="000000" w:themeColor="text1"/>
        </w:rPr>
        <w:t>these strategies</w:t>
      </w:r>
      <w:r w:rsidR="00A71ADC" w:rsidRPr="003E7EE5">
        <w:rPr>
          <w:color w:val="000000" w:themeColor="text1"/>
        </w:rPr>
        <w:t xml:space="preserve">. </w:t>
      </w:r>
      <w:r w:rsidR="00FA2649" w:rsidRPr="003E7EE5">
        <w:t>We propose that investing in a proactive environmental strategy such as GMS</w:t>
      </w:r>
      <w:r w:rsidR="00E7427F">
        <w:t>s</w:t>
      </w:r>
      <w:r w:rsidR="00FA2649" w:rsidRPr="003E7EE5">
        <w:t xml:space="preserve"> during periods of uncertainty helps firms build a dynamic capability that is rare, non-imitable</w:t>
      </w:r>
      <w:r w:rsidR="00E7427F">
        <w:t>,</w:t>
      </w:r>
      <w:r w:rsidR="00FA2649" w:rsidRPr="003E7EE5">
        <w:t xml:space="preserve"> and valuable (Aragón-Correa</w:t>
      </w:r>
      <w:r w:rsidR="00F132C0">
        <w:t xml:space="preserve"> and Sharma</w:t>
      </w:r>
      <w:r w:rsidR="00FA2649" w:rsidRPr="003E7EE5">
        <w:t xml:space="preserve">, 2003). </w:t>
      </w:r>
      <w:r w:rsidR="00BA15E8">
        <w:t xml:space="preserve">Figure 1 below shows the </w:t>
      </w:r>
      <w:r w:rsidR="00C27C47">
        <w:t>hypothesized model</w:t>
      </w:r>
      <w:r w:rsidR="00BA15E8">
        <w:t xml:space="preserve"> of our study.</w:t>
      </w:r>
    </w:p>
    <w:p w14:paraId="782553CA" w14:textId="3C505684" w:rsidR="00BA15E8" w:rsidRPr="00BA15E8" w:rsidRDefault="00BA15E8" w:rsidP="00BA15E8">
      <w:pPr>
        <w:widowControl w:val="0"/>
        <w:autoSpaceDE w:val="0"/>
        <w:autoSpaceDN w:val="0"/>
        <w:adjustRightInd w:val="0"/>
        <w:spacing w:line="480" w:lineRule="auto"/>
        <w:jc w:val="center"/>
        <w:rPr>
          <w:i/>
          <w:iCs/>
          <w:color w:val="000000" w:themeColor="text1"/>
        </w:rPr>
      </w:pPr>
      <w:r w:rsidRPr="00BA15E8">
        <w:rPr>
          <w:i/>
          <w:iCs/>
        </w:rPr>
        <w:t>Figure 1 here</w:t>
      </w:r>
    </w:p>
    <w:p w14:paraId="560FB53F" w14:textId="3B582348" w:rsidR="00C1326B" w:rsidRPr="003E7EE5" w:rsidRDefault="00B07F40" w:rsidP="005E1791">
      <w:pPr>
        <w:spacing w:line="480" w:lineRule="auto"/>
        <w:outlineLvl w:val="0"/>
        <w:rPr>
          <w:i/>
        </w:rPr>
      </w:pPr>
      <w:r w:rsidRPr="003E7EE5">
        <w:rPr>
          <w:i/>
          <w:iCs/>
        </w:rPr>
        <w:t>Creating organizational commitment to GM</w:t>
      </w:r>
      <w:r w:rsidR="001E4884" w:rsidRPr="003E7EE5">
        <w:rPr>
          <w:i/>
          <w:iCs/>
        </w:rPr>
        <w:t>S during crises</w:t>
      </w:r>
    </w:p>
    <w:p w14:paraId="49313EA1" w14:textId="2D873AB1" w:rsidR="00BF580B" w:rsidRPr="003E7EE5" w:rsidRDefault="00F3638A" w:rsidP="005E1791">
      <w:pPr>
        <w:pStyle w:val="NormalWeb"/>
        <w:spacing w:before="0" w:beforeAutospacing="0" w:after="0" w:afterAutospacing="0" w:line="480" w:lineRule="auto"/>
      </w:pPr>
      <w:r w:rsidRPr="003E7EE5">
        <w:rPr>
          <w:color w:val="000000" w:themeColor="text1"/>
        </w:rPr>
        <w:t>Legitimacy and stakeholder</w:t>
      </w:r>
      <w:r w:rsidR="00E51367" w:rsidRPr="003E7EE5">
        <w:rPr>
          <w:color w:val="000000" w:themeColor="text1"/>
        </w:rPr>
        <w:t xml:space="preserve"> theor</w:t>
      </w:r>
      <w:r w:rsidRPr="003E7EE5">
        <w:rPr>
          <w:color w:val="000000" w:themeColor="text1"/>
        </w:rPr>
        <w:t>ies</w:t>
      </w:r>
      <w:r w:rsidR="00E51367" w:rsidRPr="003E7EE5">
        <w:rPr>
          <w:color w:val="000000" w:themeColor="text1"/>
        </w:rPr>
        <w:t xml:space="preserve"> </w:t>
      </w:r>
      <w:r w:rsidR="00E51367" w:rsidRPr="003E7EE5">
        <w:t>consider organizations open system</w:t>
      </w:r>
      <w:r w:rsidR="001E4884" w:rsidRPr="003E7EE5">
        <w:t>s</w:t>
      </w:r>
      <w:r w:rsidR="00E51367" w:rsidRPr="003E7EE5">
        <w:t xml:space="preserve"> </w:t>
      </w:r>
      <w:r w:rsidR="00E7427F">
        <w:t>located</w:t>
      </w:r>
      <w:r w:rsidR="00E51367" w:rsidRPr="003E7EE5">
        <w:t xml:space="preserve"> in a broader social </w:t>
      </w:r>
      <w:r w:rsidR="00E51367" w:rsidRPr="003E7EE5">
        <w:rPr>
          <w:color w:val="000000" w:themeColor="text1"/>
        </w:rPr>
        <w:t xml:space="preserve">system </w:t>
      </w:r>
      <w:r w:rsidR="00E51367" w:rsidRPr="003E7EE5">
        <w:rPr>
          <w:color w:val="000000" w:themeColor="text1"/>
          <w:shd w:val="clear" w:color="auto" w:fill="FFFFFF"/>
        </w:rPr>
        <w:t xml:space="preserve">(Saleem </w:t>
      </w:r>
      <w:r w:rsidR="00E51367" w:rsidRPr="003E7EE5">
        <w:rPr>
          <w:i/>
          <w:iCs/>
          <w:color w:val="000000" w:themeColor="text1"/>
          <w:shd w:val="clear" w:color="auto" w:fill="FFFFFF"/>
        </w:rPr>
        <w:t>et al.</w:t>
      </w:r>
      <w:r w:rsidR="00E51367" w:rsidRPr="003E7EE5">
        <w:rPr>
          <w:color w:val="000000" w:themeColor="text1"/>
          <w:shd w:val="clear" w:color="auto" w:fill="FFFFFF"/>
        </w:rPr>
        <w:t>, 2021)</w:t>
      </w:r>
      <w:r w:rsidR="00E51367" w:rsidRPr="003E7EE5">
        <w:rPr>
          <w:color w:val="000000" w:themeColor="text1"/>
        </w:rPr>
        <w:t>. Both these theoretical streams are</w:t>
      </w:r>
      <w:r w:rsidR="00BF580B" w:rsidRPr="003E7EE5">
        <w:rPr>
          <w:color w:val="000000" w:themeColor="text1"/>
        </w:rPr>
        <w:t xml:space="preserve"> useful to understand </w:t>
      </w:r>
      <w:r w:rsidR="00C1326B" w:rsidRPr="003E7EE5">
        <w:rPr>
          <w:color w:val="000000" w:themeColor="text1"/>
        </w:rPr>
        <w:t>extrinsic and intrinsic commitment</w:t>
      </w:r>
      <w:r w:rsidR="00E7427F">
        <w:rPr>
          <w:color w:val="000000" w:themeColor="text1"/>
        </w:rPr>
        <w:t>s</w:t>
      </w:r>
      <w:r w:rsidR="00C1326B" w:rsidRPr="003E7EE5">
        <w:rPr>
          <w:color w:val="000000" w:themeColor="text1"/>
        </w:rPr>
        <w:t xml:space="preserve"> as drivers of</w:t>
      </w:r>
      <w:r w:rsidR="00BF580B" w:rsidRPr="003E7EE5">
        <w:rPr>
          <w:color w:val="000000" w:themeColor="text1"/>
        </w:rPr>
        <w:t xml:space="preserve"> GMS </w:t>
      </w:r>
      <w:r w:rsidR="00BF580B" w:rsidRPr="003E7EE5">
        <w:rPr>
          <w:iCs/>
          <w:color w:val="000000" w:themeColor="text1"/>
        </w:rPr>
        <w:t>t</w:t>
      </w:r>
      <w:r w:rsidR="00C1326B" w:rsidRPr="003E7EE5">
        <w:rPr>
          <w:iCs/>
          <w:color w:val="000000" w:themeColor="text1"/>
        </w:rPr>
        <w:t xml:space="preserve">hat </w:t>
      </w:r>
      <w:r w:rsidR="00BF580B" w:rsidRPr="003E7EE5">
        <w:rPr>
          <w:iCs/>
          <w:color w:val="000000" w:themeColor="text1"/>
        </w:rPr>
        <w:t xml:space="preserve">establish </w:t>
      </w:r>
      <w:r w:rsidR="00246A54" w:rsidRPr="003E7EE5">
        <w:rPr>
          <w:iCs/>
          <w:color w:val="000000" w:themeColor="text1"/>
        </w:rPr>
        <w:t xml:space="preserve">the firm’s </w:t>
      </w:r>
      <w:r w:rsidR="00BF580B" w:rsidRPr="003E7EE5">
        <w:rPr>
          <w:iCs/>
          <w:color w:val="000000" w:themeColor="text1"/>
        </w:rPr>
        <w:t xml:space="preserve">social </w:t>
      </w:r>
      <w:r w:rsidR="00BF580B" w:rsidRPr="003E7EE5">
        <w:rPr>
          <w:iCs/>
          <w:color w:val="000000" w:themeColor="text1"/>
        </w:rPr>
        <w:lastRenderedPageBreak/>
        <w:t xml:space="preserve">legitimacy (Sarkis </w:t>
      </w:r>
      <w:r w:rsidR="00BF580B" w:rsidRPr="003E7EE5">
        <w:rPr>
          <w:i/>
          <w:color w:val="000000" w:themeColor="text1"/>
        </w:rPr>
        <w:t>et al.</w:t>
      </w:r>
      <w:r w:rsidR="00BF580B" w:rsidRPr="003E7EE5">
        <w:rPr>
          <w:color w:val="000000" w:themeColor="text1"/>
        </w:rPr>
        <w:t>,</w:t>
      </w:r>
      <w:r w:rsidR="00BF580B" w:rsidRPr="003E7EE5">
        <w:rPr>
          <w:iCs/>
          <w:color w:val="000000" w:themeColor="text1"/>
        </w:rPr>
        <w:t xml:space="preserve"> 2010). </w:t>
      </w:r>
      <w:r w:rsidRPr="003E7EE5">
        <w:rPr>
          <w:color w:val="000000" w:themeColor="text1"/>
        </w:rPr>
        <w:t xml:space="preserve">We </w:t>
      </w:r>
      <w:r w:rsidR="001E4884" w:rsidRPr="003E7EE5">
        <w:rPr>
          <w:color w:val="000000" w:themeColor="text1"/>
        </w:rPr>
        <w:t xml:space="preserve">propose that </w:t>
      </w:r>
      <w:r w:rsidRPr="003E7EE5">
        <w:rPr>
          <w:color w:val="000000" w:themeColor="text1"/>
        </w:rPr>
        <w:t xml:space="preserve">corporate sustainability </w:t>
      </w:r>
      <w:r w:rsidR="001E4884" w:rsidRPr="003E7EE5">
        <w:rPr>
          <w:color w:val="000000" w:themeColor="text1"/>
        </w:rPr>
        <w:t xml:space="preserve">reflects </w:t>
      </w:r>
      <w:r w:rsidRPr="003E7EE5">
        <w:rPr>
          <w:color w:val="000000" w:themeColor="text1"/>
        </w:rPr>
        <w:t>a</w:t>
      </w:r>
      <w:r w:rsidR="001E4884" w:rsidRPr="003E7EE5">
        <w:rPr>
          <w:color w:val="000000" w:themeColor="text1"/>
        </w:rPr>
        <w:t xml:space="preserve"> firm’s </w:t>
      </w:r>
      <w:r w:rsidR="00BF580B" w:rsidRPr="003E7EE5">
        <w:rPr>
          <w:color w:val="000000" w:themeColor="text1"/>
        </w:rPr>
        <w:t xml:space="preserve">intrinsic </w:t>
      </w:r>
      <w:r w:rsidRPr="003E7EE5">
        <w:rPr>
          <w:color w:val="000000" w:themeColor="text1"/>
        </w:rPr>
        <w:t>commitment</w:t>
      </w:r>
      <w:r w:rsidR="00BF580B" w:rsidRPr="003E7EE5">
        <w:rPr>
          <w:color w:val="000000" w:themeColor="text1"/>
        </w:rPr>
        <w:t xml:space="preserve"> </w:t>
      </w:r>
      <w:r w:rsidR="001E4884" w:rsidRPr="003E7EE5">
        <w:rPr>
          <w:color w:val="000000" w:themeColor="text1"/>
        </w:rPr>
        <w:t xml:space="preserve">to GMS </w:t>
      </w:r>
      <w:r w:rsidR="00C1326B" w:rsidRPr="003E7EE5">
        <w:rPr>
          <w:color w:val="000000" w:themeColor="text1"/>
        </w:rPr>
        <w:t>while</w:t>
      </w:r>
      <w:r w:rsidR="00BF580B" w:rsidRPr="003E7EE5">
        <w:rPr>
          <w:color w:val="000000" w:themeColor="text1"/>
        </w:rPr>
        <w:t xml:space="preserve"> stakeholders’ sustainability pressures </w:t>
      </w:r>
      <w:r w:rsidR="001E4884" w:rsidRPr="003E7EE5">
        <w:rPr>
          <w:color w:val="000000" w:themeColor="text1"/>
        </w:rPr>
        <w:t xml:space="preserve">represent its </w:t>
      </w:r>
      <w:r w:rsidRPr="003E7EE5">
        <w:rPr>
          <w:color w:val="000000" w:themeColor="text1"/>
        </w:rPr>
        <w:t>extrinsic commitment</w:t>
      </w:r>
      <w:r w:rsidR="001E4884" w:rsidRPr="003E7EE5">
        <w:rPr>
          <w:color w:val="000000" w:themeColor="text1"/>
        </w:rPr>
        <w:t xml:space="preserve"> to GMS</w:t>
      </w:r>
      <w:r w:rsidRPr="003E7EE5">
        <w:rPr>
          <w:color w:val="000000" w:themeColor="text1"/>
        </w:rPr>
        <w:t>. Both types of this commitment</w:t>
      </w:r>
      <w:r w:rsidR="001E4884" w:rsidRPr="003E7EE5">
        <w:rPr>
          <w:color w:val="000000" w:themeColor="text1"/>
        </w:rPr>
        <w:t xml:space="preserve"> jointly (yet </w:t>
      </w:r>
      <w:proofErr w:type="gramStart"/>
      <w:r w:rsidR="001E4884" w:rsidRPr="003E7EE5">
        <w:rPr>
          <w:color w:val="000000" w:themeColor="text1"/>
        </w:rPr>
        <w:t>independently)</w:t>
      </w:r>
      <w:r w:rsidR="00BF580B" w:rsidRPr="003E7EE5">
        <w:rPr>
          <w:color w:val="000000" w:themeColor="text1"/>
        </w:rPr>
        <w:t xml:space="preserve"> </w:t>
      </w:r>
      <w:r w:rsidR="000615F4">
        <w:rPr>
          <w:color w:val="000000" w:themeColor="text1"/>
        </w:rPr>
        <w:t xml:space="preserve">  </w:t>
      </w:r>
      <w:proofErr w:type="gramEnd"/>
      <w:r w:rsidR="00BF580B" w:rsidRPr="003E7EE5">
        <w:rPr>
          <w:color w:val="000000" w:themeColor="text1"/>
        </w:rPr>
        <w:t xml:space="preserve">contribute to </w:t>
      </w:r>
      <w:r w:rsidR="00E7427F">
        <w:rPr>
          <w:color w:val="000000" w:themeColor="text1"/>
        </w:rPr>
        <w:t xml:space="preserve">a </w:t>
      </w:r>
      <w:r w:rsidR="00BF580B" w:rsidRPr="003E7EE5">
        <w:rPr>
          <w:color w:val="000000" w:themeColor="text1"/>
        </w:rPr>
        <w:t xml:space="preserve">firm’s adoption of environmental strategies. </w:t>
      </w:r>
    </w:p>
    <w:p w14:paraId="013C8A39" w14:textId="466CCCE5" w:rsidR="00BF580B" w:rsidRPr="003E7EE5" w:rsidRDefault="001E4884" w:rsidP="00BF580B">
      <w:pPr>
        <w:spacing w:line="480" w:lineRule="auto"/>
        <w:ind w:firstLine="720"/>
        <w:rPr>
          <w:color w:val="000000" w:themeColor="text1"/>
        </w:rPr>
      </w:pPr>
      <w:r w:rsidRPr="003E7EE5">
        <w:rPr>
          <w:iCs/>
          <w:color w:val="000000" w:themeColor="text1"/>
        </w:rPr>
        <w:t>Corporate sustainability refers to policies and actions oriented toward reali</w:t>
      </w:r>
      <w:r w:rsidR="00E7427F">
        <w:rPr>
          <w:iCs/>
          <w:color w:val="000000" w:themeColor="text1"/>
        </w:rPr>
        <w:t>z</w:t>
      </w:r>
      <w:r w:rsidRPr="003E7EE5">
        <w:rPr>
          <w:iCs/>
          <w:color w:val="000000" w:themeColor="text1"/>
        </w:rPr>
        <w:t xml:space="preserve">ing sustainable development of the natural environment, society, and economy (Ioannou and </w:t>
      </w:r>
      <w:proofErr w:type="spellStart"/>
      <w:r w:rsidRPr="003E7EE5">
        <w:rPr>
          <w:iCs/>
          <w:color w:val="000000" w:themeColor="text1"/>
        </w:rPr>
        <w:t>Serafeim</w:t>
      </w:r>
      <w:proofErr w:type="spellEnd"/>
      <w:r w:rsidRPr="003E7EE5">
        <w:rPr>
          <w:iCs/>
          <w:color w:val="000000" w:themeColor="text1"/>
        </w:rPr>
        <w:t xml:space="preserve">, 2019). </w:t>
      </w:r>
      <w:r w:rsidR="00E7427F">
        <w:rPr>
          <w:iCs/>
          <w:color w:val="000000" w:themeColor="text1"/>
        </w:rPr>
        <w:t>Previous</w:t>
      </w:r>
      <w:r w:rsidR="00BF580B" w:rsidRPr="003E7EE5">
        <w:rPr>
          <w:color w:val="000000" w:themeColor="text1"/>
        </w:rPr>
        <w:t xml:space="preserve"> research has shown that internal </w:t>
      </w:r>
      <w:r w:rsidR="00F3638A" w:rsidRPr="003E7EE5">
        <w:rPr>
          <w:color w:val="000000" w:themeColor="text1"/>
        </w:rPr>
        <w:t xml:space="preserve">pressures </w:t>
      </w:r>
      <w:r w:rsidR="00BF580B" w:rsidRPr="003E7EE5">
        <w:rPr>
          <w:color w:val="000000" w:themeColor="text1"/>
        </w:rPr>
        <w:t>such as internal regulatory force</w:t>
      </w:r>
      <w:r w:rsidRPr="003E7EE5">
        <w:rPr>
          <w:color w:val="000000" w:themeColor="text1"/>
        </w:rPr>
        <w:t>s</w:t>
      </w:r>
      <w:r w:rsidR="00BF580B" w:rsidRPr="003E7EE5">
        <w:rPr>
          <w:color w:val="000000" w:themeColor="text1"/>
        </w:rPr>
        <w:t xml:space="preserve"> (e.g., </w:t>
      </w:r>
      <w:r w:rsidR="00E7427F">
        <w:rPr>
          <w:color w:val="000000" w:themeColor="text1"/>
        </w:rPr>
        <w:t xml:space="preserve">corporate </w:t>
      </w:r>
      <w:r w:rsidR="00E7427F">
        <w:t>social responsibility</w:t>
      </w:r>
      <w:r w:rsidR="00E7427F" w:rsidRPr="003E7EE5">
        <w:rPr>
          <w:color w:val="000000" w:themeColor="text1"/>
        </w:rPr>
        <w:t xml:space="preserve"> </w:t>
      </w:r>
      <w:r w:rsidR="00E7427F">
        <w:rPr>
          <w:color w:val="000000" w:themeColor="text1"/>
        </w:rPr>
        <w:t>[</w:t>
      </w:r>
      <w:r w:rsidR="00BF580B" w:rsidRPr="003E7EE5">
        <w:rPr>
          <w:color w:val="000000" w:themeColor="text1"/>
        </w:rPr>
        <w:t>CSR</w:t>
      </w:r>
      <w:r w:rsidR="00E7427F">
        <w:rPr>
          <w:color w:val="000000" w:themeColor="text1"/>
        </w:rPr>
        <w:t>]</w:t>
      </w:r>
      <w:r w:rsidR="00BF580B" w:rsidRPr="003E7EE5">
        <w:rPr>
          <w:color w:val="000000" w:themeColor="text1"/>
        </w:rPr>
        <w:t xml:space="preserve">) shape GMS through the commitment of an organization to corporate sustainability </w:t>
      </w:r>
      <w:r w:rsidR="000615F4">
        <w:rPr>
          <w:color w:val="000000" w:themeColor="text1"/>
        </w:rPr>
        <w:t>p</w:t>
      </w:r>
      <w:r w:rsidR="00BF580B" w:rsidRPr="003E7EE5">
        <w:rPr>
          <w:color w:val="000000" w:themeColor="text1"/>
        </w:rPr>
        <w:t>olicies (Banerjee</w:t>
      </w:r>
      <w:r w:rsidR="002355CB">
        <w:rPr>
          <w:color w:val="000000" w:themeColor="text1"/>
        </w:rPr>
        <w:t xml:space="preserve"> </w:t>
      </w:r>
      <w:r w:rsidR="002355CB">
        <w:rPr>
          <w:i/>
          <w:iCs/>
          <w:color w:val="000000" w:themeColor="text1"/>
        </w:rPr>
        <w:t>et al.</w:t>
      </w:r>
      <w:r w:rsidR="00BF580B" w:rsidRPr="003E7EE5">
        <w:rPr>
          <w:color w:val="000000" w:themeColor="text1"/>
        </w:rPr>
        <w:t>, 200</w:t>
      </w:r>
      <w:r w:rsidR="002355CB">
        <w:rPr>
          <w:color w:val="000000" w:themeColor="text1"/>
        </w:rPr>
        <w:t>3</w:t>
      </w:r>
      <w:r w:rsidR="00BF580B" w:rsidRPr="003E7EE5">
        <w:rPr>
          <w:color w:val="000000" w:themeColor="text1"/>
        </w:rPr>
        <w:t xml:space="preserve">). </w:t>
      </w:r>
      <w:r w:rsidR="00BF580B" w:rsidRPr="003E7EE5">
        <w:rPr>
          <w:iCs/>
          <w:color w:val="000000" w:themeColor="text1"/>
          <w:szCs w:val="22"/>
        </w:rPr>
        <w:t xml:space="preserve">In the context of uncertainty, evidence </w:t>
      </w:r>
      <w:r w:rsidR="00E7427F">
        <w:rPr>
          <w:iCs/>
          <w:color w:val="000000" w:themeColor="text1"/>
          <w:szCs w:val="22"/>
        </w:rPr>
        <w:t>shows</w:t>
      </w:r>
      <w:r w:rsidR="00BF580B" w:rsidRPr="003E7EE5">
        <w:rPr>
          <w:iCs/>
          <w:color w:val="000000" w:themeColor="text1"/>
          <w:szCs w:val="22"/>
        </w:rPr>
        <w:t xml:space="preserve"> that companies choose to maintain their sustainability program</w:t>
      </w:r>
      <w:r w:rsidR="00E7427F">
        <w:rPr>
          <w:iCs/>
          <w:color w:val="000000" w:themeColor="text1"/>
          <w:szCs w:val="22"/>
        </w:rPr>
        <w:t>s</w:t>
      </w:r>
      <w:r w:rsidR="00BF580B" w:rsidRPr="003E7EE5">
        <w:rPr>
          <w:iCs/>
          <w:color w:val="000000" w:themeColor="text1"/>
          <w:szCs w:val="22"/>
        </w:rPr>
        <w:t xml:space="preserve"> </w:t>
      </w:r>
      <w:r w:rsidR="00F3638A" w:rsidRPr="003E7EE5">
        <w:rPr>
          <w:iCs/>
          <w:color w:val="000000" w:themeColor="text1"/>
          <w:szCs w:val="22"/>
        </w:rPr>
        <w:t xml:space="preserve">because they </w:t>
      </w:r>
      <w:r w:rsidR="00E7427F">
        <w:rPr>
          <w:iCs/>
          <w:color w:val="000000" w:themeColor="text1"/>
          <w:szCs w:val="22"/>
        </w:rPr>
        <w:t>need</w:t>
      </w:r>
      <w:r w:rsidR="00F3638A" w:rsidRPr="003E7EE5">
        <w:rPr>
          <w:iCs/>
          <w:color w:val="000000" w:themeColor="text1"/>
          <w:szCs w:val="22"/>
        </w:rPr>
        <w:t xml:space="preserve"> to maintain legitimacy in the eyes of stakeholders and meet the expectations of the society in which they are operating</w:t>
      </w:r>
      <w:r w:rsidR="00C1326B" w:rsidRPr="003E7EE5">
        <w:rPr>
          <w:iCs/>
          <w:color w:val="000000" w:themeColor="text1"/>
          <w:szCs w:val="22"/>
        </w:rPr>
        <w:t xml:space="preserve"> </w:t>
      </w:r>
      <w:r w:rsidR="00BF580B" w:rsidRPr="003E7EE5">
        <w:rPr>
          <w:iCs/>
          <w:color w:val="000000" w:themeColor="text1"/>
          <w:szCs w:val="22"/>
        </w:rPr>
        <w:t>(</w:t>
      </w:r>
      <w:r w:rsidR="000615F4" w:rsidRPr="003E7EE5">
        <w:rPr>
          <w:iCs/>
          <w:color w:val="000000" w:themeColor="text1"/>
        </w:rPr>
        <w:t xml:space="preserve">Ruenda-Manzanares </w:t>
      </w:r>
      <w:r w:rsidR="000615F4" w:rsidRPr="003E7EE5">
        <w:rPr>
          <w:i/>
          <w:iCs/>
          <w:color w:val="000000" w:themeColor="text1"/>
        </w:rPr>
        <w:t>et al.</w:t>
      </w:r>
      <w:r w:rsidR="000615F4" w:rsidRPr="003E7EE5">
        <w:rPr>
          <w:iCs/>
          <w:color w:val="000000" w:themeColor="text1"/>
        </w:rPr>
        <w:t>, 2008</w:t>
      </w:r>
      <w:r w:rsidR="00BF580B" w:rsidRPr="003E7EE5">
        <w:rPr>
          <w:iCs/>
          <w:color w:val="000000" w:themeColor="text1"/>
          <w:szCs w:val="22"/>
        </w:rPr>
        <w:t>).</w:t>
      </w:r>
      <w:r w:rsidR="00C1326B" w:rsidRPr="003E7EE5">
        <w:rPr>
          <w:iCs/>
          <w:color w:val="000000" w:themeColor="text1"/>
          <w:szCs w:val="22"/>
        </w:rPr>
        <w:t xml:space="preserve"> </w:t>
      </w:r>
      <w:proofErr w:type="gramStart"/>
      <w:r w:rsidR="00C1326B" w:rsidRPr="003E7EE5">
        <w:rPr>
          <w:iCs/>
          <w:color w:val="000000" w:themeColor="text1"/>
          <w:szCs w:val="22"/>
        </w:rPr>
        <w:t>As a consequence</w:t>
      </w:r>
      <w:proofErr w:type="gramEnd"/>
      <w:r w:rsidR="00C1326B" w:rsidRPr="003E7EE5">
        <w:rPr>
          <w:iCs/>
          <w:color w:val="000000" w:themeColor="text1"/>
          <w:szCs w:val="22"/>
        </w:rPr>
        <w:t>, companies shape pro-environmental strategies across all corporate functions</w:t>
      </w:r>
      <w:r w:rsidR="00E7427F">
        <w:rPr>
          <w:iCs/>
          <w:color w:val="000000" w:themeColor="text1"/>
          <w:szCs w:val="22"/>
        </w:rPr>
        <w:t>,</w:t>
      </w:r>
      <w:r w:rsidR="00C1326B" w:rsidRPr="003E7EE5">
        <w:rPr>
          <w:iCs/>
          <w:color w:val="000000" w:themeColor="text1"/>
          <w:szCs w:val="22"/>
        </w:rPr>
        <w:t xml:space="preserve"> </w:t>
      </w:r>
      <w:r w:rsidRPr="003E7EE5">
        <w:rPr>
          <w:iCs/>
          <w:color w:val="000000" w:themeColor="text1"/>
          <w:szCs w:val="22"/>
        </w:rPr>
        <w:t>including</w:t>
      </w:r>
      <w:r w:rsidR="00C1326B" w:rsidRPr="003E7EE5">
        <w:rPr>
          <w:iCs/>
          <w:color w:val="000000" w:themeColor="text1"/>
          <w:szCs w:val="22"/>
        </w:rPr>
        <w:t xml:space="preserve"> marketing. </w:t>
      </w:r>
      <w:r w:rsidRPr="003E7EE5">
        <w:rPr>
          <w:iCs/>
          <w:color w:val="000000" w:themeColor="text1"/>
          <w:szCs w:val="26"/>
        </w:rPr>
        <w:t>Firms that view themselves as sustainable corporate citizens incorporate</w:t>
      </w:r>
      <w:r w:rsidR="00C1326B" w:rsidRPr="003E7EE5">
        <w:rPr>
          <w:iCs/>
          <w:color w:val="000000" w:themeColor="text1"/>
          <w:szCs w:val="26"/>
        </w:rPr>
        <w:t xml:space="preserve"> sustainability elements in </w:t>
      </w:r>
      <w:r w:rsidR="00E7427F">
        <w:rPr>
          <w:iCs/>
          <w:color w:val="000000" w:themeColor="text1"/>
          <w:szCs w:val="26"/>
        </w:rPr>
        <w:t>their</w:t>
      </w:r>
      <w:r w:rsidR="00C1326B" w:rsidRPr="003E7EE5">
        <w:rPr>
          <w:iCs/>
          <w:color w:val="000000" w:themeColor="text1"/>
          <w:szCs w:val="26"/>
        </w:rPr>
        <w:t xml:space="preserve"> marketing strategies (Banerjee </w:t>
      </w:r>
      <w:r w:rsidR="00C1326B" w:rsidRPr="003E7EE5">
        <w:rPr>
          <w:i/>
        </w:rPr>
        <w:t>et al.</w:t>
      </w:r>
      <w:r w:rsidR="00C1326B" w:rsidRPr="003E7EE5">
        <w:t>,</w:t>
      </w:r>
      <w:r w:rsidR="00C1326B" w:rsidRPr="003E7EE5">
        <w:rPr>
          <w:iCs/>
          <w:color w:val="000000" w:themeColor="text1"/>
          <w:szCs w:val="26"/>
        </w:rPr>
        <w:t xml:space="preserve"> 2003); </w:t>
      </w:r>
      <w:r w:rsidRPr="003E7EE5">
        <w:rPr>
          <w:iCs/>
          <w:color w:val="000000" w:themeColor="text1"/>
          <w:szCs w:val="26"/>
        </w:rPr>
        <w:t xml:space="preserve">follow </w:t>
      </w:r>
      <w:r w:rsidR="00C1326B" w:rsidRPr="003E7EE5">
        <w:rPr>
          <w:iCs/>
          <w:color w:val="000000" w:themeColor="text1"/>
          <w:szCs w:val="26"/>
        </w:rPr>
        <w:t>market</w:t>
      </w:r>
      <w:r w:rsidRPr="003E7EE5">
        <w:rPr>
          <w:iCs/>
          <w:color w:val="000000" w:themeColor="text1"/>
          <w:szCs w:val="26"/>
        </w:rPr>
        <w:t>-</w:t>
      </w:r>
      <w:r w:rsidR="00C1326B" w:rsidRPr="003E7EE5">
        <w:rPr>
          <w:iCs/>
          <w:color w:val="000000" w:themeColor="text1"/>
          <w:szCs w:val="26"/>
        </w:rPr>
        <w:t>orient</w:t>
      </w:r>
      <w:r w:rsidR="00E7427F">
        <w:rPr>
          <w:iCs/>
          <w:color w:val="000000" w:themeColor="text1"/>
          <w:szCs w:val="26"/>
        </w:rPr>
        <w:t>ed</w:t>
      </w:r>
      <w:r w:rsidR="00C1326B" w:rsidRPr="003E7EE5">
        <w:rPr>
          <w:iCs/>
          <w:color w:val="000000" w:themeColor="text1"/>
          <w:szCs w:val="26"/>
        </w:rPr>
        <w:t xml:space="preserve"> approaches to sustainability (Gabler </w:t>
      </w:r>
      <w:r w:rsidR="00C1326B" w:rsidRPr="003E7EE5">
        <w:rPr>
          <w:i/>
          <w:color w:val="000000" w:themeColor="text1"/>
          <w:szCs w:val="26"/>
        </w:rPr>
        <w:t>et al.</w:t>
      </w:r>
      <w:r w:rsidR="00C1326B" w:rsidRPr="005E1791">
        <w:rPr>
          <w:iCs/>
          <w:color w:val="000000" w:themeColor="text1"/>
          <w:szCs w:val="26"/>
        </w:rPr>
        <w:t>,</w:t>
      </w:r>
      <w:r w:rsidR="00C1326B" w:rsidRPr="003E7EE5">
        <w:rPr>
          <w:iCs/>
          <w:color w:val="000000" w:themeColor="text1"/>
          <w:szCs w:val="26"/>
        </w:rPr>
        <w:t xml:space="preserve"> </w:t>
      </w:r>
      <w:r w:rsidR="00F132C0" w:rsidRPr="003E7EE5">
        <w:rPr>
          <w:color w:val="000000" w:themeColor="text1"/>
          <w:shd w:val="clear" w:color="auto" w:fill="FFFFFF"/>
        </w:rPr>
        <w:t>2021</w:t>
      </w:r>
      <w:r w:rsidR="00C1326B" w:rsidRPr="003E7EE5">
        <w:rPr>
          <w:iCs/>
          <w:color w:val="000000" w:themeColor="text1"/>
          <w:szCs w:val="26"/>
        </w:rPr>
        <w:t xml:space="preserve">); </w:t>
      </w:r>
      <w:r w:rsidRPr="003E7EE5">
        <w:rPr>
          <w:iCs/>
          <w:color w:val="000000" w:themeColor="text1"/>
          <w:szCs w:val="26"/>
        </w:rPr>
        <w:t xml:space="preserve">engage in </w:t>
      </w:r>
      <w:r w:rsidR="00C1326B" w:rsidRPr="003E7EE5">
        <w:rPr>
          <w:iCs/>
          <w:color w:val="000000" w:themeColor="text1"/>
          <w:szCs w:val="26"/>
        </w:rPr>
        <w:t>socially responsible purchasing and distribution policies;</w:t>
      </w:r>
      <w:r w:rsidRPr="003E7EE5">
        <w:rPr>
          <w:iCs/>
          <w:color w:val="000000" w:themeColor="text1"/>
          <w:szCs w:val="26"/>
        </w:rPr>
        <w:t xml:space="preserve"> and implement</w:t>
      </w:r>
      <w:r w:rsidR="00C1326B" w:rsidRPr="003E7EE5">
        <w:rPr>
          <w:iCs/>
          <w:color w:val="000000" w:themeColor="text1"/>
          <w:szCs w:val="26"/>
        </w:rPr>
        <w:t xml:space="preserve"> green promotional practices</w:t>
      </w:r>
      <w:r w:rsidR="009002AB" w:rsidRPr="003E7EE5">
        <w:rPr>
          <w:iCs/>
          <w:color w:val="000000" w:themeColor="text1"/>
          <w:szCs w:val="26"/>
        </w:rPr>
        <w:t xml:space="preserve">, </w:t>
      </w:r>
      <w:r w:rsidR="00C1326B" w:rsidRPr="003E7EE5">
        <w:rPr>
          <w:iCs/>
          <w:color w:val="000000" w:themeColor="text1"/>
          <w:szCs w:val="26"/>
        </w:rPr>
        <w:t>green pricing tactics</w:t>
      </w:r>
      <w:r w:rsidR="00E7427F">
        <w:rPr>
          <w:iCs/>
          <w:color w:val="000000" w:themeColor="text1"/>
          <w:szCs w:val="26"/>
        </w:rPr>
        <w:t>,</w:t>
      </w:r>
      <w:r w:rsidR="00C1326B" w:rsidRPr="003E7EE5">
        <w:rPr>
          <w:iCs/>
          <w:color w:val="000000" w:themeColor="text1"/>
          <w:szCs w:val="26"/>
        </w:rPr>
        <w:t xml:space="preserve"> and eco-friendly product</w:t>
      </w:r>
      <w:r w:rsidRPr="003E7EE5">
        <w:rPr>
          <w:iCs/>
          <w:color w:val="000000" w:themeColor="text1"/>
          <w:szCs w:val="26"/>
        </w:rPr>
        <w:t xml:space="preserve"> development </w:t>
      </w:r>
      <w:r w:rsidR="00C1326B" w:rsidRPr="003E7EE5">
        <w:rPr>
          <w:iCs/>
          <w:color w:val="000000" w:themeColor="text1"/>
          <w:szCs w:val="26"/>
        </w:rPr>
        <w:t>(</w:t>
      </w:r>
      <w:proofErr w:type="spellStart"/>
      <w:r w:rsidR="00300ACD" w:rsidRPr="003E7EE5">
        <w:rPr>
          <w:color w:val="000000" w:themeColor="text1"/>
          <w:shd w:val="clear" w:color="auto" w:fill="FFFFFF"/>
        </w:rPr>
        <w:t>Ö</w:t>
      </w:r>
      <w:r w:rsidR="00C1326B" w:rsidRPr="003E7EE5">
        <w:t>zturan</w:t>
      </w:r>
      <w:proofErr w:type="spellEnd"/>
      <w:r w:rsidR="00C1326B" w:rsidRPr="003E7EE5">
        <w:t xml:space="preserve"> and Grinstein, </w:t>
      </w:r>
      <w:r w:rsidR="00300ACD" w:rsidRPr="003E7EE5">
        <w:rPr>
          <w:color w:val="000000" w:themeColor="text1"/>
          <w:shd w:val="clear" w:color="auto" w:fill="FFFFFF"/>
        </w:rPr>
        <w:t>2022</w:t>
      </w:r>
      <w:r w:rsidR="00C1326B" w:rsidRPr="003E7EE5">
        <w:rPr>
          <w:iCs/>
          <w:color w:val="000000" w:themeColor="text1"/>
          <w:szCs w:val="26"/>
        </w:rPr>
        <w:t>).</w:t>
      </w:r>
    </w:p>
    <w:p w14:paraId="3C6BD09B" w14:textId="07D1C64F" w:rsidR="00BF580B" w:rsidRPr="003E7EE5" w:rsidRDefault="00BF580B" w:rsidP="00BF580B">
      <w:pPr>
        <w:spacing w:line="480" w:lineRule="auto"/>
        <w:ind w:firstLine="720"/>
        <w:rPr>
          <w:color w:val="000000" w:themeColor="text1"/>
        </w:rPr>
      </w:pPr>
      <w:r w:rsidRPr="003E7EE5">
        <w:rPr>
          <w:color w:val="000000" w:themeColor="text1"/>
        </w:rPr>
        <w:t xml:space="preserve">External stakeholders’ pressures (e.g., media, customers) also </w:t>
      </w:r>
      <w:r w:rsidR="001E4884" w:rsidRPr="003E7EE5">
        <w:rPr>
          <w:color w:val="000000" w:themeColor="text1"/>
        </w:rPr>
        <w:t xml:space="preserve">motivate </w:t>
      </w:r>
      <w:r w:rsidRPr="003E7EE5">
        <w:rPr>
          <w:color w:val="000000" w:themeColor="text1"/>
        </w:rPr>
        <w:t xml:space="preserve">the </w:t>
      </w:r>
      <w:r w:rsidR="001E4884" w:rsidRPr="003E7EE5">
        <w:rPr>
          <w:color w:val="000000" w:themeColor="text1"/>
        </w:rPr>
        <w:t xml:space="preserve">adoption </w:t>
      </w:r>
      <w:r w:rsidRPr="003E7EE5">
        <w:rPr>
          <w:color w:val="000000" w:themeColor="text1"/>
        </w:rPr>
        <w:t xml:space="preserve">of a GMS (Menon and Menon, 1997). </w:t>
      </w:r>
      <w:r w:rsidR="001E4884" w:rsidRPr="003E7EE5">
        <w:rPr>
          <w:iCs/>
          <w:color w:val="000000" w:themeColor="text1"/>
        </w:rPr>
        <w:t>B</w:t>
      </w:r>
      <w:r w:rsidR="00AE24CA" w:rsidRPr="003E7EE5">
        <w:rPr>
          <w:iCs/>
          <w:color w:val="000000" w:themeColor="text1"/>
        </w:rPr>
        <w:t>usiness environments characterized by greater uncertainty urge managers to be more proactive and establish collaboration relationships with a wider range of external stakeholders that will help them anticipate future trends (</w:t>
      </w:r>
      <w:proofErr w:type="spellStart"/>
      <w:r w:rsidR="00AE24CA" w:rsidRPr="003E7EE5">
        <w:rPr>
          <w:iCs/>
          <w:color w:val="000000" w:themeColor="text1"/>
        </w:rPr>
        <w:t>Buysse</w:t>
      </w:r>
      <w:proofErr w:type="spellEnd"/>
      <w:r w:rsidR="00AE24CA" w:rsidRPr="003E7EE5">
        <w:rPr>
          <w:iCs/>
          <w:color w:val="000000" w:themeColor="text1"/>
        </w:rPr>
        <w:t xml:space="preserve"> and Verbeke, 2003).</w:t>
      </w:r>
      <w:r w:rsidR="00AE24CA" w:rsidRPr="003E7EE5">
        <w:rPr>
          <w:color w:val="000000" w:themeColor="text1"/>
        </w:rPr>
        <w:t xml:space="preserve"> </w:t>
      </w:r>
      <w:r w:rsidRPr="003E7EE5">
        <w:rPr>
          <w:iCs/>
          <w:color w:val="000000" w:themeColor="text1"/>
        </w:rPr>
        <w:t xml:space="preserve">These initiatives reduce uncertainty by foreseeing future events and implementing preventive actions instead of reacting to events that have already occurred </w:t>
      </w:r>
      <w:r w:rsidRPr="003E7EE5">
        <w:rPr>
          <w:iCs/>
          <w:color w:val="000000" w:themeColor="text1"/>
        </w:rPr>
        <w:lastRenderedPageBreak/>
        <w:t>(Arag</w:t>
      </w:r>
      <w:r w:rsidRPr="003E7EE5">
        <w:rPr>
          <w:rFonts w:eastAsia="Times New Roman"/>
          <w:iCs/>
          <w:color w:val="222222"/>
          <w:szCs w:val="22"/>
          <w:shd w:val="clear" w:color="auto" w:fill="FFFFFF"/>
        </w:rPr>
        <w:t>ón</w:t>
      </w:r>
      <w:r w:rsidRPr="003E7EE5">
        <w:rPr>
          <w:iCs/>
          <w:color w:val="000000" w:themeColor="text1"/>
        </w:rPr>
        <w:t xml:space="preserve">-Correa and Sharma, 2003). In their effort to deploy stakeholder integration capabilities, firms operating in highly uncertain environments improve their social legitimacy, predict future market changes, and </w:t>
      </w:r>
      <w:r w:rsidR="00246A54" w:rsidRPr="003E7EE5">
        <w:rPr>
          <w:iCs/>
          <w:color w:val="000000" w:themeColor="text1"/>
        </w:rPr>
        <w:t xml:space="preserve">craft more </w:t>
      </w:r>
      <w:r w:rsidRPr="003E7EE5">
        <w:rPr>
          <w:iCs/>
          <w:color w:val="000000" w:themeColor="text1"/>
        </w:rPr>
        <w:t>environmental</w:t>
      </w:r>
      <w:r w:rsidR="00246A54" w:rsidRPr="003E7EE5">
        <w:rPr>
          <w:iCs/>
          <w:color w:val="000000" w:themeColor="text1"/>
        </w:rPr>
        <w:t>ly</w:t>
      </w:r>
      <w:r w:rsidR="00F0509F">
        <w:rPr>
          <w:iCs/>
          <w:color w:val="000000" w:themeColor="text1"/>
        </w:rPr>
        <w:t xml:space="preserve"> </w:t>
      </w:r>
      <w:r w:rsidR="00246A54" w:rsidRPr="003E7EE5">
        <w:rPr>
          <w:iCs/>
          <w:color w:val="000000" w:themeColor="text1"/>
        </w:rPr>
        <w:t>oriented</w:t>
      </w:r>
      <w:r w:rsidRPr="003E7EE5">
        <w:rPr>
          <w:iCs/>
          <w:color w:val="000000" w:themeColor="text1"/>
        </w:rPr>
        <w:t xml:space="preserve"> strateg</w:t>
      </w:r>
      <w:r w:rsidR="00246A54" w:rsidRPr="003E7EE5">
        <w:rPr>
          <w:iCs/>
          <w:color w:val="000000" w:themeColor="text1"/>
        </w:rPr>
        <w:t>ies</w:t>
      </w:r>
      <w:r w:rsidRPr="003E7EE5">
        <w:rPr>
          <w:iCs/>
          <w:color w:val="000000" w:themeColor="text1"/>
        </w:rPr>
        <w:t xml:space="preserve"> (Ruenda-Manzanares </w:t>
      </w:r>
      <w:r w:rsidRPr="003E7EE5">
        <w:rPr>
          <w:i/>
          <w:iCs/>
          <w:color w:val="000000" w:themeColor="text1"/>
        </w:rPr>
        <w:t>et al.</w:t>
      </w:r>
      <w:r w:rsidRPr="003E7EE5">
        <w:rPr>
          <w:iCs/>
          <w:color w:val="000000" w:themeColor="text1"/>
        </w:rPr>
        <w:t>, 2008).</w:t>
      </w:r>
      <w:r w:rsidR="00B304DD" w:rsidRPr="003E7EE5">
        <w:rPr>
          <w:iCs/>
          <w:color w:val="000000" w:themeColor="text1"/>
        </w:rPr>
        <w:t xml:space="preserve"> Thus, we hypothesize</w:t>
      </w:r>
      <w:r w:rsidR="00F0509F">
        <w:rPr>
          <w:iCs/>
          <w:color w:val="000000" w:themeColor="text1"/>
        </w:rPr>
        <w:t xml:space="preserve"> the following</w:t>
      </w:r>
      <w:r w:rsidR="00B304DD" w:rsidRPr="003E7EE5">
        <w:rPr>
          <w:iCs/>
          <w:color w:val="000000" w:themeColor="text1"/>
        </w:rPr>
        <w:t>:</w:t>
      </w:r>
    </w:p>
    <w:p w14:paraId="1068C3A6" w14:textId="035D132E" w:rsidR="00BF580B" w:rsidRPr="003E7EE5" w:rsidRDefault="00BF580B" w:rsidP="00CC1FA8">
      <w:pPr>
        <w:widowControl w:val="0"/>
        <w:autoSpaceDE w:val="0"/>
        <w:autoSpaceDN w:val="0"/>
        <w:adjustRightInd w:val="0"/>
        <w:spacing w:line="480" w:lineRule="auto"/>
        <w:rPr>
          <w:iCs/>
        </w:rPr>
      </w:pPr>
      <w:r w:rsidRPr="005E1791">
        <w:rPr>
          <w:bCs/>
          <w:i/>
        </w:rPr>
        <w:t>H1.</w:t>
      </w:r>
      <w:r w:rsidRPr="003E7EE5">
        <w:rPr>
          <w:iCs/>
        </w:rPr>
        <w:t xml:space="preserve"> Corporate sustainability is positively associated with GMS during a crisis.  </w:t>
      </w:r>
    </w:p>
    <w:p w14:paraId="3B7FA2F3" w14:textId="6F11B154" w:rsidR="00D73A41" w:rsidRPr="003E7EE5" w:rsidRDefault="005676FE" w:rsidP="00FE30D3">
      <w:pPr>
        <w:widowControl w:val="0"/>
        <w:autoSpaceDE w:val="0"/>
        <w:autoSpaceDN w:val="0"/>
        <w:adjustRightInd w:val="0"/>
        <w:spacing w:after="120" w:line="480" w:lineRule="auto"/>
        <w:rPr>
          <w:iCs/>
        </w:rPr>
      </w:pPr>
      <w:r w:rsidRPr="005E1791">
        <w:rPr>
          <w:bCs/>
          <w:i/>
        </w:rPr>
        <w:t>H2.</w:t>
      </w:r>
      <w:r w:rsidRPr="003E7EE5">
        <w:rPr>
          <w:iCs/>
        </w:rPr>
        <w:t xml:space="preserve"> </w:t>
      </w:r>
      <w:r w:rsidR="00EB1E8A" w:rsidRPr="003E7EE5">
        <w:rPr>
          <w:iCs/>
        </w:rPr>
        <w:t>Stakeholders’ sustainability</w:t>
      </w:r>
      <w:r w:rsidRPr="003E7EE5">
        <w:rPr>
          <w:iCs/>
        </w:rPr>
        <w:t xml:space="preserve"> pressures are positively associated with </w:t>
      </w:r>
      <w:r w:rsidR="001F5270" w:rsidRPr="003E7EE5">
        <w:rPr>
          <w:iCs/>
        </w:rPr>
        <w:t>GMS</w:t>
      </w:r>
      <w:r w:rsidR="0012069B" w:rsidRPr="003E7EE5">
        <w:rPr>
          <w:iCs/>
        </w:rPr>
        <w:t xml:space="preserve"> </w:t>
      </w:r>
      <w:r w:rsidR="00F76C9D" w:rsidRPr="003E7EE5">
        <w:rPr>
          <w:iCs/>
        </w:rPr>
        <w:t>during a crisis</w:t>
      </w:r>
      <w:r w:rsidRPr="003E7EE5">
        <w:rPr>
          <w:iCs/>
        </w:rPr>
        <w:t>.</w:t>
      </w:r>
    </w:p>
    <w:p w14:paraId="16953A35" w14:textId="164E041D" w:rsidR="00D73A41" w:rsidRPr="003E7EE5" w:rsidRDefault="00B07F40" w:rsidP="005E1791">
      <w:pPr>
        <w:spacing w:line="480" w:lineRule="auto"/>
        <w:outlineLvl w:val="0"/>
        <w:rPr>
          <w:i/>
        </w:rPr>
      </w:pPr>
      <w:r w:rsidRPr="003E7EE5">
        <w:rPr>
          <w:i/>
          <w:iCs/>
        </w:rPr>
        <w:t>Building resilience and post-crisis performance through GMS</w:t>
      </w:r>
      <w:r w:rsidRPr="003E7EE5">
        <w:t xml:space="preserve"> </w:t>
      </w:r>
    </w:p>
    <w:p w14:paraId="75E6C8A2" w14:textId="54AB482A" w:rsidR="00D73A41" w:rsidRPr="003E7EE5" w:rsidRDefault="00D73A41" w:rsidP="005E1791">
      <w:pPr>
        <w:spacing w:line="480" w:lineRule="auto"/>
        <w:rPr>
          <w:color w:val="000000" w:themeColor="text1"/>
        </w:rPr>
      </w:pPr>
      <w:r w:rsidRPr="003E7EE5">
        <w:t>In strategic management literature, resilience reflects the ability to survive, recover</w:t>
      </w:r>
      <w:r w:rsidR="002F1877">
        <w:t>,</w:t>
      </w:r>
      <w:r w:rsidRPr="003E7EE5">
        <w:t xml:space="preserve"> and bounce back when facing external threatening events</w:t>
      </w:r>
      <w:r w:rsidR="002F1877">
        <w:t>,</w:t>
      </w:r>
      <w:r w:rsidRPr="003E7EE5">
        <w:t xml:space="preserve"> such as </w:t>
      </w:r>
      <w:r w:rsidR="002F1877">
        <w:t xml:space="preserve">a </w:t>
      </w:r>
      <w:r w:rsidRPr="003E7EE5">
        <w:t xml:space="preserve">global economic crisis </w:t>
      </w:r>
      <w:r w:rsidRPr="003E7EE5">
        <w:rPr>
          <w:color w:val="000000" w:themeColor="text1"/>
        </w:rPr>
        <w:t>(</w:t>
      </w:r>
      <w:proofErr w:type="spellStart"/>
      <w:r w:rsidRPr="003E7EE5">
        <w:rPr>
          <w:color w:val="000000" w:themeColor="text1"/>
        </w:rPr>
        <w:t>Ambulkar</w:t>
      </w:r>
      <w:proofErr w:type="spellEnd"/>
      <w:r w:rsidRPr="003E7EE5">
        <w:rPr>
          <w:color w:val="000000" w:themeColor="text1"/>
        </w:rPr>
        <w:t xml:space="preserve"> </w:t>
      </w:r>
      <w:r w:rsidRPr="003E7EE5">
        <w:rPr>
          <w:i/>
          <w:iCs/>
          <w:color w:val="000000" w:themeColor="text1"/>
        </w:rPr>
        <w:t>et al.</w:t>
      </w:r>
      <w:r w:rsidRPr="003E7EE5">
        <w:rPr>
          <w:color w:val="000000" w:themeColor="text1"/>
        </w:rPr>
        <w:t xml:space="preserve">, 2015; </w:t>
      </w:r>
      <w:proofErr w:type="spellStart"/>
      <w:r w:rsidRPr="003E7EE5">
        <w:rPr>
          <w:color w:val="000000" w:themeColor="text1"/>
        </w:rPr>
        <w:t>Iborra</w:t>
      </w:r>
      <w:proofErr w:type="spellEnd"/>
      <w:r w:rsidRPr="003E7EE5">
        <w:rPr>
          <w:color w:val="000000" w:themeColor="text1"/>
        </w:rPr>
        <w:t xml:space="preserve"> </w:t>
      </w:r>
      <w:r w:rsidRPr="003E7EE5">
        <w:rPr>
          <w:i/>
          <w:iCs/>
          <w:color w:val="000000" w:themeColor="text1"/>
        </w:rPr>
        <w:t>et al.,</w:t>
      </w:r>
      <w:r w:rsidRPr="003E7EE5">
        <w:rPr>
          <w:color w:val="000000" w:themeColor="text1"/>
        </w:rPr>
        <w:t xml:space="preserve"> 2020). </w:t>
      </w:r>
      <w:r w:rsidR="002F1877">
        <w:rPr>
          <w:color w:val="000000" w:themeColor="text1"/>
        </w:rPr>
        <w:t>Prior</w:t>
      </w:r>
      <w:r w:rsidRPr="003E7EE5">
        <w:rPr>
          <w:color w:val="000000" w:themeColor="text1"/>
        </w:rPr>
        <w:t xml:space="preserve"> studies view resilience </w:t>
      </w:r>
      <w:r w:rsidR="00E90185" w:rsidRPr="003E7EE5">
        <w:rPr>
          <w:color w:val="000000" w:themeColor="text1"/>
        </w:rPr>
        <w:t>as the ability</w:t>
      </w:r>
      <w:r w:rsidRPr="003E7EE5">
        <w:rPr>
          <w:color w:val="000000" w:themeColor="text1"/>
        </w:rPr>
        <w:t xml:space="preserve"> to recover from </w:t>
      </w:r>
      <w:r w:rsidR="00E90185" w:rsidRPr="003E7EE5">
        <w:rPr>
          <w:color w:val="000000" w:themeColor="text1"/>
        </w:rPr>
        <w:t xml:space="preserve">disruptive events </w:t>
      </w:r>
      <w:r w:rsidRPr="003E7EE5">
        <w:rPr>
          <w:color w:val="000000" w:themeColor="text1"/>
        </w:rPr>
        <w:t>while sustaining operation</w:t>
      </w:r>
      <w:r w:rsidR="00E90185" w:rsidRPr="003E7EE5">
        <w:rPr>
          <w:color w:val="000000" w:themeColor="text1"/>
        </w:rPr>
        <w:t>al efficiency</w:t>
      </w:r>
      <w:r w:rsidRPr="003E7EE5">
        <w:rPr>
          <w:color w:val="000000" w:themeColor="text1"/>
        </w:rPr>
        <w:t xml:space="preserve"> and financ</w:t>
      </w:r>
      <w:r w:rsidR="002F1877">
        <w:rPr>
          <w:color w:val="000000" w:themeColor="text1"/>
        </w:rPr>
        <w:t>ial</w:t>
      </w:r>
      <w:r w:rsidR="00E90185" w:rsidRPr="003E7EE5">
        <w:rPr>
          <w:color w:val="000000" w:themeColor="text1"/>
        </w:rPr>
        <w:t xml:space="preserve"> performance</w:t>
      </w:r>
      <w:r w:rsidRPr="003E7EE5">
        <w:rPr>
          <w:color w:val="000000" w:themeColor="text1"/>
        </w:rPr>
        <w:t xml:space="preserve"> (Erol </w:t>
      </w:r>
      <w:r w:rsidRPr="003E7EE5">
        <w:rPr>
          <w:i/>
        </w:rPr>
        <w:t>et al.</w:t>
      </w:r>
      <w:r w:rsidRPr="003E7EE5">
        <w:t xml:space="preserve">, </w:t>
      </w:r>
      <w:r w:rsidRPr="003E7EE5">
        <w:rPr>
          <w:color w:val="000000" w:themeColor="text1"/>
        </w:rPr>
        <w:t xml:space="preserve">2010; McCann </w:t>
      </w:r>
      <w:r w:rsidRPr="003E7EE5">
        <w:rPr>
          <w:i/>
        </w:rPr>
        <w:t>et al.</w:t>
      </w:r>
      <w:r w:rsidRPr="003E7EE5">
        <w:t xml:space="preserve">, </w:t>
      </w:r>
      <w:r w:rsidRPr="003E7EE5">
        <w:rPr>
          <w:color w:val="000000" w:themeColor="text1"/>
        </w:rPr>
        <w:t xml:space="preserve">2009). Companies that possess operational resilience (OR) </w:t>
      </w:r>
      <w:r w:rsidR="00E90185" w:rsidRPr="003E7EE5">
        <w:rPr>
          <w:color w:val="000000" w:themeColor="text1"/>
        </w:rPr>
        <w:t>experience reduced</w:t>
      </w:r>
      <w:r w:rsidRPr="003E7EE5">
        <w:rPr>
          <w:color w:val="000000" w:themeColor="text1"/>
        </w:rPr>
        <w:t xml:space="preserve"> </w:t>
      </w:r>
      <w:r w:rsidR="00E90185" w:rsidRPr="003E7EE5">
        <w:rPr>
          <w:color w:val="000000" w:themeColor="text1"/>
        </w:rPr>
        <w:t>impact from</w:t>
      </w:r>
      <w:r w:rsidRPr="003E7EE5">
        <w:rPr>
          <w:color w:val="000000" w:themeColor="text1"/>
        </w:rPr>
        <w:t xml:space="preserve"> disruptions </w:t>
      </w:r>
      <w:r w:rsidR="00E90185" w:rsidRPr="003E7EE5">
        <w:rPr>
          <w:color w:val="000000" w:themeColor="text1"/>
        </w:rPr>
        <w:t>by sustaining</w:t>
      </w:r>
      <w:r w:rsidRPr="003E7EE5">
        <w:rPr>
          <w:color w:val="000000" w:themeColor="text1"/>
        </w:rPr>
        <w:t xml:space="preserve"> </w:t>
      </w:r>
      <w:r w:rsidR="00E90185" w:rsidRPr="003E7EE5">
        <w:rPr>
          <w:color w:val="000000" w:themeColor="text1"/>
        </w:rPr>
        <w:t>a</w:t>
      </w:r>
      <w:r w:rsidRPr="003E7EE5">
        <w:rPr>
          <w:color w:val="000000" w:themeColor="text1"/>
        </w:rPr>
        <w:t xml:space="preserve"> normal flow of production/service and exploit</w:t>
      </w:r>
      <w:r w:rsidR="00E90185" w:rsidRPr="003E7EE5">
        <w:rPr>
          <w:color w:val="000000" w:themeColor="text1"/>
        </w:rPr>
        <w:t>ing</w:t>
      </w:r>
      <w:r w:rsidRPr="003E7EE5">
        <w:rPr>
          <w:color w:val="000000" w:themeColor="text1"/>
        </w:rPr>
        <w:t xml:space="preserve"> opportunities</w:t>
      </w:r>
      <w:r w:rsidR="00E90185" w:rsidRPr="003E7EE5">
        <w:rPr>
          <w:color w:val="000000" w:themeColor="text1"/>
        </w:rPr>
        <w:t xml:space="preserve"> for efficiency (e.g., cost innovations)</w:t>
      </w:r>
      <w:r w:rsidRPr="003E7EE5">
        <w:rPr>
          <w:color w:val="000000" w:themeColor="text1"/>
        </w:rPr>
        <w:t xml:space="preserve"> (Craighead </w:t>
      </w:r>
      <w:r w:rsidRPr="003E7EE5">
        <w:rPr>
          <w:i/>
        </w:rPr>
        <w:t>et al.</w:t>
      </w:r>
      <w:r w:rsidRPr="003E7EE5">
        <w:t>,</w:t>
      </w:r>
      <w:r w:rsidRPr="003E7EE5">
        <w:rPr>
          <w:color w:val="000000" w:themeColor="text1"/>
        </w:rPr>
        <w:t xml:space="preserve"> </w:t>
      </w:r>
      <w:r w:rsidR="00300ACD" w:rsidRPr="003E7EE5">
        <w:rPr>
          <w:color w:val="000000" w:themeColor="text1"/>
        </w:rPr>
        <w:t>2007</w:t>
      </w:r>
      <w:r w:rsidRPr="003E7EE5">
        <w:rPr>
          <w:color w:val="000000" w:themeColor="text1"/>
        </w:rPr>
        <w:t xml:space="preserve">). </w:t>
      </w:r>
      <w:proofErr w:type="spellStart"/>
      <w:r w:rsidRPr="003E7EE5">
        <w:rPr>
          <w:color w:val="000000" w:themeColor="text1"/>
        </w:rPr>
        <w:t>Birkie</w:t>
      </w:r>
      <w:proofErr w:type="spellEnd"/>
      <w:r w:rsidRPr="003E7EE5">
        <w:rPr>
          <w:color w:val="000000" w:themeColor="text1"/>
        </w:rPr>
        <w:t xml:space="preserve"> (</w:t>
      </w:r>
      <w:r w:rsidR="00300ACD" w:rsidRPr="003E7EE5">
        <w:rPr>
          <w:rFonts w:eastAsia="Times New Roman"/>
          <w:color w:val="000000" w:themeColor="text1"/>
          <w:shd w:val="clear" w:color="auto" w:fill="FFFFFF"/>
        </w:rPr>
        <w:t>2016</w:t>
      </w:r>
      <w:r w:rsidRPr="003E7EE5">
        <w:rPr>
          <w:color w:val="000000" w:themeColor="text1"/>
        </w:rPr>
        <w:t xml:space="preserve">) argues that </w:t>
      </w:r>
      <w:r w:rsidR="00A031FB" w:rsidRPr="003E7EE5">
        <w:rPr>
          <w:color w:val="000000" w:themeColor="text1"/>
        </w:rPr>
        <w:t>OR</w:t>
      </w:r>
      <w:r w:rsidRPr="003E7EE5">
        <w:rPr>
          <w:color w:val="000000" w:themeColor="text1"/>
        </w:rPr>
        <w:t xml:space="preserve"> mainly results from strategic capabilities that maintain or even improve operations while adapting to new conditions. Financial resilience (FR) refers to a company’s ability to maintain above-average returns after absorbing the shocks of a market crash (Teixeira and Werther, 2013). </w:t>
      </w:r>
    </w:p>
    <w:p w14:paraId="31ABF6B3" w14:textId="2B517C88" w:rsidR="00D73A41" w:rsidRPr="003E7EE5" w:rsidRDefault="00D73A41" w:rsidP="00D73A41">
      <w:pPr>
        <w:spacing w:line="480" w:lineRule="auto"/>
        <w:ind w:firstLine="720"/>
        <w:rPr>
          <w:color w:val="000000" w:themeColor="text1"/>
        </w:rPr>
      </w:pPr>
      <w:r w:rsidRPr="003E7EE5">
        <w:rPr>
          <w:color w:val="000000" w:themeColor="text1"/>
        </w:rPr>
        <w:t xml:space="preserve">Overall, </w:t>
      </w:r>
      <w:r w:rsidR="002F1877" w:rsidRPr="003E7EE5">
        <w:rPr>
          <w:color w:val="000000" w:themeColor="text1"/>
        </w:rPr>
        <w:t xml:space="preserve">the literature </w:t>
      </w:r>
      <w:r w:rsidR="002F1877">
        <w:rPr>
          <w:color w:val="000000" w:themeColor="text1"/>
        </w:rPr>
        <w:t xml:space="preserve">has </w:t>
      </w:r>
      <w:r w:rsidR="00460BE8">
        <w:rPr>
          <w:color w:val="000000" w:themeColor="text1"/>
        </w:rPr>
        <w:t>identified</w:t>
      </w:r>
      <w:r w:rsidR="002F1877">
        <w:rPr>
          <w:color w:val="000000" w:themeColor="text1"/>
        </w:rPr>
        <w:t xml:space="preserve"> </w:t>
      </w:r>
      <w:r w:rsidRPr="003E7EE5">
        <w:rPr>
          <w:color w:val="000000" w:themeColor="text1"/>
        </w:rPr>
        <w:t xml:space="preserve">performance and time as two key parameters </w:t>
      </w:r>
      <w:r w:rsidR="00460BE8">
        <w:rPr>
          <w:color w:val="000000" w:themeColor="text1"/>
        </w:rPr>
        <w:t>that</w:t>
      </w:r>
      <w:r w:rsidRPr="003E7EE5">
        <w:rPr>
          <w:color w:val="000000" w:themeColor="text1"/>
        </w:rPr>
        <w:t xml:space="preserve"> reflect resilience (</w:t>
      </w:r>
      <w:proofErr w:type="spellStart"/>
      <w:r w:rsidRPr="003E7EE5">
        <w:rPr>
          <w:color w:val="000000" w:themeColor="text1"/>
        </w:rPr>
        <w:t>Sabatino</w:t>
      </w:r>
      <w:proofErr w:type="spellEnd"/>
      <w:r w:rsidRPr="003E7EE5">
        <w:rPr>
          <w:color w:val="000000" w:themeColor="text1"/>
        </w:rPr>
        <w:t xml:space="preserve">, 2016). </w:t>
      </w:r>
      <w:r w:rsidR="002F1877">
        <w:rPr>
          <w:color w:val="000000" w:themeColor="text1"/>
        </w:rPr>
        <w:t>A</w:t>
      </w:r>
      <w:r w:rsidRPr="003E7EE5">
        <w:rPr>
          <w:color w:val="000000" w:themeColor="text1"/>
        </w:rPr>
        <w:t xml:space="preserve"> common way to measure resilience in the face of a crisis is </w:t>
      </w:r>
      <w:r w:rsidR="002F1877">
        <w:rPr>
          <w:color w:val="000000" w:themeColor="text1"/>
        </w:rPr>
        <w:t>by</w:t>
      </w:r>
      <w:r w:rsidR="00E90185" w:rsidRPr="003E7EE5">
        <w:rPr>
          <w:color w:val="000000" w:themeColor="text1"/>
        </w:rPr>
        <w:t xml:space="preserve"> capturing changes</w:t>
      </w:r>
      <w:r w:rsidRPr="003E7EE5">
        <w:rPr>
          <w:color w:val="000000" w:themeColor="text1"/>
        </w:rPr>
        <w:t xml:space="preserve"> in performance outcomes (</w:t>
      </w:r>
      <w:proofErr w:type="spellStart"/>
      <w:r w:rsidRPr="003E7EE5">
        <w:rPr>
          <w:color w:val="000000" w:themeColor="text1"/>
        </w:rPr>
        <w:t>DesJardine</w:t>
      </w:r>
      <w:proofErr w:type="spellEnd"/>
      <w:r w:rsidRPr="003E7EE5">
        <w:rPr>
          <w:color w:val="000000" w:themeColor="text1"/>
        </w:rPr>
        <w:t xml:space="preserve"> </w:t>
      </w:r>
      <w:r w:rsidRPr="003E7EE5">
        <w:rPr>
          <w:i/>
          <w:iCs/>
          <w:color w:val="000000" w:themeColor="text1"/>
        </w:rPr>
        <w:t>et al.</w:t>
      </w:r>
      <w:r w:rsidRPr="005E1791">
        <w:rPr>
          <w:color w:val="000000" w:themeColor="text1"/>
        </w:rPr>
        <w:t>,</w:t>
      </w:r>
      <w:r w:rsidRPr="003E7EE5">
        <w:rPr>
          <w:color w:val="000000" w:themeColor="text1"/>
        </w:rPr>
        <w:t xml:space="preserve"> 2019)</w:t>
      </w:r>
      <w:r w:rsidR="002F1877" w:rsidRPr="006A489A">
        <w:rPr>
          <w:color w:val="000000" w:themeColor="text1"/>
        </w:rPr>
        <w:t>,</w:t>
      </w:r>
      <w:r w:rsidRPr="003E7EE5">
        <w:rPr>
          <w:color w:val="000000" w:themeColor="text1"/>
        </w:rPr>
        <w:t xml:space="preserve"> such as profitability (Ortiz-de-</w:t>
      </w:r>
      <w:proofErr w:type="spellStart"/>
      <w:r w:rsidRPr="003E7EE5">
        <w:rPr>
          <w:color w:val="000000" w:themeColor="text1"/>
        </w:rPr>
        <w:t>Mandojana</w:t>
      </w:r>
      <w:proofErr w:type="spellEnd"/>
      <w:r w:rsidRPr="003E7EE5">
        <w:rPr>
          <w:color w:val="000000" w:themeColor="text1"/>
        </w:rPr>
        <w:t xml:space="preserve"> and Bansal</w:t>
      </w:r>
      <w:r w:rsidR="002F1877" w:rsidRPr="006A489A">
        <w:rPr>
          <w:color w:val="000000" w:themeColor="text1"/>
        </w:rPr>
        <w:t>,</w:t>
      </w:r>
      <w:r w:rsidRPr="003E7EE5">
        <w:rPr>
          <w:color w:val="000000" w:themeColor="text1"/>
        </w:rPr>
        <w:t xml:space="preserve"> 2016) and operational costs (Ge </w:t>
      </w:r>
      <w:r w:rsidRPr="003E7EE5">
        <w:rPr>
          <w:i/>
          <w:iCs/>
          <w:color w:val="000000" w:themeColor="text1"/>
        </w:rPr>
        <w:t>et al.</w:t>
      </w:r>
      <w:r w:rsidR="002F1877" w:rsidRPr="006A489A">
        <w:rPr>
          <w:color w:val="000000" w:themeColor="text1"/>
        </w:rPr>
        <w:t>,</w:t>
      </w:r>
      <w:r w:rsidRPr="003E7EE5">
        <w:rPr>
          <w:color w:val="000000" w:themeColor="text1"/>
        </w:rPr>
        <w:t xml:space="preserve"> </w:t>
      </w:r>
      <w:r w:rsidR="001479ED">
        <w:rPr>
          <w:color w:val="000000" w:themeColor="text1"/>
        </w:rPr>
        <w:t>2023</w:t>
      </w:r>
      <w:r w:rsidRPr="003E7EE5">
        <w:rPr>
          <w:color w:val="000000" w:themeColor="text1"/>
        </w:rPr>
        <w:t xml:space="preserve">). Therefore, measuring the change </w:t>
      </w:r>
      <w:r w:rsidR="002F1877">
        <w:rPr>
          <w:color w:val="000000" w:themeColor="text1"/>
        </w:rPr>
        <w:t>in</w:t>
      </w:r>
      <w:r w:rsidRPr="003E7EE5">
        <w:rPr>
          <w:color w:val="000000" w:themeColor="text1"/>
        </w:rPr>
        <w:t xml:space="preserve"> </w:t>
      </w:r>
      <w:r w:rsidR="00E90185" w:rsidRPr="003E7EE5">
        <w:rPr>
          <w:color w:val="000000" w:themeColor="text1"/>
        </w:rPr>
        <w:t xml:space="preserve">a firm’s </w:t>
      </w:r>
      <w:r w:rsidRPr="003E7EE5">
        <w:rPr>
          <w:color w:val="000000" w:themeColor="text1"/>
        </w:rPr>
        <w:t xml:space="preserve">operational and financial performance over a specific period (i.e., before and during crisis) </w:t>
      </w:r>
      <w:r w:rsidR="002F1877">
        <w:rPr>
          <w:color w:val="000000" w:themeColor="text1"/>
        </w:rPr>
        <w:t>can capture</w:t>
      </w:r>
      <w:r w:rsidR="00E90185" w:rsidRPr="003E7EE5">
        <w:rPr>
          <w:color w:val="000000" w:themeColor="text1"/>
        </w:rPr>
        <w:t xml:space="preserve"> a firm’s</w:t>
      </w:r>
      <w:r w:rsidRPr="003E7EE5">
        <w:rPr>
          <w:color w:val="000000" w:themeColor="text1"/>
        </w:rPr>
        <w:t xml:space="preserve"> resilience (</w:t>
      </w:r>
      <w:proofErr w:type="spellStart"/>
      <w:r w:rsidRPr="003E7EE5">
        <w:rPr>
          <w:color w:val="000000" w:themeColor="text1"/>
        </w:rPr>
        <w:t>Iborra</w:t>
      </w:r>
      <w:proofErr w:type="spellEnd"/>
      <w:r w:rsidRPr="003E7EE5">
        <w:rPr>
          <w:color w:val="000000" w:themeColor="text1"/>
        </w:rPr>
        <w:t xml:space="preserve"> </w:t>
      </w:r>
      <w:r w:rsidRPr="003E7EE5">
        <w:rPr>
          <w:i/>
          <w:iCs/>
          <w:color w:val="000000" w:themeColor="text1"/>
        </w:rPr>
        <w:t>et al.</w:t>
      </w:r>
      <w:r w:rsidRPr="005E1791">
        <w:rPr>
          <w:color w:val="000000" w:themeColor="text1"/>
        </w:rPr>
        <w:t>,</w:t>
      </w:r>
      <w:r w:rsidRPr="003E7EE5">
        <w:rPr>
          <w:i/>
          <w:iCs/>
          <w:color w:val="000000" w:themeColor="text1"/>
        </w:rPr>
        <w:t xml:space="preserve"> </w:t>
      </w:r>
      <w:r w:rsidRPr="003E7EE5">
        <w:rPr>
          <w:color w:val="000000" w:themeColor="text1"/>
        </w:rPr>
        <w:t xml:space="preserve">2020; Li </w:t>
      </w:r>
      <w:r w:rsidRPr="003E7EE5">
        <w:rPr>
          <w:i/>
          <w:iCs/>
          <w:color w:val="000000" w:themeColor="text1"/>
        </w:rPr>
        <w:t>et al</w:t>
      </w:r>
      <w:r w:rsidRPr="003E7EE5">
        <w:rPr>
          <w:color w:val="000000" w:themeColor="text1"/>
        </w:rPr>
        <w:t xml:space="preserve">., 2022). </w:t>
      </w:r>
    </w:p>
    <w:p w14:paraId="77B862C4" w14:textId="44B83BDB" w:rsidR="006053D5" w:rsidRPr="003E7EE5" w:rsidRDefault="00215B3C" w:rsidP="006053D5">
      <w:pPr>
        <w:spacing w:line="480" w:lineRule="auto"/>
        <w:ind w:firstLine="720"/>
      </w:pPr>
      <w:r w:rsidRPr="003E7EE5">
        <w:rPr>
          <w:iCs/>
        </w:rPr>
        <w:lastRenderedPageBreak/>
        <w:t xml:space="preserve">Product </w:t>
      </w:r>
      <w:r w:rsidRPr="003E7EE5">
        <w:rPr>
          <w:iCs/>
          <w:color w:val="000000" w:themeColor="text1"/>
        </w:rPr>
        <w:t xml:space="preserve">development and customer-driven strategies are </w:t>
      </w:r>
      <w:r w:rsidR="002F1877">
        <w:rPr>
          <w:iCs/>
          <w:color w:val="000000" w:themeColor="text1"/>
        </w:rPr>
        <w:t>two</w:t>
      </w:r>
      <w:r w:rsidRPr="003E7EE5">
        <w:rPr>
          <w:iCs/>
          <w:color w:val="000000" w:themeColor="text1"/>
        </w:rPr>
        <w:t xml:space="preserve"> drivers of a resilient company (</w:t>
      </w:r>
      <w:proofErr w:type="spellStart"/>
      <w:r w:rsidRPr="003E7EE5">
        <w:rPr>
          <w:iCs/>
          <w:color w:val="000000" w:themeColor="text1"/>
        </w:rPr>
        <w:t>Sabatino</w:t>
      </w:r>
      <w:proofErr w:type="spellEnd"/>
      <w:r w:rsidRPr="003E7EE5">
        <w:rPr>
          <w:iCs/>
          <w:color w:val="000000" w:themeColor="text1"/>
        </w:rPr>
        <w:t xml:space="preserve">, 2016). </w:t>
      </w:r>
      <w:r w:rsidR="006053D5" w:rsidRPr="003E7EE5">
        <w:rPr>
          <w:iCs/>
          <w:color w:val="000000" w:themeColor="text1"/>
        </w:rPr>
        <w:t>O</w:t>
      </w:r>
      <w:r w:rsidRPr="003E7EE5">
        <w:rPr>
          <w:iCs/>
          <w:color w:val="000000" w:themeColor="text1"/>
        </w:rPr>
        <w:t xml:space="preserve">ffering new products </w:t>
      </w:r>
      <w:r w:rsidR="006053D5" w:rsidRPr="003E7EE5">
        <w:rPr>
          <w:iCs/>
          <w:color w:val="000000" w:themeColor="text1"/>
        </w:rPr>
        <w:t xml:space="preserve">that address customer needs </w:t>
      </w:r>
      <w:r w:rsidRPr="003E7EE5">
        <w:rPr>
          <w:iCs/>
          <w:color w:val="000000" w:themeColor="text1"/>
        </w:rPr>
        <w:t>during a crisis help</w:t>
      </w:r>
      <w:r w:rsidR="002F1877">
        <w:rPr>
          <w:iCs/>
          <w:color w:val="000000" w:themeColor="text1"/>
        </w:rPr>
        <w:t>s</w:t>
      </w:r>
      <w:r w:rsidRPr="003E7EE5">
        <w:rPr>
          <w:iCs/>
          <w:color w:val="000000" w:themeColor="text1"/>
        </w:rPr>
        <w:t xml:space="preserve"> companies become more resilient (</w:t>
      </w:r>
      <w:proofErr w:type="spellStart"/>
      <w:r w:rsidRPr="003E7EE5">
        <w:rPr>
          <w:iCs/>
          <w:color w:val="000000" w:themeColor="text1"/>
        </w:rPr>
        <w:t>Gebauer</w:t>
      </w:r>
      <w:proofErr w:type="spellEnd"/>
      <w:r w:rsidR="007E71B6" w:rsidRPr="003E7EE5">
        <w:rPr>
          <w:iCs/>
          <w:color w:val="000000" w:themeColor="text1"/>
        </w:rPr>
        <w:t xml:space="preserve"> </w:t>
      </w:r>
      <w:r w:rsidR="007E71B6" w:rsidRPr="003E7EE5">
        <w:rPr>
          <w:i/>
        </w:rPr>
        <w:t>et al.</w:t>
      </w:r>
      <w:r w:rsidR="007E71B6" w:rsidRPr="003E7EE5">
        <w:t xml:space="preserve">, </w:t>
      </w:r>
      <w:r w:rsidR="0005434B" w:rsidRPr="003E7EE5">
        <w:rPr>
          <w:iCs/>
          <w:color w:val="000000" w:themeColor="text1"/>
        </w:rPr>
        <w:t>2011</w:t>
      </w:r>
      <w:r w:rsidRPr="003E7EE5">
        <w:rPr>
          <w:iCs/>
          <w:color w:val="000000" w:themeColor="text1"/>
        </w:rPr>
        <w:t>)</w:t>
      </w:r>
      <w:r w:rsidR="009002AB" w:rsidRPr="003E7EE5">
        <w:rPr>
          <w:iCs/>
          <w:color w:val="000000" w:themeColor="text1"/>
        </w:rPr>
        <w:t>, and thus</w:t>
      </w:r>
      <w:r w:rsidRPr="003E7EE5">
        <w:rPr>
          <w:iCs/>
          <w:color w:val="000000" w:themeColor="text1"/>
        </w:rPr>
        <w:t xml:space="preserve"> </w:t>
      </w:r>
      <w:r w:rsidR="006053D5" w:rsidRPr="003E7EE5">
        <w:rPr>
          <w:iCs/>
        </w:rPr>
        <w:t xml:space="preserve">GMS can </w:t>
      </w:r>
      <w:r w:rsidR="002F1877">
        <w:rPr>
          <w:iCs/>
        </w:rPr>
        <w:t xml:space="preserve">serve </w:t>
      </w:r>
      <w:r w:rsidR="006053D5" w:rsidRPr="003E7EE5">
        <w:rPr>
          <w:iCs/>
        </w:rPr>
        <w:t xml:space="preserve">as a source of innovation and cost reduction (Hart, 1995; Papadas </w:t>
      </w:r>
      <w:r w:rsidR="006053D5" w:rsidRPr="003E7EE5">
        <w:rPr>
          <w:i/>
          <w:iCs/>
        </w:rPr>
        <w:t>et al.</w:t>
      </w:r>
      <w:r w:rsidR="006053D5" w:rsidRPr="003E7EE5">
        <w:rPr>
          <w:iCs/>
        </w:rPr>
        <w:t xml:space="preserve">, 2019). </w:t>
      </w:r>
      <w:r w:rsidR="002F1877">
        <w:rPr>
          <w:iCs/>
        </w:rPr>
        <w:t>By</w:t>
      </w:r>
      <w:r w:rsidR="006053D5" w:rsidRPr="003E7EE5">
        <w:rPr>
          <w:iCs/>
        </w:rPr>
        <w:t xml:space="preserve"> driving a transformation in operating systems in terms of productivity optimi</w:t>
      </w:r>
      <w:r w:rsidR="003E7EE5">
        <w:rPr>
          <w:iCs/>
        </w:rPr>
        <w:t>z</w:t>
      </w:r>
      <w:r w:rsidR="006053D5" w:rsidRPr="003E7EE5">
        <w:rPr>
          <w:iCs/>
        </w:rPr>
        <w:t>ation, product innovation</w:t>
      </w:r>
      <w:r w:rsidR="002F1877">
        <w:rPr>
          <w:iCs/>
        </w:rPr>
        <w:t>,</w:t>
      </w:r>
      <w:r w:rsidR="006053D5" w:rsidRPr="003E7EE5">
        <w:rPr>
          <w:iCs/>
        </w:rPr>
        <w:t xml:space="preserve"> and cost</w:t>
      </w:r>
      <w:r w:rsidR="002F1877">
        <w:rPr>
          <w:iCs/>
        </w:rPr>
        <w:t>-</w:t>
      </w:r>
      <w:r w:rsidR="006053D5" w:rsidRPr="003E7EE5">
        <w:rPr>
          <w:iCs/>
        </w:rPr>
        <w:t xml:space="preserve">efficiency, GMS helps firms build OR </w:t>
      </w:r>
      <w:r w:rsidR="002F1877">
        <w:rPr>
          <w:iCs/>
        </w:rPr>
        <w:t>during</w:t>
      </w:r>
      <w:r w:rsidR="006053D5" w:rsidRPr="003E7EE5">
        <w:rPr>
          <w:iCs/>
          <w:color w:val="000000" w:themeColor="text1"/>
        </w:rPr>
        <w:t xml:space="preserve"> a period of crisis (</w:t>
      </w:r>
      <w:proofErr w:type="spellStart"/>
      <w:r w:rsidR="006053D5" w:rsidRPr="003E7EE5">
        <w:rPr>
          <w:iCs/>
          <w:color w:val="000000" w:themeColor="text1"/>
        </w:rPr>
        <w:t>Lowitt</w:t>
      </w:r>
      <w:proofErr w:type="spellEnd"/>
      <w:r w:rsidR="006053D5" w:rsidRPr="003E7EE5">
        <w:rPr>
          <w:iCs/>
          <w:color w:val="000000" w:themeColor="text1"/>
        </w:rPr>
        <w:t>, 2014). GMS also incorporates new product launch</w:t>
      </w:r>
      <w:r w:rsidR="002F1877">
        <w:rPr>
          <w:iCs/>
          <w:color w:val="000000" w:themeColor="text1"/>
        </w:rPr>
        <w:t>es</w:t>
      </w:r>
      <w:r w:rsidR="006053D5" w:rsidRPr="003E7EE5">
        <w:rPr>
          <w:iCs/>
          <w:color w:val="000000" w:themeColor="text1"/>
        </w:rPr>
        <w:t>, product quality</w:t>
      </w:r>
      <w:r w:rsidR="002F1877">
        <w:rPr>
          <w:iCs/>
          <w:color w:val="000000" w:themeColor="text1"/>
        </w:rPr>
        <w:t>,</w:t>
      </w:r>
      <w:r w:rsidR="006053D5" w:rsidRPr="003E7EE5">
        <w:rPr>
          <w:iCs/>
          <w:color w:val="000000" w:themeColor="text1"/>
        </w:rPr>
        <w:t xml:space="preserve"> and process flexibility </w:t>
      </w:r>
      <w:r w:rsidR="006053D5" w:rsidRPr="003E7EE5">
        <w:rPr>
          <w:color w:val="000000" w:themeColor="text1"/>
        </w:rPr>
        <w:t>and adapt</w:t>
      </w:r>
      <w:r w:rsidR="002F1877">
        <w:rPr>
          <w:color w:val="000000" w:themeColor="text1"/>
        </w:rPr>
        <w:t>s</w:t>
      </w:r>
      <w:r w:rsidR="006053D5" w:rsidRPr="003E7EE5">
        <w:rPr>
          <w:color w:val="000000" w:themeColor="text1"/>
        </w:rPr>
        <w:t xml:space="preserve"> its operating systems to new conditions, </w:t>
      </w:r>
      <w:r w:rsidR="002F1877">
        <w:rPr>
          <w:color w:val="000000" w:themeColor="text1"/>
        </w:rPr>
        <w:t>to</w:t>
      </w:r>
      <w:r w:rsidR="006053D5" w:rsidRPr="003E7EE5">
        <w:rPr>
          <w:color w:val="000000" w:themeColor="text1"/>
        </w:rPr>
        <w:t xml:space="preserve"> boost </w:t>
      </w:r>
      <w:r w:rsidR="002F1877">
        <w:rPr>
          <w:color w:val="000000" w:themeColor="text1"/>
        </w:rPr>
        <w:t>OR</w:t>
      </w:r>
      <w:r w:rsidR="006053D5" w:rsidRPr="003E7EE5">
        <w:rPr>
          <w:color w:val="000000" w:themeColor="text1"/>
        </w:rPr>
        <w:t xml:space="preserve"> in turbulent times (</w:t>
      </w:r>
      <w:proofErr w:type="spellStart"/>
      <w:r w:rsidR="006053D5" w:rsidRPr="003E7EE5">
        <w:t>Birkie</w:t>
      </w:r>
      <w:proofErr w:type="spellEnd"/>
      <w:r w:rsidR="006053D5" w:rsidRPr="003E7EE5">
        <w:t xml:space="preserve">, </w:t>
      </w:r>
      <w:r w:rsidR="00300ACD" w:rsidRPr="003E7EE5">
        <w:rPr>
          <w:rFonts w:eastAsia="Times New Roman"/>
          <w:color w:val="000000" w:themeColor="text1"/>
          <w:shd w:val="clear" w:color="auto" w:fill="FFFFFF"/>
        </w:rPr>
        <w:t>2016</w:t>
      </w:r>
      <w:r w:rsidR="006053D5" w:rsidRPr="003E7EE5">
        <w:t xml:space="preserve">). </w:t>
      </w:r>
    </w:p>
    <w:p w14:paraId="3BECE7C8" w14:textId="612B41CF" w:rsidR="00DB786D" w:rsidRPr="003E7EE5" w:rsidRDefault="004C108F" w:rsidP="00EE5270">
      <w:pPr>
        <w:widowControl w:val="0"/>
        <w:autoSpaceDE w:val="0"/>
        <w:autoSpaceDN w:val="0"/>
        <w:adjustRightInd w:val="0"/>
        <w:spacing w:line="480" w:lineRule="auto"/>
        <w:ind w:firstLine="720"/>
        <w:rPr>
          <w:color w:val="000000" w:themeColor="text1"/>
          <w:szCs w:val="22"/>
        </w:rPr>
      </w:pPr>
      <w:r w:rsidRPr="003E7EE5">
        <w:rPr>
          <w:color w:val="000000" w:themeColor="text1"/>
          <w:szCs w:val="22"/>
        </w:rPr>
        <w:t>Prior research</w:t>
      </w:r>
      <w:r w:rsidR="00FF05AC" w:rsidRPr="003E7EE5">
        <w:rPr>
          <w:color w:val="000000" w:themeColor="text1"/>
          <w:szCs w:val="22"/>
        </w:rPr>
        <w:t xml:space="preserve"> </w:t>
      </w:r>
      <w:r w:rsidR="004C1B19" w:rsidRPr="003E7EE5">
        <w:rPr>
          <w:color w:val="000000" w:themeColor="text1"/>
          <w:szCs w:val="22"/>
        </w:rPr>
        <w:t xml:space="preserve">also </w:t>
      </w:r>
      <w:r w:rsidR="00EB10F5" w:rsidRPr="003E7EE5">
        <w:rPr>
          <w:color w:val="000000" w:themeColor="text1"/>
          <w:szCs w:val="22"/>
        </w:rPr>
        <w:t xml:space="preserve">suggests </w:t>
      </w:r>
      <w:r w:rsidR="0046665B" w:rsidRPr="003E7EE5">
        <w:rPr>
          <w:color w:val="000000" w:themeColor="text1"/>
          <w:szCs w:val="22"/>
        </w:rPr>
        <w:t>that</w:t>
      </w:r>
      <w:r w:rsidRPr="003E7EE5">
        <w:rPr>
          <w:color w:val="000000" w:themeColor="text1"/>
          <w:szCs w:val="22"/>
        </w:rPr>
        <w:t xml:space="preserve"> environmental strategy</w:t>
      </w:r>
      <w:r w:rsidR="004C3BFB" w:rsidRPr="003E7EE5">
        <w:rPr>
          <w:color w:val="000000" w:themeColor="text1"/>
          <w:szCs w:val="22"/>
        </w:rPr>
        <w:t xml:space="preserve"> has a</w:t>
      </w:r>
      <w:r w:rsidR="00EB10F5" w:rsidRPr="003E7EE5">
        <w:rPr>
          <w:color w:val="000000" w:themeColor="text1"/>
          <w:szCs w:val="22"/>
        </w:rPr>
        <w:t xml:space="preserve"> positive im</w:t>
      </w:r>
      <w:r w:rsidR="001B60E8" w:rsidRPr="003E7EE5">
        <w:rPr>
          <w:color w:val="000000" w:themeColor="text1"/>
          <w:szCs w:val="22"/>
        </w:rPr>
        <w:t xml:space="preserve">pact on </w:t>
      </w:r>
      <w:r w:rsidR="002F1877">
        <w:rPr>
          <w:color w:val="000000" w:themeColor="text1"/>
          <w:szCs w:val="22"/>
        </w:rPr>
        <w:t>FR</w:t>
      </w:r>
      <w:r w:rsidR="006053D5" w:rsidRPr="003E7EE5">
        <w:rPr>
          <w:color w:val="000000" w:themeColor="text1"/>
          <w:szCs w:val="22"/>
        </w:rPr>
        <w:t xml:space="preserve"> </w:t>
      </w:r>
      <w:r w:rsidR="001B60E8" w:rsidRPr="003E7EE5">
        <w:rPr>
          <w:color w:val="000000" w:themeColor="text1"/>
          <w:szCs w:val="22"/>
        </w:rPr>
        <w:t>(</w:t>
      </w:r>
      <w:r w:rsidRPr="003E7EE5">
        <w:rPr>
          <w:color w:val="000000" w:themeColor="text1"/>
          <w:szCs w:val="22"/>
        </w:rPr>
        <w:t>e.g.</w:t>
      </w:r>
      <w:r w:rsidR="00FD74D0" w:rsidRPr="003E7EE5">
        <w:rPr>
          <w:color w:val="000000" w:themeColor="text1"/>
          <w:szCs w:val="22"/>
        </w:rPr>
        <w:t>,</w:t>
      </w:r>
      <w:r w:rsidRPr="003E7EE5">
        <w:rPr>
          <w:color w:val="000000" w:themeColor="text1"/>
          <w:szCs w:val="22"/>
        </w:rPr>
        <w:t xml:space="preserve"> </w:t>
      </w:r>
      <w:r w:rsidR="00181ADC" w:rsidRPr="003E7EE5">
        <w:rPr>
          <w:color w:val="000000" w:themeColor="text1"/>
          <w:szCs w:val="22"/>
        </w:rPr>
        <w:t xml:space="preserve">Baker </w:t>
      </w:r>
      <w:r w:rsidR="007E71B6" w:rsidRPr="003E7EE5">
        <w:rPr>
          <w:color w:val="000000" w:themeColor="text1"/>
          <w:szCs w:val="22"/>
        </w:rPr>
        <w:t>and</w:t>
      </w:r>
      <w:r w:rsidR="00181ADC" w:rsidRPr="003E7EE5">
        <w:rPr>
          <w:color w:val="000000" w:themeColor="text1"/>
          <w:szCs w:val="22"/>
        </w:rPr>
        <w:t xml:space="preserve"> Sinkula, 2005; </w:t>
      </w:r>
      <w:r w:rsidRPr="003E7EE5">
        <w:rPr>
          <w:color w:val="000000" w:themeColor="text1"/>
          <w:szCs w:val="22"/>
        </w:rPr>
        <w:t xml:space="preserve">Menon </w:t>
      </w:r>
      <w:r w:rsidR="007E71B6" w:rsidRPr="003E7EE5">
        <w:rPr>
          <w:color w:val="000000" w:themeColor="text1"/>
          <w:szCs w:val="22"/>
        </w:rPr>
        <w:t>and</w:t>
      </w:r>
      <w:r w:rsidRPr="003E7EE5">
        <w:rPr>
          <w:color w:val="000000" w:themeColor="text1"/>
          <w:szCs w:val="22"/>
        </w:rPr>
        <w:t xml:space="preserve"> Menon, </w:t>
      </w:r>
      <w:r w:rsidR="005D7710" w:rsidRPr="003E7EE5">
        <w:rPr>
          <w:color w:val="000000" w:themeColor="text1"/>
        </w:rPr>
        <w:t>1997</w:t>
      </w:r>
      <w:r w:rsidR="00927A00" w:rsidRPr="003E7EE5">
        <w:rPr>
          <w:color w:val="000000" w:themeColor="text1"/>
          <w:szCs w:val="22"/>
        </w:rPr>
        <w:t xml:space="preserve">). </w:t>
      </w:r>
      <w:r w:rsidRPr="003E7EE5">
        <w:rPr>
          <w:color w:val="000000" w:themeColor="text1"/>
          <w:szCs w:val="22"/>
        </w:rPr>
        <w:t xml:space="preserve">In particular, </w:t>
      </w:r>
      <w:proofErr w:type="gramStart"/>
      <w:r w:rsidRPr="003E7EE5">
        <w:rPr>
          <w:color w:val="000000" w:themeColor="text1"/>
          <w:szCs w:val="22"/>
        </w:rPr>
        <w:t>a large number of</w:t>
      </w:r>
      <w:proofErr w:type="gramEnd"/>
      <w:r w:rsidRPr="003E7EE5">
        <w:rPr>
          <w:color w:val="000000" w:themeColor="text1"/>
          <w:szCs w:val="22"/>
        </w:rPr>
        <w:t xml:space="preserve"> studies </w:t>
      </w:r>
      <w:r w:rsidR="002F1877">
        <w:rPr>
          <w:color w:val="000000" w:themeColor="text1"/>
          <w:szCs w:val="22"/>
        </w:rPr>
        <w:t>have found a</w:t>
      </w:r>
      <w:r w:rsidRPr="003E7EE5">
        <w:rPr>
          <w:color w:val="000000" w:themeColor="text1"/>
          <w:szCs w:val="22"/>
        </w:rPr>
        <w:t xml:space="preserve"> positive effect of proactive environmental strategies </w:t>
      </w:r>
      <w:r w:rsidR="006053D5" w:rsidRPr="003E7EE5">
        <w:rPr>
          <w:color w:val="000000" w:themeColor="text1"/>
          <w:szCs w:val="22"/>
        </w:rPr>
        <w:t xml:space="preserve">on </w:t>
      </w:r>
      <w:r w:rsidRPr="003E7EE5">
        <w:rPr>
          <w:color w:val="000000" w:themeColor="text1"/>
          <w:szCs w:val="22"/>
        </w:rPr>
        <w:t>ma</w:t>
      </w:r>
      <w:r w:rsidR="00D73FCA" w:rsidRPr="003E7EE5">
        <w:rPr>
          <w:color w:val="000000" w:themeColor="text1"/>
          <w:szCs w:val="22"/>
        </w:rPr>
        <w:t>rket share change, sales growth</w:t>
      </w:r>
      <w:r w:rsidR="002F1877">
        <w:rPr>
          <w:color w:val="000000" w:themeColor="text1"/>
          <w:szCs w:val="22"/>
        </w:rPr>
        <w:t>,</w:t>
      </w:r>
      <w:r w:rsidR="00D73FCA" w:rsidRPr="003E7EE5">
        <w:rPr>
          <w:color w:val="000000" w:themeColor="text1"/>
          <w:szCs w:val="22"/>
        </w:rPr>
        <w:t xml:space="preserve"> and</w:t>
      </w:r>
      <w:r w:rsidRPr="003E7EE5">
        <w:rPr>
          <w:color w:val="000000" w:themeColor="text1"/>
          <w:szCs w:val="22"/>
        </w:rPr>
        <w:t xml:space="preserve"> profit</w:t>
      </w:r>
      <w:r w:rsidR="006053D5" w:rsidRPr="003E7EE5">
        <w:rPr>
          <w:color w:val="000000" w:themeColor="text1"/>
          <w:szCs w:val="22"/>
        </w:rPr>
        <w:t xml:space="preserve">s </w:t>
      </w:r>
      <w:r w:rsidRPr="003E7EE5">
        <w:rPr>
          <w:color w:val="000000" w:themeColor="text1"/>
          <w:szCs w:val="22"/>
        </w:rPr>
        <w:t>(e.g.</w:t>
      </w:r>
      <w:r w:rsidR="00FD74D0" w:rsidRPr="003E7EE5">
        <w:rPr>
          <w:color w:val="000000" w:themeColor="text1"/>
          <w:szCs w:val="22"/>
        </w:rPr>
        <w:t>,</w:t>
      </w:r>
      <w:r w:rsidRPr="003E7EE5">
        <w:rPr>
          <w:color w:val="000000" w:themeColor="text1"/>
          <w:szCs w:val="22"/>
        </w:rPr>
        <w:t xml:space="preserve"> Klassen </w:t>
      </w:r>
      <w:r w:rsidR="007E71B6" w:rsidRPr="003E7EE5">
        <w:rPr>
          <w:color w:val="000000" w:themeColor="text1"/>
          <w:szCs w:val="22"/>
        </w:rPr>
        <w:t>and</w:t>
      </w:r>
      <w:r w:rsidRPr="003E7EE5">
        <w:rPr>
          <w:color w:val="000000" w:themeColor="text1"/>
          <w:szCs w:val="22"/>
        </w:rPr>
        <w:t xml:space="preserve"> </w:t>
      </w:r>
      <w:proofErr w:type="spellStart"/>
      <w:r w:rsidRPr="003E7EE5">
        <w:rPr>
          <w:color w:val="000000" w:themeColor="text1"/>
          <w:szCs w:val="22"/>
        </w:rPr>
        <w:t>McLaughin</w:t>
      </w:r>
      <w:proofErr w:type="spellEnd"/>
      <w:r w:rsidRPr="003E7EE5">
        <w:rPr>
          <w:color w:val="000000" w:themeColor="text1"/>
          <w:szCs w:val="22"/>
        </w:rPr>
        <w:t xml:space="preserve">, 1996; </w:t>
      </w:r>
      <w:proofErr w:type="spellStart"/>
      <w:r w:rsidR="00181ADC" w:rsidRPr="003E7EE5">
        <w:rPr>
          <w:color w:val="000000" w:themeColor="text1"/>
          <w:szCs w:val="22"/>
        </w:rPr>
        <w:t>Menguc</w:t>
      </w:r>
      <w:proofErr w:type="spellEnd"/>
      <w:r w:rsidR="00181ADC" w:rsidRPr="003E7EE5">
        <w:rPr>
          <w:color w:val="000000" w:themeColor="text1"/>
          <w:szCs w:val="22"/>
        </w:rPr>
        <w:t xml:space="preserve"> </w:t>
      </w:r>
      <w:r w:rsidR="007E71B6" w:rsidRPr="003E7EE5">
        <w:rPr>
          <w:i/>
          <w:color w:val="000000" w:themeColor="text1"/>
          <w:szCs w:val="22"/>
        </w:rPr>
        <w:t>et al.</w:t>
      </w:r>
      <w:r w:rsidR="00181ADC" w:rsidRPr="003E7EE5">
        <w:rPr>
          <w:color w:val="000000" w:themeColor="text1"/>
          <w:szCs w:val="22"/>
        </w:rPr>
        <w:t>, 2010</w:t>
      </w:r>
      <w:r w:rsidRPr="003E7EE5">
        <w:rPr>
          <w:color w:val="000000" w:themeColor="text1"/>
          <w:szCs w:val="22"/>
        </w:rPr>
        <w:t>)</w:t>
      </w:r>
      <w:r w:rsidR="001407F2" w:rsidRPr="003E7EE5">
        <w:rPr>
          <w:color w:val="000000" w:themeColor="text1"/>
          <w:szCs w:val="22"/>
        </w:rPr>
        <w:t>.</w:t>
      </w:r>
      <w:r w:rsidR="00B437E8" w:rsidRPr="003E7EE5">
        <w:rPr>
          <w:color w:val="000000" w:themeColor="text1"/>
          <w:szCs w:val="22"/>
        </w:rPr>
        <w:t xml:space="preserve"> </w:t>
      </w:r>
      <w:r w:rsidR="006053D5" w:rsidRPr="003E7EE5">
        <w:rPr>
          <w:color w:val="000000" w:themeColor="text1"/>
          <w:szCs w:val="22"/>
        </w:rPr>
        <w:t>Recent</w:t>
      </w:r>
      <w:r w:rsidR="001F5270" w:rsidRPr="003E7EE5">
        <w:rPr>
          <w:color w:val="000000" w:themeColor="text1"/>
        </w:rPr>
        <w:t xml:space="preserve"> studies</w:t>
      </w:r>
      <w:r w:rsidR="00B304DD" w:rsidRPr="003E7EE5">
        <w:rPr>
          <w:color w:val="000000" w:themeColor="text1"/>
        </w:rPr>
        <w:t xml:space="preserve"> </w:t>
      </w:r>
      <w:r w:rsidR="002F1877">
        <w:rPr>
          <w:color w:val="000000" w:themeColor="text1"/>
        </w:rPr>
        <w:t xml:space="preserve">have </w:t>
      </w:r>
      <w:r w:rsidR="00B304DD" w:rsidRPr="003E7EE5">
        <w:rPr>
          <w:color w:val="000000" w:themeColor="text1"/>
        </w:rPr>
        <w:t>also</w:t>
      </w:r>
      <w:r w:rsidR="00724FE5" w:rsidRPr="003E7EE5">
        <w:rPr>
          <w:color w:val="000000" w:themeColor="text1"/>
        </w:rPr>
        <w:t xml:space="preserve"> confirm</w:t>
      </w:r>
      <w:r w:rsidR="002F1877">
        <w:rPr>
          <w:color w:val="000000" w:themeColor="text1"/>
        </w:rPr>
        <w:t>ed</w:t>
      </w:r>
      <w:r w:rsidR="00724FE5" w:rsidRPr="003E7EE5">
        <w:rPr>
          <w:color w:val="000000" w:themeColor="text1"/>
        </w:rPr>
        <w:t xml:space="preserve"> </w:t>
      </w:r>
      <w:r w:rsidR="00724FE5" w:rsidRPr="003E7EE5">
        <w:t>that strategic environmental practices contribute to organi</w:t>
      </w:r>
      <w:r w:rsidR="00667DF0" w:rsidRPr="003E7EE5">
        <w:t>z</w:t>
      </w:r>
      <w:r w:rsidR="00724FE5" w:rsidRPr="003E7EE5">
        <w:t xml:space="preserve">ational resilience during a </w:t>
      </w:r>
      <w:r w:rsidR="00FD74D0" w:rsidRPr="003E7EE5">
        <w:t>recession</w:t>
      </w:r>
      <w:r w:rsidR="001F5270" w:rsidRPr="003E7EE5">
        <w:t xml:space="preserve"> </w:t>
      </w:r>
      <w:r w:rsidR="001F5270" w:rsidRPr="003E7EE5">
        <w:rPr>
          <w:color w:val="000000" w:themeColor="text1"/>
        </w:rPr>
        <w:t>(Ortiz-de-</w:t>
      </w:r>
      <w:proofErr w:type="spellStart"/>
      <w:r w:rsidR="001F5270" w:rsidRPr="003E7EE5">
        <w:rPr>
          <w:color w:val="000000" w:themeColor="text1"/>
        </w:rPr>
        <w:t>Mandojana</w:t>
      </w:r>
      <w:proofErr w:type="spellEnd"/>
      <w:r w:rsidR="001F5270" w:rsidRPr="003E7EE5">
        <w:rPr>
          <w:color w:val="000000" w:themeColor="text1"/>
        </w:rPr>
        <w:t xml:space="preserve"> and Bansal, 2016; </w:t>
      </w:r>
      <w:proofErr w:type="spellStart"/>
      <w:r w:rsidR="001F5270" w:rsidRPr="003E7EE5">
        <w:rPr>
          <w:color w:val="000000" w:themeColor="text1"/>
        </w:rPr>
        <w:t>DesJardine</w:t>
      </w:r>
      <w:proofErr w:type="spellEnd"/>
      <w:r w:rsidR="001F5270" w:rsidRPr="003E7EE5">
        <w:rPr>
          <w:color w:val="000000" w:themeColor="text1"/>
        </w:rPr>
        <w:t xml:space="preserve"> </w:t>
      </w:r>
      <w:r w:rsidR="001F5270" w:rsidRPr="003E7EE5">
        <w:rPr>
          <w:i/>
        </w:rPr>
        <w:t>et al.</w:t>
      </w:r>
      <w:r w:rsidR="001F5270" w:rsidRPr="003E7EE5">
        <w:t xml:space="preserve">, </w:t>
      </w:r>
      <w:r w:rsidR="001F5270" w:rsidRPr="003E7EE5">
        <w:rPr>
          <w:color w:val="000000" w:themeColor="text1"/>
        </w:rPr>
        <w:t>2019)</w:t>
      </w:r>
      <w:r w:rsidR="00FD74D0" w:rsidRPr="003E7EE5">
        <w:t>.</w:t>
      </w:r>
      <w:r w:rsidR="001A2392" w:rsidRPr="003E7EE5">
        <w:rPr>
          <w:color w:val="FF0000"/>
          <w:szCs w:val="22"/>
        </w:rPr>
        <w:t xml:space="preserve"> </w:t>
      </w:r>
      <w:r w:rsidR="002F1877" w:rsidRPr="005E1791">
        <w:rPr>
          <w:color w:val="000000" w:themeColor="text1"/>
          <w:szCs w:val="22"/>
        </w:rPr>
        <w:t>Thus, we</w:t>
      </w:r>
      <w:r w:rsidR="00EB10F5" w:rsidRPr="005E1791">
        <w:rPr>
          <w:color w:val="000000" w:themeColor="text1"/>
          <w:szCs w:val="22"/>
        </w:rPr>
        <w:t xml:space="preserve"> hypothe</w:t>
      </w:r>
      <w:r w:rsidR="002F1877" w:rsidRPr="005E1791">
        <w:rPr>
          <w:color w:val="000000" w:themeColor="text1"/>
          <w:szCs w:val="22"/>
        </w:rPr>
        <w:t xml:space="preserve">size </w:t>
      </w:r>
      <w:r w:rsidR="002F1877">
        <w:rPr>
          <w:szCs w:val="22"/>
        </w:rPr>
        <w:t>the following</w:t>
      </w:r>
      <w:r w:rsidR="00EB10F5" w:rsidRPr="003E7EE5">
        <w:rPr>
          <w:szCs w:val="22"/>
        </w:rPr>
        <w:t xml:space="preserve">: </w:t>
      </w:r>
    </w:p>
    <w:p w14:paraId="1810243A" w14:textId="05B51D7A" w:rsidR="00EC11D5" w:rsidRPr="003E7EE5" w:rsidRDefault="007D030C" w:rsidP="000F53A1">
      <w:pPr>
        <w:widowControl w:val="0"/>
        <w:autoSpaceDE w:val="0"/>
        <w:autoSpaceDN w:val="0"/>
        <w:adjustRightInd w:val="0"/>
        <w:spacing w:after="120" w:line="480" w:lineRule="auto"/>
        <w:rPr>
          <w:szCs w:val="22"/>
        </w:rPr>
      </w:pPr>
      <w:r w:rsidRPr="005E1791">
        <w:rPr>
          <w:bCs/>
          <w:i/>
          <w:iCs/>
          <w:szCs w:val="22"/>
        </w:rPr>
        <w:t>H3</w:t>
      </w:r>
      <w:r w:rsidR="00EC11D5" w:rsidRPr="005E1791">
        <w:rPr>
          <w:bCs/>
          <w:i/>
          <w:iCs/>
          <w:szCs w:val="22"/>
        </w:rPr>
        <w:t>.</w:t>
      </w:r>
      <w:r w:rsidR="00EC11D5" w:rsidRPr="003E7EE5">
        <w:rPr>
          <w:szCs w:val="22"/>
        </w:rPr>
        <w:t xml:space="preserve"> </w:t>
      </w:r>
      <w:r w:rsidR="001F5270" w:rsidRPr="003E7EE5">
        <w:rPr>
          <w:szCs w:val="22"/>
        </w:rPr>
        <w:t>GMS</w:t>
      </w:r>
      <w:r w:rsidR="00EC11D5" w:rsidRPr="003E7EE5">
        <w:rPr>
          <w:szCs w:val="22"/>
        </w:rPr>
        <w:t xml:space="preserve"> has a positive effect on </w:t>
      </w:r>
      <w:r w:rsidR="001046F7" w:rsidRPr="003E7EE5">
        <w:rPr>
          <w:szCs w:val="22"/>
        </w:rPr>
        <w:t>OR</w:t>
      </w:r>
      <w:r w:rsidR="00EC11D5" w:rsidRPr="003E7EE5">
        <w:rPr>
          <w:szCs w:val="22"/>
        </w:rPr>
        <w:t xml:space="preserve"> </w:t>
      </w:r>
      <w:r w:rsidR="004A3847" w:rsidRPr="003E7EE5">
        <w:rPr>
          <w:szCs w:val="22"/>
        </w:rPr>
        <w:t>during a crisis.</w:t>
      </w:r>
      <w:r w:rsidR="00EC11D5" w:rsidRPr="003E7EE5">
        <w:rPr>
          <w:szCs w:val="22"/>
        </w:rPr>
        <w:t xml:space="preserve"> </w:t>
      </w:r>
    </w:p>
    <w:p w14:paraId="6AA31417" w14:textId="6481C9D0" w:rsidR="00735AC9" w:rsidRPr="003E7EE5" w:rsidRDefault="007D030C" w:rsidP="00FF05AC">
      <w:pPr>
        <w:widowControl w:val="0"/>
        <w:autoSpaceDE w:val="0"/>
        <w:autoSpaceDN w:val="0"/>
        <w:adjustRightInd w:val="0"/>
        <w:spacing w:after="120" w:line="480" w:lineRule="auto"/>
      </w:pPr>
      <w:r w:rsidRPr="005E1791">
        <w:rPr>
          <w:bCs/>
          <w:i/>
          <w:iCs/>
        </w:rPr>
        <w:t>H4</w:t>
      </w:r>
      <w:r w:rsidR="00DB786D" w:rsidRPr="005E1791">
        <w:rPr>
          <w:bCs/>
          <w:i/>
          <w:iCs/>
        </w:rPr>
        <w:t>.</w:t>
      </w:r>
      <w:r w:rsidR="00DB786D" w:rsidRPr="003E7EE5">
        <w:t xml:space="preserve"> </w:t>
      </w:r>
      <w:r w:rsidR="001F5270" w:rsidRPr="003E7EE5">
        <w:t>GMS</w:t>
      </w:r>
      <w:r w:rsidR="00DB786D" w:rsidRPr="003E7EE5">
        <w:t xml:space="preserve"> has a positive effect on </w:t>
      </w:r>
      <w:r w:rsidR="001046F7" w:rsidRPr="003E7EE5">
        <w:t>FR</w:t>
      </w:r>
      <w:r w:rsidR="00DB786D" w:rsidRPr="003E7EE5">
        <w:t xml:space="preserve"> </w:t>
      </w:r>
      <w:r w:rsidR="00F76C9D" w:rsidRPr="003E7EE5">
        <w:t>during a crisis.</w:t>
      </w:r>
    </w:p>
    <w:p w14:paraId="0EFFB4EF" w14:textId="6E4D08CF" w:rsidR="00B304DD" w:rsidRPr="003E7EE5" w:rsidRDefault="00B304DD" w:rsidP="005E1791">
      <w:pPr>
        <w:widowControl w:val="0"/>
        <w:autoSpaceDE w:val="0"/>
        <w:autoSpaceDN w:val="0"/>
        <w:adjustRightInd w:val="0"/>
        <w:spacing w:line="480" w:lineRule="auto"/>
        <w:ind w:firstLine="720"/>
        <w:rPr>
          <w:color w:val="4472C4" w:themeColor="accent1"/>
        </w:rPr>
      </w:pPr>
      <w:r w:rsidRPr="003E7EE5">
        <w:rPr>
          <w:color w:val="000000" w:themeColor="text1"/>
        </w:rPr>
        <w:t xml:space="preserve">In contrast </w:t>
      </w:r>
      <w:r w:rsidR="007A5AB0">
        <w:rPr>
          <w:color w:val="000000" w:themeColor="text1"/>
        </w:rPr>
        <w:t>with</w:t>
      </w:r>
      <w:r w:rsidRPr="003E7EE5">
        <w:rPr>
          <w:color w:val="000000" w:themeColor="text1"/>
        </w:rPr>
        <w:t xml:space="preserve"> resilience</w:t>
      </w:r>
      <w:r w:rsidR="007A5AB0">
        <w:rPr>
          <w:color w:val="000000" w:themeColor="text1"/>
        </w:rPr>
        <w:t>,</w:t>
      </w:r>
      <w:r w:rsidRPr="003E7EE5">
        <w:rPr>
          <w:color w:val="000000" w:themeColor="text1"/>
        </w:rPr>
        <w:t xml:space="preserve"> which mostly captures corporate survival and recovery speed, long-term performance reflects a firm’s competitiveness and value generation (</w:t>
      </w:r>
      <w:proofErr w:type="spellStart"/>
      <w:r w:rsidRPr="003E7EE5">
        <w:rPr>
          <w:color w:val="000000" w:themeColor="text1"/>
        </w:rPr>
        <w:t>Lloret</w:t>
      </w:r>
      <w:proofErr w:type="spellEnd"/>
      <w:r w:rsidRPr="003E7EE5">
        <w:rPr>
          <w:color w:val="000000" w:themeColor="text1"/>
        </w:rPr>
        <w:t xml:space="preserve">, 2016). Amid the restrictions that economic, social, and environmental crises impose, companies can achieve successful long-term performance by developing strategies that decrease </w:t>
      </w:r>
      <w:r w:rsidR="00BE1328" w:rsidRPr="003E7EE5">
        <w:rPr>
          <w:color w:val="000000" w:themeColor="text1"/>
        </w:rPr>
        <w:t>volatility</w:t>
      </w:r>
      <w:r w:rsidRPr="003E7EE5">
        <w:rPr>
          <w:color w:val="000000" w:themeColor="text1"/>
        </w:rPr>
        <w:t xml:space="preserve"> of financial returns and generate future value (Cavaco and Machado, 2015). Firms that </w:t>
      </w:r>
      <w:proofErr w:type="gramStart"/>
      <w:r w:rsidRPr="003E7EE5">
        <w:rPr>
          <w:color w:val="000000" w:themeColor="text1"/>
        </w:rPr>
        <w:t>are able to</w:t>
      </w:r>
      <w:proofErr w:type="gramEnd"/>
      <w:r w:rsidRPr="003E7EE5">
        <w:rPr>
          <w:color w:val="000000" w:themeColor="text1"/>
        </w:rPr>
        <w:t xml:space="preserve"> adjust to environmental disturbances experience high financial stability, growth, and survival rates (Ortiz</w:t>
      </w:r>
      <w:r w:rsidRPr="003E7EE5">
        <w:t>-de-</w:t>
      </w:r>
      <w:proofErr w:type="spellStart"/>
      <w:r w:rsidRPr="003E7EE5">
        <w:t>Mandojana</w:t>
      </w:r>
      <w:proofErr w:type="spellEnd"/>
      <w:r w:rsidRPr="003E7EE5">
        <w:t xml:space="preserve"> and Bansal, 2016).</w:t>
      </w:r>
    </w:p>
    <w:p w14:paraId="66E0293C" w14:textId="32CD1268" w:rsidR="00B02342" w:rsidRPr="003E7EE5" w:rsidRDefault="00473F76" w:rsidP="007A5AB0">
      <w:pPr>
        <w:spacing w:line="480" w:lineRule="auto"/>
        <w:ind w:firstLine="720"/>
        <w:rPr>
          <w:color w:val="000000" w:themeColor="text1"/>
        </w:rPr>
      </w:pPr>
      <w:r w:rsidRPr="003E7EE5">
        <w:rPr>
          <w:color w:val="000000" w:themeColor="text1"/>
        </w:rPr>
        <w:lastRenderedPageBreak/>
        <w:t xml:space="preserve">Companies with a focus on sustainability demonstrate successful long-term </w:t>
      </w:r>
      <w:r w:rsidR="00B304DD" w:rsidRPr="003E7EE5">
        <w:rPr>
          <w:color w:val="000000" w:themeColor="text1"/>
        </w:rPr>
        <w:t xml:space="preserve">financial </w:t>
      </w:r>
      <w:r w:rsidRPr="003E7EE5">
        <w:rPr>
          <w:color w:val="000000" w:themeColor="text1"/>
        </w:rPr>
        <w:t>performance (</w:t>
      </w:r>
      <w:proofErr w:type="spellStart"/>
      <w:r w:rsidRPr="003E7EE5">
        <w:rPr>
          <w:color w:val="000000" w:themeColor="text1"/>
        </w:rPr>
        <w:t>Lloret</w:t>
      </w:r>
      <w:proofErr w:type="spellEnd"/>
      <w:r w:rsidRPr="003E7EE5">
        <w:rPr>
          <w:color w:val="000000" w:themeColor="text1"/>
        </w:rPr>
        <w:t xml:space="preserve">, 2016). </w:t>
      </w:r>
      <w:r w:rsidR="00F02DEC" w:rsidRPr="003E7EE5">
        <w:rPr>
          <w:color w:val="000000" w:themeColor="text1"/>
        </w:rPr>
        <w:t>Th</w:t>
      </w:r>
      <w:r w:rsidRPr="003E7EE5">
        <w:rPr>
          <w:color w:val="000000" w:themeColor="text1"/>
        </w:rPr>
        <w:t>us,</w:t>
      </w:r>
      <w:r w:rsidR="00F02DEC" w:rsidRPr="003E7EE5">
        <w:rPr>
          <w:color w:val="000000" w:themeColor="text1"/>
        </w:rPr>
        <w:t xml:space="preserve"> emphasis</w:t>
      </w:r>
      <w:r w:rsidR="00015A05" w:rsidRPr="003E7EE5">
        <w:rPr>
          <w:color w:val="000000" w:themeColor="text1"/>
        </w:rPr>
        <w:t xml:space="preserve"> on the effect of environmental strategies</w:t>
      </w:r>
      <w:r w:rsidR="007B039C" w:rsidRPr="003E7EE5">
        <w:rPr>
          <w:color w:val="000000" w:themeColor="text1"/>
        </w:rPr>
        <w:t xml:space="preserve"> on</w:t>
      </w:r>
      <w:r w:rsidR="00015A05" w:rsidRPr="003E7EE5">
        <w:rPr>
          <w:color w:val="000000" w:themeColor="text1"/>
        </w:rPr>
        <w:t xml:space="preserve"> long-term performance </w:t>
      </w:r>
      <w:r w:rsidR="00F02DEC" w:rsidRPr="003E7EE5">
        <w:rPr>
          <w:color w:val="000000" w:themeColor="text1"/>
        </w:rPr>
        <w:t xml:space="preserve">is important </w:t>
      </w:r>
      <w:r w:rsidR="007A5AB0">
        <w:rPr>
          <w:color w:val="000000" w:themeColor="text1"/>
        </w:rPr>
        <w:t>because</w:t>
      </w:r>
      <w:r w:rsidR="00015A05" w:rsidRPr="003E7EE5">
        <w:rPr>
          <w:color w:val="000000" w:themeColor="text1"/>
        </w:rPr>
        <w:t xml:space="preserve"> sustainability implies continuity. For example, </w:t>
      </w:r>
      <w:r w:rsidR="00B437E8" w:rsidRPr="003E7EE5">
        <w:rPr>
          <w:color w:val="000000" w:themeColor="text1"/>
        </w:rPr>
        <w:t xml:space="preserve">Aragón-Correa </w:t>
      </w:r>
      <w:r w:rsidR="000615F4" w:rsidRPr="000615F4">
        <w:rPr>
          <w:iCs/>
          <w:color w:val="000000" w:themeColor="text1"/>
        </w:rPr>
        <w:t>and Sharma</w:t>
      </w:r>
      <w:r w:rsidR="00B437E8" w:rsidRPr="003E7EE5">
        <w:rPr>
          <w:color w:val="000000" w:themeColor="text1"/>
        </w:rPr>
        <w:t xml:space="preserve"> (200</w:t>
      </w:r>
      <w:r w:rsidR="000615F4">
        <w:rPr>
          <w:color w:val="000000" w:themeColor="text1"/>
        </w:rPr>
        <w:t>3</w:t>
      </w:r>
      <w:r w:rsidR="00B437E8" w:rsidRPr="003E7EE5">
        <w:rPr>
          <w:color w:val="000000" w:themeColor="text1"/>
        </w:rPr>
        <w:t xml:space="preserve">) found a positive link between proactive environmental strategies and financial performance measured with long-term indicators such as return on investment. This is </w:t>
      </w:r>
      <w:r w:rsidR="00015A05" w:rsidRPr="003E7EE5">
        <w:rPr>
          <w:color w:val="000000" w:themeColor="text1"/>
        </w:rPr>
        <w:t xml:space="preserve">in </w:t>
      </w:r>
      <w:r w:rsidR="00B437E8" w:rsidRPr="003E7EE5">
        <w:rPr>
          <w:color w:val="000000" w:themeColor="text1"/>
        </w:rPr>
        <w:t xml:space="preserve">line with </w:t>
      </w:r>
      <w:r w:rsidR="00DE1536" w:rsidRPr="003E7EE5">
        <w:rPr>
          <w:color w:val="000000" w:themeColor="text1"/>
        </w:rPr>
        <w:t>Choi</w:t>
      </w:r>
      <w:r w:rsidR="007E71B6" w:rsidRPr="003E7EE5">
        <w:rPr>
          <w:color w:val="000000" w:themeColor="text1"/>
        </w:rPr>
        <w:t xml:space="preserve"> </w:t>
      </w:r>
      <w:r w:rsidR="007E71B6" w:rsidRPr="005E1791">
        <w:rPr>
          <w:i/>
          <w:iCs/>
          <w:color w:val="000000" w:themeColor="text1"/>
        </w:rPr>
        <w:t>et al.</w:t>
      </w:r>
      <w:r w:rsidR="007E71B6" w:rsidRPr="003E7EE5">
        <w:rPr>
          <w:color w:val="000000" w:themeColor="text1"/>
        </w:rPr>
        <w:t xml:space="preserve"> </w:t>
      </w:r>
      <w:r w:rsidR="00B437E8" w:rsidRPr="003E7EE5">
        <w:rPr>
          <w:color w:val="000000" w:themeColor="text1"/>
        </w:rPr>
        <w:t>(2020)</w:t>
      </w:r>
      <w:r w:rsidR="007A5AB0">
        <w:rPr>
          <w:color w:val="000000" w:themeColor="text1"/>
        </w:rPr>
        <w:t>,</w:t>
      </w:r>
      <w:r w:rsidR="00B437E8" w:rsidRPr="003E7EE5">
        <w:rPr>
          <w:color w:val="000000" w:themeColor="text1"/>
        </w:rPr>
        <w:t xml:space="preserve"> who found that </w:t>
      </w:r>
      <w:r w:rsidR="00B437E8" w:rsidRPr="003E7EE5">
        <w:t xml:space="preserve">firms with high carbon emissions </w:t>
      </w:r>
      <w:r w:rsidR="007A5AB0">
        <w:t>have</w:t>
      </w:r>
      <w:r w:rsidR="00B437E8" w:rsidRPr="003E7EE5">
        <w:t xml:space="preserve"> lower stock returns when </w:t>
      </w:r>
      <w:r w:rsidR="007A5AB0">
        <w:t>experiencing</w:t>
      </w:r>
      <w:r w:rsidR="003B4F81" w:rsidRPr="003E7EE5">
        <w:rPr>
          <w:color w:val="000000" w:themeColor="text1"/>
        </w:rPr>
        <w:t xml:space="preserve"> extreme weather condition</w:t>
      </w:r>
      <w:r w:rsidR="007A5AB0">
        <w:rPr>
          <w:color w:val="000000" w:themeColor="text1"/>
        </w:rPr>
        <w:t>s,</w:t>
      </w:r>
      <w:r w:rsidR="003B4F81" w:rsidRPr="003E7EE5">
        <w:rPr>
          <w:color w:val="000000" w:themeColor="text1"/>
        </w:rPr>
        <w:t xml:space="preserve"> </w:t>
      </w:r>
      <w:r w:rsidR="007A5AB0">
        <w:rPr>
          <w:color w:val="000000" w:themeColor="text1"/>
        </w:rPr>
        <w:t>which in turn</w:t>
      </w:r>
      <w:r w:rsidR="00B437E8" w:rsidRPr="003E7EE5">
        <w:rPr>
          <w:color w:val="000000" w:themeColor="text1"/>
        </w:rPr>
        <w:t xml:space="preserve"> prompts more attention </w:t>
      </w:r>
      <w:r w:rsidR="007A5AB0">
        <w:rPr>
          <w:color w:val="000000" w:themeColor="text1"/>
        </w:rPr>
        <w:t>to the</w:t>
      </w:r>
      <w:r w:rsidR="00B437E8" w:rsidRPr="003E7EE5">
        <w:rPr>
          <w:color w:val="000000" w:themeColor="text1"/>
        </w:rPr>
        <w:t xml:space="preserve"> climate</w:t>
      </w:r>
      <w:r w:rsidR="003B4F81" w:rsidRPr="003E7EE5">
        <w:rPr>
          <w:color w:val="000000" w:themeColor="text1"/>
        </w:rPr>
        <w:t xml:space="preserve"> crisis</w:t>
      </w:r>
      <w:r w:rsidR="00B437E8" w:rsidRPr="003E7EE5">
        <w:rPr>
          <w:color w:val="000000" w:themeColor="text1"/>
        </w:rPr>
        <w:t>.</w:t>
      </w:r>
      <w:r w:rsidR="00BD3745" w:rsidRPr="003E7EE5">
        <w:rPr>
          <w:color w:val="000000" w:themeColor="text1"/>
        </w:rPr>
        <w:t xml:space="preserve"> Furthermore, </w:t>
      </w:r>
      <w:r w:rsidR="00F02DEC" w:rsidRPr="003E7EE5">
        <w:rPr>
          <w:color w:val="000000" w:themeColor="text1"/>
        </w:rPr>
        <w:t xml:space="preserve">previous findings suggest that a firm that works consistently toward better financial performance also achieves positive financial </w:t>
      </w:r>
      <w:r w:rsidR="00651729" w:rsidRPr="003E7EE5">
        <w:rPr>
          <w:color w:val="000000" w:themeColor="text1"/>
        </w:rPr>
        <w:t>results</w:t>
      </w:r>
      <w:r w:rsidR="00F02DEC" w:rsidRPr="003E7EE5">
        <w:rPr>
          <w:color w:val="000000" w:themeColor="text1"/>
        </w:rPr>
        <w:t xml:space="preserve"> over time (</w:t>
      </w:r>
      <w:r w:rsidR="00DE1536" w:rsidRPr="003E7EE5">
        <w:rPr>
          <w:color w:val="000000" w:themeColor="text1"/>
        </w:rPr>
        <w:t>Clarkson</w:t>
      </w:r>
      <w:r w:rsidR="007E71B6" w:rsidRPr="003E7EE5">
        <w:rPr>
          <w:color w:val="000000" w:themeColor="text1"/>
        </w:rPr>
        <w:t xml:space="preserve"> </w:t>
      </w:r>
      <w:r w:rsidR="007E71B6" w:rsidRPr="003E7EE5">
        <w:rPr>
          <w:i/>
        </w:rPr>
        <w:t>et al.</w:t>
      </w:r>
      <w:r w:rsidR="007E71B6" w:rsidRPr="003E7EE5">
        <w:t>,</w:t>
      </w:r>
      <w:r w:rsidR="00EB61AB" w:rsidRPr="003E7EE5">
        <w:rPr>
          <w:color w:val="000000" w:themeColor="text1"/>
        </w:rPr>
        <w:t xml:space="preserve"> </w:t>
      </w:r>
      <w:r w:rsidR="00F02DEC" w:rsidRPr="003E7EE5">
        <w:rPr>
          <w:color w:val="000000" w:themeColor="text1"/>
        </w:rPr>
        <w:t>200</w:t>
      </w:r>
      <w:r w:rsidR="00FA20DB" w:rsidRPr="003E7EE5">
        <w:rPr>
          <w:color w:val="000000" w:themeColor="text1"/>
        </w:rPr>
        <w:t xml:space="preserve">8; King </w:t>
      </w:r>
      <w:r w:rsidR="007E71B6" w:rsidRPr="003E7EE5">
        <w:rPr>
          <w:color w:val="000000" w:themeColor="text1"/>
        </w:rPr>
        <w:t>and</w:t>
      </w:r>
      <w:r w:rsidR="00F02DEC" w:rsidRPr="003E7EE5">
        <w:rPr>
          <w:color w:val="000000" w:themeColor="text1"/>
        </w:rPr>
        <w:t xml:space="preserve"> L</w:t>
      </w:r>
      <w:r w:rsidR="00FA20DB" w:rsidRPr="003E7EE5">
        <w:rPr>
          <w:color w:val="000000" w:themeColor="text1"/>
        </w:rPr>
        <w:t xml:space="preserve">enox, 2001; </w:t>
      </w:r>
      <w:proofErr w:type="spellStart"/>
      <w:r w:rsidR="00FA20DB" w:rsidRPr="003E7EE5">
        <w:rPr>
          <w:color w:val="000000" w:themeColor="text1"/>
        </w:rPr>
        <w:t>Orlitzky</w:t>
      </w:r>
      <w:proofErr w:type="spellEnd"/>
      <w:r w:rsidR="007E71B6" w:rsidRPr="003E7EE5">
        <w:rPr>
          <w:color w:val="000000" w:themeColor="text1"/>
        </w:rPr>
        <w:t xml:space="preserve"> </w:t>
      </w:r>
      <w:r w:rsidR="007E71B6" w:rsidRPr="003E7EE5">
        <w:rPr>
          <w:i/>
        </w:rPr>
        <w:t>et al.</w:t>
      </w:r>
      <w:r w:rsidR="007E71B6" w:rsidRPr="003E7EE5">
        <w:t xml:space="preserve">, </w:t>
      </w:r>
      <w:r w:rsidR="00F02DEC" w:rsidRPr="003E7EE5">
        <w:rPr>
          <w:color w:val="000000" w:themeColor="text1"/>
        </w:rPr>
        <w:t xml:space="preserve">2003). </w:t>
      </w:r>
      <w:r w:rsidR="007A5AB0">
        <w:rPr>
          <w:color w:val="000000" w:themeColor="text1"/>
        </w:rPr>
        <w:t>Thus</w:t>
      </w:r>
      <w:r w:rsidR="00FA20DB" w:rsidRPr="003E7EE5">
        <w:rPr>
          <w:color w:val="000000" w:themeColor="text1"/>
        </w:rPr>
        <w:t>, we hypothesize</w:t>
      </w:r>
      <w:r w:rsidR="007A5AB0">
        <w:rPr>
          <w:color w:val="000000" w:themeColor="text1"/>
        </w:rPr>
        <w:t xml:space="preserve"> the following</w:t>
      </w:r>
      <w:r w:rsidR="00FA20DB" w:rsidRPr="003E7EE5">
        <w:rPr>
          <w:color w:val="000000" w:themeColor="text1"/>
        </w:rPr>
        <w:t>:</w:t>
      </w:r>
    </w:p>
    <w:p w14:paraId="7857F72B" w14:textId="1F52E6FE" w:rsidR="00B304DD" w:rsidRPr="003E7EE5" w:rsidRDefault="0069172A" w:rsidP="00C43AA8">
      <w:pPr>
        <w:widowControl w:val="0"/>
        <w:autoSpaceDE w:val="0"/>
        <w:autoSpaceDN w:val="0"/>
        <w:adjustRightInd w:val="0"/>
        <w:spacing w:after="120" w:line="480" w:lineRule="auto"/>
      </w:pPr>
      <w:r w:rsidRPr="005E1791">
        <w:rPr>
          <w:bCs/>
          <w:i/>
          <w:iCs/>
          <w:color w:val="000000" w:themeColor="text1"/>
        </w:rPr>
        <w:t>H5.</w:t>
      </w:r>
      <w:r w:rsidRPr="003E7EE5">
        <w:rPr>
          <w:color w:val="000000" w:themeColor="text1"/>
        </w:rPr>
        <w:t xml:space="preserve"> </w:t>
      </w:r>
      <w:r w:rsidR="001F5270" w:rsidRPr="003E7EE5">
        <w:rPr>
          <w:color w:val="000000" w:themeColor="text1"/>
        </w:rPr>
        <w:t>GMS</w:t>
      </w:r>
      <w:r w:rsidRPr="003E7EE5">
        <w:rPr>
          <w:color w:val="000000" w:themeColor="text1"/>
        </w:rPr>
        <w:t xml:space="preserve"> has a positive effect on financial performance</w:t>
      </w:r>
      <w:r w:rsidR="00FF05AC" w:rsidRPr="003E7EE5">
        <w:rPr>
          <w:color w:val="000000" w:themeColor="text1"/>
        </w:rPr>
        <w:t xml:space="preserve"> </w:t>
      </w:r>
      <w:r w:rsidR="007A5AB0">
        <w:rPr>
          <w:color w:val="000000" w:themeColor="text1"/>
        </w:rPr>
        <w:t>after a</w:t>
      </w:r>
      <w:r w:rsidR="007A5AB0">
        <w:t xml:space="preserve"> </w:t>
      </w:r>
      <w:r w:rsidR="00F76C9D" w:rsidRPr="003E7EE5">
        <w:t>crisis</w:t>
      </w:r>
      <w:r w:rsidRPr="003E7EE5">
        <w:t>.</w:t>
      </w:r>
    </w:p>
    <w:p w14:paraId="6B87F8D1" w14:textId="47D9CDD4" w:rsidR="001E4884" w:rsidRPr="003E7EE5" w:rsidRDefault="00B07F40" w:rsidP="001E4884">
      <w:pPr>
        <w:spacing w:line="480" w:lineRule="auto"/>
        <w:outlineLvl w:val="0"/>
      </w:pPr>
      <w:r w:rsidRPr="003E7EE5">
        <w:rPr>
          <w:i/>
          <w:iCs/>
        </w:rPr>
        <w:t>Financing and enabling GMS</w:t>
      </w:r>
      <w:r w:rsidRPr="003E7EE5">
        <w:t xml:space="preserve"> </w:t>
      </w:r>
      <w:r w:rsidRPr="005E1791">
        <w:rPr>
          <w:i/>
          <w:iCs/>
        </w:rPr>
        <w:t xml:space="preserve">during </w:t>
      </w:r>
      <w:r w:rsidR="007A5AB0" w:rsidRPr="005E1791">
        <w:rPr>
          <w:i/>
          <w:iCs/>
        </w:rPr>
        <w:t xml:space="preserve">a </w:t>
      </w:r>
      <w:r w:rsidRPr="005E1791">
        <w:rPr>
          <w:i/>
          <w:iCs/>
        </w:rPr>
        <w:t>crisis</w:t>
      </w:r>
      <w:r w:rsidRPr="003E7EE5">
        <w:t xml:space="preserve"> </w:t>
      </w:r>
    </w:p>
    <w:p w14:paraId="08024763" w14:textId="09AA6D3B" w:rsidR="001E4884" w:rsidRPr="003E7EE5" w:rsidRDefault="00C07250" w:rsidP="001E4884">
      <w:pPr>
        <w:spacing w:line="480" w:lineRule="auto"/>
        <w:outlineLvl w:val="0"/>
      </w:pPr>
      <w:r w:rsidRPr="003E7EE5">
        <w:t>C</w:t>
      </w:r>
      <w:r w:rsidR="00B304DD" w:rsidRPr="003E7EE5">
        <w:t xml:space="preserve">rises put managers in </w:t>
      </w:r>
      <w:r w:rsidRPr="003E7EE5">
        <w:t xml:space="preserve">a </w:t>
      </w:r>
      <w:r w:rsidR="00B304DD" w:rsidRPr="003E7EE5">
        <w:t xml:space="preserve">cost-cutting mode. </w:t>
      </w:r>
      <w:r w:rsidRPr="003E7EE5">
        <w:t xml:space="preserve">For </w:t>
      </w:r>
      <w:r w:rsidR="007A5AB0">
        <w:t>example</w:t>
      </w:r>
      <w:r w:rsidRPr="003E7EE5">
        <w:t xml:space="preserve">, economic downturns negatively </w:t>
      </w:r>
      <w:r w:rsidR="007A5AB0">
        <w:t>affect</w:t>
      </w:r>
      <w:r w:rsidRPr="003E7EE5">
        <w:t xml:space="preserve"> investments in new product development because R&amp;D does not offer immediate returns and thus represents an easy target for cost-saving (Barrett, 1991). Yet managers have the option to treat a crisis as an opportunity by investing in marketing during hard times (O'Malley </w:t>
      </w:r>
      <w:r w:rsidRPr="003E7EE5">
        <w:rPr>
          <w:i/>
        </w:rPr>
        <w:t>et al.</w:t>
      </w:r>
      <w:r w:rsidRPr="003E7EE5">
        <w:t xml:space="preserve">, 2011). </w:t>
      </w:r>
      <w:r w:rsidR="001E4884" w:rsidRPr="003E7EE5">
        <w:t xml:space="preserve">Related research shows that managers who invest in marketing amid a market crash </w:t>
      </w:r>
      <w:r w:rsidR="007A5AB0">
        <w:t>judge</w:t>
      </w:r>
      <w:r w:rsidR="001E4884" w:rsidRPr="003E7EE5">
        <w:t xml:space="preserve"> their companies </w:t>
      </w:r>
      <w:r w:rsidR="007A5AB0">
        <w:t xml:space="preserve">as </w:t>
      </w:r>
      <w:r w:rsidR="001E4884" w:rsidRPr="003E7EE5">
        <w:t xml:space="preserve">better surviving the crisis (Rollins </w:t>
      </w:r>
      <w:r w:rsidR="001E4884" w:rsidRPr="003E7EE5">
        <w:rPr>
          <w:i/>
        </w:rPr>
        <w:t>et al.</w:t>
      </w:r>
      <w:r w:rsidR="001E4884" w:rsidRPr="003E7EE5">
        <w:rPr>
          <w:rFonts w:eastAsia="Times New Roman"/>
          <w:color w:val="222222"/>
          <w:shd w:val="clear" w:color="auto" w:fill="FFFFFF"/>
        </w:rPr>
        <w:t>,</w:t>
      </w:r>
      <w:r w:rsidR="001E4884" w:rsidRPr="003E7EE5">
        <w:t xml:space="preserve"> 2014). Gulati </w:t>
      </w:r>
      <w:r w:rsidR="001E4884" w:rsidRPr="005E1791">
        <w:rPr>
          <w:i/>
          <w:iCs/>
        </w:rPr>
        <w:t>et al.</w:t>
      </w:r>
      <w:r w:rsidR="001E4884" w:rsidRPr="003E7EE5">
        <w:t xml:space="preserve"> (2010) found that companies are likely to become post-recession winners if </w:t>
      </w:r>
      <w:r w:rsidR="007A5AB0">
        <w:t xml:space="preserve">they </w:t>
      </w:r>
      <w:r w:rsidR="00BE1328">
        <w:t>maintain</w:t>
      </w:r>
      <w:r w:rsidR="007A5AB0">
        <w:t xml:space="preserve"> </w:t>
      </w:r>
      <w:r w:rsidR="001E4884" w:rsidRPr="003E7EE5">
        <w:t xml:space="preserve">marketing investments. Similarly, other studies </w:t>
      </w:r>
      <w:r w:rsidR="007A5AB0">
        <w:t>report</w:t>
      </w:r>
      <w:r w:rsidR="001E4884" w:rsidRPr="003E7EE5">
        <w:t xml:space="preserve"> that</w:t>
      </w:r>
      <w:r w:rsidR="001E4884" w:rsidRPr="003E7EE5">
        <w:rPr>
          <w:color w:val="000000" w:themeColor="text1"/>
        </w:rPr>
        <w:t xml:space="preserve"> increases in marketing investment in a crisis contribute to firm performance (</w:t>
      </w:r>
      <w:r w:rsidR="001E4884" w:rsidRPr="003E7EE5">
        <w:t xml:space="preserve">Srinivasan </w:t>
      </w:r>
      <w:r w:rsidR="001E4884" w:rsidRPr="003E7EE5">
        <w:rPr>
          <w:i/>
        </w:rPr>
        <w:t>et al.</w:t>
      </w:r>
      <w:r w:rsidR="001E4884" w:rsidRPr="003E7EE5">
        <w:t>, 2005).</w:t>
      </w:r>
      <w:r w:rsidRPr="003E7EE5">
        <w:t xml:space="preserve"> Consequently, </w:t>
      </w:r>
      <w:r w:rsidR="007A5AB0">
        <w:t>it</w:t>
      </w:r>
      <w:r w:rsidRPr="003E7EE5">
        <w:t xml:space="preserve"> could </w:t>
      </w:r>
      <w:r w:rsidR="007A5AB0">
        <w:t xml:space="preserve">be </w:t>
      </w:r>
      <w:r w:rsidRPr="003E7EE5">
        <w:t>argue</w:t>
      </w:r>
      <w:r w:rsidR="007A5AB0">
        <w:t>d</w:t>
      </w:r>
      <w:r w:rsidRPr="003E7EE5">
        <w:t xml:space="preserve"> that companies that continue to commit resources in </w:t>
      </w:r>
      <w:r w:rsidR="006D0D47" w:rsidRPr="003E7EE5">
        <w:t>GMSs</w:t>
      </w:r>
      <w:r w:rsidRPr="003E7EE5">
        <w:t xml:space="preserve"> during crisis conditions will </w:t>
      </w:r>
      <w:r w:rsidR="007A5AB0">
        <w:t>receive</w:t>
      </w:r>
      <w:r w:rsidRPr="003E7EE5">
        <w:t xml:space="preserve"> positive retu</w:t>
      </w:r>
      <w:r w:rsidR="00BE1328">
        <w:t>r</w:t>
      </w:r>
      <w:r w:rsidRPr="003E7EE5">
        <w:t>ns in the post-crisis era.</w:t>
      </w:r>
    </w:p>
    <w:p w14:paraId="62C1539A" w14:textId="3529AF1A" w:rsidR="00855AE3" w:rsidRPr="003E7EE5" w:rsidRDefault="00154740" w:rsidP="001323DD">
      <w:pPr>
        <w:spacing w:line="480" w:lineRule="auto"/>
        <w:ind w:firstLine="720"/>
        <w:outlineLvl w:val="0"/>
        <w:rPr>
          <w:color w:val="000000" w:themeColor="text1"/>
        </w:rPr>
      </w:pPr>
      <w:r w:rsidRPr="003E7EE5">
        <w:rPr>
          <w:color w:val="000000" w:themeColor="text1"/>
        </w:rPr>
        <w:lastRenderedPageBreak/>
        <w:t>The availability of financial resources is crucial in enabling companies</w:t>
      </w:r>
      <w:r w:rsidR="00C405C8" w:rsidRPr="003E7EE5">
        <w:rPr>
          <w:color w:val="000000" w:themeColor="text1"/>
        </w:rPr>
        <w:t xml:space="preserve"> </w:t>
      </w:r>
      <w:r w:rsidRPr="003E7EE5">
        <w:rPr>
          <w:color w:val="000000" w:themeColor="text1"/>
        </w:rPr>
        <w:t>to deliver an environmental strategy</w:t>
      </w:r>
      <w:r w:rsidR="007A5AB0">
        <w:rPr>
          <w:color w:val="000000" w:themeColor="text1"/>
        </w:rPr>
        <w:t>,</w:t>
      </w:r>
      <w:r w:rsidRPr="003E7EE5">
        <w:rPr>
          <w:color w:val="000000" w:themeColor="text1"/>
        </w:rPr>
        <w:t xml:space="preserve"> as most firms view</w:t>
      </w:r>
      <w:r w:rsidR="00FF5E7C" w:rsidRPr="003E7EE5">
        <w:rPr>
          <w:color w:val="000000" w:themeColor="text1"/>
        </w:rPr>
        <w:t xml:space="preserve"> environmental</w:t>
      </w:r>
      <w:r w:rsidRPr="003E7EE5">
        <w:rPr>
          <w:color w:val="000000" w:themeColor="text1"/>
        </w:rPr>
        <w:t xml:space="preserve"> e</w:t>
      </w:r>
      <w:r w:rsidR="00965F92" w:rsidRPr="003E7EE5">
        <w:rPr>
          <w:color w:val="000000" w:themeColor="text1"/>
        </w:rPr>
        <w:t>fforts as discretionary (Sharma</w:t>
      </w:r>
      <w:r w:rsidR="00C66529" w:rsidRPr="003E7EE5">
        <w:rPr>
          <w:color w:val="000000" w:themeColor="text1"/>
        </w:rPr>
        <w:t>,</w:t>
      </w:r>
      <w:r w:rsidRPr="003E7EE5">
        <w:rPr>
          <w:color w:val="000000" w:themeColor="text1"/>
        </w:rPr>
        <w:t xml:space="preserve"> 2000). </w:t>
      </w:r>
      <w:r w:rsidR="00855AE3" w:rsidRPr="003E7EE5">
        <w:rPr>
          <w:color w:val="000000" w:themeColor="text1"/>
        </w:rPr>
        <w:t xml:space="preserve">Management research posits that </w:t>
      </w:r>
      <w:r w:rsidR="00261E55" w:rsidRPr="003E7EE5">
        <w:rPr>
          <w:color w:val="000000" w:themeColor="text1"/>
        </w:rPr>
        <w:t>optional</w:t>
      </w:r>
      <w:r w:rsidR="00855AE3" w:rsidRPr="003E7EE5">
        <w:rPr>
          <w:color w:val="000000" w:themeColor="text1"/>
        </w:rPr>
        <w:t xml:space="preserve"> managerial choices are linked with the availability </w:t>
      </w:r>
      <w:r w:rsidR="00C66529" w:rsidRPr="003E7EE5">
        <w:rPr>
          <w:color w:val="000000" w:themeColor="text1"/>
        </w:rPr>
        <w:t>of slack resources (Leonidou</w:t>
      </w:r>
      <w:r w:rsidR="001073B7" w:rsidRPr="003E7EE5">
        <w:rPr>
          <w:color w:val="000000" w:themeColor="text1"/>
        </w:rPr>
        <w:t xml:space="preserve"> </w:t>
      </w:r>
      <w:r w:rsidR="007E71B6" w:rsidRPr="003E7EE5">
        <w:rPr>
          <w:i/>
          <w:color w:val="000000" w:themeColor="text1"/>
        </w:rPr>
        <w:t>et al.</w:t>
      </w:r>
      <w:r w:rsidR="001073B7" w:rsidRPr="003E7EE5">
        <w:rPr>
          <w:color w:val="000000" w:themeColor="text1"/>
        </w:rPr>
        <w:t>,</w:t>
      </w:r>
      <w:r w:rsidR="00855AE3" w:rsidRPr="003E7EE5">
        <w:rPr>
          <w:color w:val="000000" w:themeColor="text1"/>
        </w:rPr>
        <w:t xml:space="preserve"> 2013). Sl</w:t>
      </w:r>
      <w:r w:rsidRPr="003E7EE5">
        <w:rPr>
          <w:color w:val="000000" w:themeColor="text1"/>
        </w:rPr>
        <w:t xml:space="preserve">ack is the surplus between </w:t>
      </w:r>
      <w:r w:rsidR="007A5AB0">
        <w:rPr>
          <w:color w:val="000000" w:themeColor="text1"/>
        </w:rPr>
        <w:t xml:space="preserve">a </w:t>
      </w:r>
      <w:r w:rsidRPr="003E7EE5">
        <w:rPr>
          <w:color w:val="000000" w:themeColor="text1"/>
        </w:rPr>
        <w:t>firm</w:t>
      </w:r>
      <w:r w:rsidR="00A4752B" w:rsidRPr="003E7EE5">
        <w:rPr>
          <w:color w:val="000000" w:themeColor="text1"/>
        </w:rPr>
        <w:t>'</w:t>
      </w:r>
      <w:r w:rsidRPr="003E7EE5">
        <w:rPr>
          <w:color w:val="000000" w:themeColor="text1"/>
        </w:rPr>
        <w:t>s financial resources an</w:t>
      </w:r>
      <w:r w:rsidR="00AF6913" w:rsidRPr="003E7EE5">
        <w:rPr>
          <w:color w:val="000000" w:themeColor="text1"/>
        </w:rPr>
        <w:t>d its operational costs (George</w:t>
      </w:r>
      <w:r w:rsidR="00C66529" w:rsidRPr="003E7EE5">
        <w:rPr>
          <w:color w:val="000000" w:themeColor="text1"/>
        </w:rPr>
        <w:t>,</w:t>
      </w:r>
      <w:r w:rsidRPr="003E7EE5">
        <w:rPr>
          <w:color w:val="000000" w:themeColor="text1"/>
        </w:rPr>
        <w:t xml:space="preserve"> 2005)</w:t>
      </w:r>
      <w:r w:rsidR="007A5AB0">
        <w:rPr>
          <w:color w:val="000000" w:themeColor="text1"/>
        </w:rPr>
        <w:t>,</w:t>
      </w:r>
      <w:r w:rsidRPr="003E7EE5">
        <w:rPr>
          <w:color w:val="000000" w:themeColor="text1"/>
        </w:rPr>
        <w:t xml:space="preserve"> and therefore </w:t>
      </w:r>
      <w:r w:rsidR="007A5AB0">
        <w:rPr>
          <w:color w:val="000000" w:themeColor="text1"/>
        </w:rPr>
        <w:t xml:space="preserve">the </w:t>
      </w:r>
      <w:r w:rsidRPr="003E7EE5">
        <w:rPr>
          <w:color w:val="000000" w:themeColor="text1"/>
        </w:rPr>
        <w:t>availability o</w:t>
      </w:r>
      <w:r w:rsidR="008A5CF8" w:rsidRPr="003E7EE5">
        <w:rPr>
          <w:color w:val="000000" w:themeColor="text1"/>
        </w:rPr>
        <w:t>f slack resources pushes</w:t>
      </w:r>
      <w:r w:rsidRPr="003E7EE5">
        <w:rPr>
          <w:color w:val="000000" w:themeColor="text1"/>
        </w:rPr>
        <w:t xml:space="preserve"> investment </w:t>
      </w:r>
      <w:r w:rsidR="007A5AB0">
        <w:rPr>
          <w:color w:val="000000" w:themeColor="text1"/>
        </w:rPr>
        <w:t>toward</w:t>
      </w:r>
      <w:r w:rsidRPr="003E7EE5">
        <w:rPr>
          <w:color w:val="000000" w:themeColor="text1"/>
        </w:rPr>
        <w:t xml:space="preserve"> environmental </w:t>
      </w:r>
      <w:r w:rsidR="00EA333E" w:rsidRPr="003E7EE5">
        <w:rPr>
          <w:color w:val="000000" w:themeColor="text1"/>
        </w:rPr>
        <w:t>activities</w:t>
      </w:r>
      <w:r w:rsidRPr="003E7EE5">
        <w:rPr>
          <w:color w:val="000000" w:themeColor="text1"/>
        </w:rPr>
        <w:t xml:space="preserve"> (Waddock </w:t>
      </w:r>
      <w:r w:rsidR="007E71B6" w:rsidRPr="003E7EE5">
        <w:rPr>
          <w:color w:val="000000" w:themeColor="text1"/>
        </w:rPr>
        <w:t>and</w:t>
      </w:r>
      <w:r w:rsidRPr="003E7EE5">
        <w:rPr>
          <w:color w:val="000000" w:themeColor="text1"/>
        </w:rPr>
        <w:t xml:space="preserve"> Graves</w:t>
      </w:r>
      <w:r w:rsidR="00C66529" w:rsidRPr="003E7EE5">
        <w:rPr>
          <w:color w:val="000000" w:themeColor="text1"/>
        </w:rPr>
        <w:t>,</w:t>
      </w:r>
      <w:r w:rsidR="00772F31" w:rsidRPr="003E7EE5">
        <w:rPr>
          <w:color w:val="000000" w:themeColor="text1"/>
        </w:rPr>
        <w:t xml:space="preserve"> 1</w:t>
      </w:r>
      <w:r w:rsidRPr="003E7EE5">
        <w:rPr>
          <w:color w:val="000000" w:themeColor="text1"/>
        </w:rPr>
        <w:t>997).</w:t>
      </w:r>
      <w:r w:rsidR="00547F22" w:rsidRPr="003E7EE5">
        <w:rPr>
          <w:color w:val="000000" w:themeColor="text1"/>
        </w:rPr>
        <w:t xml:space="preserve"> </w:t>
      </w:r>
      <w:r w:rsidR="007A5AB0">
        <w:rPr>
          <w:color w:val="000000" w:themeColor="text1"/>
        </w:rPr>
        <w:t>As</w:t>
      </w:r>
      <w:r w:rsidR="00547F22" w:rsidRPr="003E7EE5">
        <w:rPr>
          <w:color w:val="000000" w:themeColor="text1"/>
        </w:rPr>
        <w:t xml:space="preserve"> environmental </w:t>
      </w:r>
      <w:r w:rsidR="000F1C19" w:rsidRPr="003E7EE5">
        <w:rPr>
          <w:color w:val="000000" w:themeColor="text1"/>
        </w:rPr>
        <w:t>strategies</w:t>
      </w:r>
      <w:r w:rsidR="00547F22" w:rsidRPr="003E7EE5">
        <w:rPr>
          <w:color w:val="000000" w:themeColor="text1"/>
        </w:rPr>
        <w:t xml:space="preserve"> usually </w:t>
      </w:r>
      <w:r w:rsidR="007A5AB0">
        <w:rPr>
          <w:color w:val="000000" w:themeColor="text1"/>
        </w:rPr>
        <w:t xml:space="preserve">incur </w:t>
      </w:r>
      <w:r w:rsidR="00261E55" w:rsidRPr="003E7EE5">
        <w:rPr>
          <w:color w:val="000000" w:themeColor="text1"/>
        </w:rPr>
        <w:t>significant</w:t>
      </w:r>
      <w:r w:rsidR="00547F22" w:rsidRPr="003E7EE5">
        <w:rPr>
          <w:color w:val="000000" w:themeColor="text1"/>
        </w:rPr>
        <w:t xml:space="preserve"> </w:t>
      </w:r>
      <w:r w:rsidR="000F1C19" w:rsidRPr="003E7EE5">
        <w:rPr>
          <w:color w:val="000000" w:themeColor="text1"/>
        </w:rPr>
        <w:t>expenditures</w:t>
      </w:r>
      <w:r w:rsidR="00547F22" w:rsidRPr="003E7EE5">
        <w:rPr>
          <w:color w:val="000000" w:themeColor="text1"/>
        </w:rPr>
        <w:t>, firms with s</w:t>
      </w:r>
      <w:r w:rsidR="00027059" w:rsidRPr="003E7EE5">
        <w:rPr>
          <w:color w:val="000000" w:themeColor="text1"/>
        </w:rPr>
        <w:t>uch</w:t>
      </w:r>
      <w:r w:rsidR="00547F22" w:rsidRPr="003E7EE5">
        <w:rPr>
          <w:color w:val="000000" w:themeColor="text1"/>
        </w:rPr>
        <w:t xml:space="preserve"> resources are eager to make</w:t>
      </w:r>
      <w:r w:rsidR="00722205" w:rsidRPr="003E7EE5">
        <w:rPr>
          <w:color w:val="000000" w:themeColor="text1"/>
        </w:rPr>
        <w:t xml:space="preserve"> environmental</w:t>
      </w:r>
      <w:r w:rsidR="00AF6913" w:rsidRPr="003E7EE5">
        <w:rPr>
          <w:color w:val="000000" w:themeColor="text1"/>
        </w:rPr>
        <w:t xml:space="preserve"> investments (Campbell</w:t>
      </w:r>
      <w:r w:rsidR="00C66529" w:rsidRPr="003E7EE5">
        <w:rPr>
          <w:color w:val="000000" w:themeColor="text1"/>
        </w:rPr>
        <w:t>,</w:t>
      </w:r>
      <w:r w:rsidR="00AF6913" w:rsidRPr="003E7EE5">
        <w:rPr>
          <w:color w:val="000000" w:themeColor="text1"/>
        </w:rPr>
        <w:t xml:space="preserve"> </w:t>
      </w:r>
      <w:r w:rsidR="003777E2" w:rsidRPr="003E7EE5">
        <w:rPr>
          <w:color w:val="000000" w:themeColor="text1"/>
        </w:rPr>
        <w:t>2007</w:t>
      </w:r>
      <w:r w:rsidR="00547F22" w:rsidRPr="003E7EE5">
        <w:rPr>
          <w:color w:val="000000" w:themeColor="text1"/>
        </w:rPr>
        <w:t>)</w:t>
      </w:r>
      <w:r w:rsidR="006B1A3F" w:rsidRPr="003E7EE5">
        <w:rPr>
          <w:color w:val="000000" w:themeColor="text1"/>
        </w:rPr>
        <w:t>.</w:t>
      </w:r>
    </w:p>
    <w:p w14:paraId="01B960EE" w14:textId="52AB9DA7" w:rsidR="004B27E6" w:rsidRPr="003E7EE5" w:rsidRDefault="00154740" w:rsidP="00D024C7">
      <w:pPr>
        <w:widowControl w:val="0"/>
        <w:autoSpaceDE w:val="0"/>
        <w:autoSpaceDN w:val="0"/>
        <w:adjustRightInd w:val="0"/>
        <w:spacing w:line="480" w:lineRule="auto"/>
        <w:ind w:firstLine="720"/>
        <w:rPr>
          <w:color w:val="000000" w:themeColor="text1"/>
        </w:rPr>
      </w:pPr>
      <w:r w:rsidRPr="003E7EE5">
        <w:rPr>
          <w:color w:val="000000" w:themeColor="text1"/>
        </w:rPr>
        <w:t>H</w:t>
      </w:r>
      <w:r w:rsidR="001771FE" w:rsidRPr="003E7EE5">
        <w:rPr>
          <w:color w:val="000000" w:themeColor="text1"/>
        </w:rPr>
        <w:t xml:space="preserve">owever, slack resources become challenging to manage during a </w:t>
      </w:r>
      <w:r w:rsidR="001D0CF7" w:rsidRPr="003E7EE5">
        <w:rPr>
          <w:color w:val="000000" w:themeColor="text1"/>
        </w:rPr>
        <w:t xml:space="preserve">deep </w:t>
      </w:r>
      <w:r w:rsidR="001771FE" w:rsidRPr="003E7EE5">
        <w:rPr>
          <w:color w:val="000000" w:themeColor="text1"/>
        </w:rPr>
        <w:t xml:space="preserve">recession </w:t>
      </w:r>
      <w:r w:rsidR="007A5AB0">
        <w:rPr>
          <w:color w:val="000000" w:themeColor="text1"/>
        </w:rPr>
        <w:t>because</w:t>
      </w:r>
      <w:r w:rsidR="0060273C" w:rsidRPr="003E7EE5">
        <w:rPr>
          <w:color w:val="000000" w:themeColor="text1"/>
        </w:rPr>
        <w:t xml:space="preserve"> </w:t>
      </w:r>
      <w:r w:rsidR="003624D0" w:rsidRPr="003E7EE5">
        <w:rPr>
          <w:color w:val="000000" w:themeColor="text1"/>
        </w:rPr>
        <w:t xml:space="preserve">uncertainty </w:t>
      </w:r>
      <w:r w:rsidR="001771FE" w:rsidRPr="003E7EE5">
        <w:rPr>
          <w:color w:val="000000" w:themeColor="text1"/>
        </w:rPr>
        <w:t>do</w:t>
      </w:r>
      <w:r w:rsidR="001D0CF7" w:rsidRPr="003E7EE5">
        <w:rPr>
          <w:color w:val="000000" w:themeColor="text1"/>
        </w:rPr>
        <w:t>minates</w:t>
      </w:r>
      <w:r w:rsidR="001771FE" w:rsidRPr="003E7EE5">
        <w:rPr>
          <w:color w:val="000000" w:themeColor="text1"/>
        </w:rPr>
        <w:t xml:space="preserve"> market</w:t>
      </w:r>
      <w:r w:rsidR="001D0CF7" w:rsidRPr="003E7EE5">
        <w:rPr>
          <w:color w:val="000000" w:themeColor="text1"/>
        </w:rPr>
        <w:t>s</w:t>
      </w:r>
      <w:r w:rsidR="001771FE" w:rsidRPr="003E7EE5">
        <w:rPr>
          <w:color w:val="000000" w:themeColor="text1"/>
        </w:rPr>
        <w:t>.</w:t>
      </w:r>
      <w:r w:rsidR="003624D0" w:rsidRPr="003E7EE5">
        <w:rPr>
          <w:color w:val="000000" w:themeColor="text1"/>
        </w:rPr>
        <w:t xml:space="preserve"> </w:t>
      </w:r>
      <w:r w:rsidR="00261E55" w:rsidRPr="003E7EE5">
        <w:rPr>
          <w:color w:val="000000" w:themeColor="text1"/>
        </w:rPr>
        <w:t>Financial</w:t>
      </w:r>
      <w:r w:rsidR="00B7561A" w:rsidRPr="003E7EE5">
        <w:rPr>
          <w:color w:val="000000" w:themeColor="text1"/>
        </w:rPr>
        <w:t xml:space="preserve"> crises </w:t>
      </w:r>
      <w:r w:rsidR="007A5AB0">
        <w:rPr>
          <w:color w:val="000000" w:themeColor="text1"/>
        </w:rPr>
        <w:t>affect</w:t>
      </w:r>
      <w:r w:rsidR="00B7561A" w:rsidRPr="003E7EE5">
        <w:rPr>
          <w:color w:val="000000" w:themeColor="text1"/>
        </w:rPr>
        <w:t xml:space="preserve"> the broader economy, resulting in a shift </w:t>
      </w:r>
      <w:r w:rsidR="007A5AB0">
        <w:rPr>
          <w:color w:val="000000" w:themeColor="text1"/>
        </w:rPr>
        <w:t>in</w:t>
      </w:r>
      <w:r w:rsidR="00B7561A" w:rsidRPr="003E7EE5">
        <w:rPr>
          <w:color w:val="000000" w:themeColor="text1"/>
        </w:rPr>
        <w:t xml:space="preserve"> the competitive landscape. </w:t>
      </w:r>
      <w:r w:rsidR="007C5B89" w:rsidRPr="003E7EE5">
        <w:rPr>
          <w:szCs w:val="30"/>
        </w:rPr>
        <w:t>W</w:t>
      </w:r>
      <w:r w:rsidR="00B7561A" w:rsidRPr="003E7EE5">
        <w:rPr>
          <w:szCs w:val="30"/>
        </w:rPr>
        <w:t xml:space="preserve">hether and how firms adjust their investments in strategic </w:t>
      </w:r>
      <w:r w:rsidR="00965F92" w:rsidRPr="003E7EE5">
        <w:rPr>
          <w:szCs w:val="30"/>
        </w:rPr>
        <w:t xml:space="preserve">capabilities </w:t>
      </w:r>
      <w:r w:rsidR="00B7561A" w:rsidRPr="003E7EE5">
        <w:rPr>
          <w:szCs w:val="30"/>
        </w:rPr>
        <w:t xml:space="preserve">depends on their ability to balance </w:t>
      </w:r>
      <w:r w:rsidR="007A5AB0">
        <w:rPr>
          <w:szCs w:val="30"/>
        </w:rPr>
        <w:t>their</w:t>
      </w:r>
      <w:r w:rsidR="00B7561A" w:rsidRPr="003E7EE5">
        <w:rPr>
          <w:szCs w:val="30"/>
        </w:rPr>
        <w:t xml:space="preserve"> </w:t>
      </w:r>
      <w:r w:rsidR="000F1C19" w:rsidRPr="003E7EE5">
        <w:rPr>
          <w:szCs w:val="30"/>
        </w:rPr>
        <w:t xml:space="preserve">long-term performance objectives </w:t>
      </w:r>
      <w:r w:rsidR="00B7561A" w:rsidRPr="003E7EE5">
        <w:rPr>
          <w:szCs w:val="30"/>
        </w:rPr>
        <w:t>with adaptation to short-term business disturbances</w:t>
      </w:r>
      <w:r w:rsidR="00AF6913" w:rsidRPr="003E7EE5">
        <w:rPr>
          <w:szCs w:val="30"/>
        </w:rPr>
        <w:t xml:space="preserve"> (</w:t>
      </w:r>
      <w:r w:rsidR="00C66529" w:rsidRPr="003E7EE5">
        <w:rPr>
          <w:szCs w:val="30"/>
        </w:rPr>
        <w:t>Srinivasan</w:t>
      </w:r>
      <w:r w:rsidR="001073B7" w:rsidRPr="003E7EE5">
        <w:rPr>
          <w:szCs w:val="30"/>
        </w:rPr>
        <w:t xml:space="preserve"> </w:t>
      </w:r>
      <w:r w:rsidR="007E71B6" w:rsidRPr="003E7EE5">
        <w:rPr>
          <w:i/>
          <w:szCs w:val="30"/>
        </w:rPr>
        <w:t>et al.</w:t>
      </w:r>
      <w:r w:rsidR="001073B7" w:rsidRPr="003E7EE5">
        <w:rPr>
          <w:szCs w:val="30"/>
        </w:rPr>
        <w:t>,</w:t>
      </w:r>
      <w:r w:rsidR="00C66529" w:rsidRPr="003E7EE5">
        <w:rPr>
          <w:szCs w:val="30"/>
        </w:rPr>
        <w:t xml:space="preserve"> </w:t>
      </w:r>
      <w:r w:rsidR="00965F92" w:rsidRPr="003E7EE5">
        <w:rPr>
          <w:szCs w:val="30"/>
        </w:rPr>
        <w:t>2005</w:t>
      </w:r>
      <w:r w:rsidR="00B7561A" w:rsidRPr="003E7EE5">
        <w:rPr>
          <w:szCs w:val="30"/>
        </w:rPr>
        <w:t xml:space="preserve">). </w:t>
      </w:r>
      <w:r w:rsidR="000C389E" w:rsidRPr="003E7EE5">
        <w:rPr>
          <w:szCs w:val="30"/>
        </w:rPr>
        <w:t>In contingency theory</w:t>
      </w:r>
      <w:r w:rsidR="001D0CF7" w:rsidRPr="003E7EE5">
        <w:rPr>
          <w:color w:val="000000" w:themeColor="text1"/>
        </w:rPr>
        <w:t xml:space="preserve">, </w:t>
      </w:r>
      <w:r w:rsidR="00087AFE" w:rsidRPr="003E7EE5">
        <w:rPr>
          <w:color w:val="000000" w:themeColor="text1"/>
        </w:rPr>
        <w:t xml:space="preserve">the role of slack resources </w:t>
      </w:r>
      <w:r w:rsidR="000C389E" w:rsidRPr="003E7EE5">
        <w:rPr>
          <w:color w:val="000000" w:themeColor="text1"/>
        </w:rPr>
        <w:t>is vital</w:t>
      </w:r>
      <w:r w:rsidR="00087AFE" w:rsidRPr="003E7EE5">
        <w:rPr>
          <w:color w:val="000000" w:themeColor="text1"/>
        </w:rPr>
        <w:t xml:space="preserve"> in </w:t>
      </w:r>
      <w:r w:rsidR="00394622" w:rsidRPr="003E7EE5">
        <w:rPr>
          <w:color w:val="000000" w:themeColor="text1"/>
        </w:rPr>
        <w:t>un</w:t>
      </w:r>
      <w:r w:rsidR="00CC53E8" w:rsidRPr="003E7EE5">
        <w:rPr>
          <w:color w:val="000000" w:themeColor="text1"/>
        </w:rPr>
        <w:t>predictable</w:t>
      </w:r>
      <w:r w:rsidR="00087AFE" w:rsidRPr="003E7EE5">
        <w:rPr>
          <w:color w:val="000000" w:themeColor="text1"/>
        </w:rPr>
        <w:t xml:space="preserve"> envir</w:t>
      </w:r>
      <w:r w:rsidR="00394622" w:rsidRPr="003E7EE5">
        <w:rPr>
          <w:color w:val="000000" w:themeColor="text1"/>
        </w:rPr>
        <w:t>onment</w:t>
      </w:r>
      <w:r w:rsidR="000C389E" w:rsidRPr="003E7EE5">
        <w:rPr>
          <w:color w:val="000000" w:themeColor="text1"/>
        </w:rPr>
        <w:t>s</w:t>
      </w:r>
      <w:r w:rsidR="00FC5732" w:rsidRPr="003E7EE5">
        <w:rPr>
          <w:color w:val="000000" w:themeColor="text1"/>
        </w:rPr>
        <w:t xml:space="preserve"> because </w:t>
      </w:r>
      <w:r w:rsidR="00A54991" w:rsidRPr="003E7EE5">
        <w:rPr>
          <w:color w:val="000000" w:themeColor="text1"/>
        </w:rPr>
        <w:t xml:space="preserve">firms </w:t>
      </w:r>
      <w:r w:rsidR="00027059" w:rsidRPr="003E7EE5">
        <w:rPr>
          <w:color w:val="000000" w:themeColor="text1"/>
        </w:rPr>
        <w:t>can</w:t>
      </w:r>
      <w:r w:rsidR="00A54991" w:rsidRPr="003E7EE5">
        <w:rPr>
          <w:color w:val="000000" w:themeColor="text1"/>
        </w:rPr>
        <w:t xml:space="preserve"> experiment with new </w:t>
      </w:r>
      <w:r w:rsidR="00EA333E" w:rsidRPr="003E7EE5">
        <w:rPr>
          <w:color w:val="000000" w:themeColor="text1"/>
        </w:rPr>
        <w:t>initiatives</w:t>
      </w:r>
      <w:r w:rsidR="00A54991" w:rsidRPr="003E7EE5">
        <w:rPr>
          <w:color w:val="000000" w:themeColor="text1"/>
        </w:rPr>
        <w:t xml:space="preserve"> and effectively adapt to </w:t>
      </w:r>
      <w:r w:rsidR="00E131DC" w:rsidRPr="003E7EE5">
        <w:rPr>
          <w:color w:val="000000" w:themeColor="text1"/>
        </w:rPr>
        <w:t xml:space="preserve">exogenous changes (Nohria </w:t>
      </w:r>
      <w:r w:rsidR="007E71B6" w:rsidRPr="003E7EE5">
        <w:rPr>
          <w:color w:val="000000" w:themeColor="text1"/>
        </w:rPr>
        <w:t>and</w:t>
      </w:r>
      <w:r w:rsidR="00E131DC" w:rsidRPr="003E7EE5">
        <w:rPr>
          <w:color w:val="000000" w:themeColor="text1"/>
        </w:rPr>
        <w:t xml:space="preserve"> Gulati</w:t>
      </w:r>
      <w:r w:rsidR="00C66529" w:rsidRPr="003E7EE5">
        <w:rPr>
          <w:color w:val="000000" w:themeColor="text1"/>
        </w:rPr>
        <w:t>,</w:t>
      </w:r>
      <w:r w:rsidR="00772F31" w:rsidRPr="003E7EE5">
        <w:rPr>
          <w:color w:val="000000" w:themeColor="text1"/>
        </w:rPr>
        <w:t xml:space="preserve"> 1</w:t>
      </w:r>
      <w:r w:rsidR="00501F44" w:rsidRPr="003E7EE5">
        <w:rPr>
          <w:color w:val="000000" w:themeColor="text1"/>
        </w:rPr>
        <w:t>996</w:t>
      </w:r>
      <w:r w:rsidR="00E131DC" w:rsidRPr="003E7EE5">
        <w:rPr>
          <w:color w:val="000000" w:themeColor="text1"/>
        </w:rPr>
        <w:t xml:space="preserve">). </w:t>
      </w:r>
      <w:r w:rsidR="0060486B" w:rsidRPr="003E7EE5">
        <w:rPr>
          <w:color w:val="000000" w:themeColor="text1"/>
        </w:rPr>
        <w:t>During a</w:t>
      </w:r>
      <w:r w:rsidR="001D3AF5" w:rsidRPr="003E7EE5">
        <w:rPr>
          <w:color w:val="000000" w:themeColor="text1"/>
        </w:rPr>
        <w:t xml:space="preserve"> recession, slack resources </w:t>
      </w:r>
      <w:r w:rsidR="001B746A" w:rsidRPr="003E7EE5">
        <w:rPr>
          <w:color w:val="000000" w:themeColor="text1"/>
        </w:rPr>
        <w:t xml:space="preserve">push companies </w:t>
      </w:r>
      <w:r w:rsidR="00EA333E" w:rsidRPr="003E7EE5">
        <w:rPr>
          <w:color w:val="000000" w:themeColor="text1"/>
        </w:rPr>
        <w:t xml:space="preserve">to </w:t>
      </w:r>
      <w:r w:rsidR="001D3AF5" w:rsidRPr="003E7EE5">
        <w:rPr>
          <w:color w:val="000000" w:themeColor="text1"/>
        </w:rPr>
        <w:t>focus o</w:t>
      </w:r>
      <w:r w:rsidR="00EA333E" w:rsidRPr="003E7EE5">
        <w:rPr>
          <w:color w:val="000000" w:themeColor="text1"/>
        </w:rPr>
        <w:t xml:space="preserve">n </w:t>
      </w:r>
      <w:r w:rsidR="00AF2157" w:rsidRPr="003E7EE5">
        <w:rPr>
          <w:color w:val="000000" w:themeColor="text1"/>
        </w:rPr>
        <w:t xml:space="preserve">strategic </w:t>
      </w:r>
      <w:r w:rsidR="00EA333E" w:rsidRPr="003E7EE5">
        <w:rPr>
          <w:color w:val="000000" w:themeColor="text1"/>
        </w:rPr>
        <w:t>investments</w:t>
      </w:r>
      <w:r w:rsidR="000C389E" w:rsidRPr="003E7EE5">
        <w:rPr>
          <w:color w:val="000000" w:themeColor="text1"/>
        </w:rPr>
        <w:t xml:space="preserve"> (e.g., green marketing)</w:t>
      </w:r>
      <w:r w:rsidR="00EA333E" w:rsidRPr="003E7EE5">
        <w:rPr>
          <w:color w:val="000000" w:themeColor="text1"/>
        </w:rPr>
        <w:t xml:space="preserve"> over cost control, leading </w:t>
      </w:r>
      <w:r w:rsidR="001D3AF5" w:rsidRPr="003E7EE5">
        <w:rPr>
          <w:color w:val="000000" w:themeColor="text1"/>
        </w:rPr>
        <w:t xml:space="preserve">to enhanced, long-term </w:t>
      </w:r>
      <w:r w:rsidR="00FD74D0" w:rsidRPr="003E7EE5">
        <w:rPr>
          <w:color w:val="000000" w:themeColor="text1"/>
        </w:rPr>
        <w:t>performance</w:t>
      </w:r>
      <w:r w:rsidR="001D3AF5" w:rsidRPr="003E7EE5">
        <w:rPr>
          <w:color w:val="000000" w:themeColor="text1"/>
        </w:rPr>
        <w:t xml:space="preserve"> (</w:t>
      </w:r>
      <w:r w:rsidR="00C466C3">
        <w:rPr>
          <w:color w:val="000000" w:themeColor="text1"/>
        </w:rPr>
        <w:t>Li</w:t>
      </w:r>
      <w:r w:rsidR="00251077" w:rsidRPr="003E7EE5">
        <w:rPr>
          <w:szCs w:val="30"/>
        </w:rPr>
        <w:t xml:space="preserve"> </w:t>
      </w:r>
      <w:r w:rsidR="00251077" w:rsidRPr="003E7EE5">
        <w:rPr>
          <w:i/>
          <w:iCs/>
          <w:szCs w:val="30"/>
        </w:rPr>
        <w:t>et al.</w:t>
      </w:r>
      <w:r w:rsidR="00251077" w:rsidRPr="003E7EE5">
        <w:rPr>
          <w:szCs w:val="30"/>
        </w:rPr>
        <w:t>,</w:t>
      </w:r>
      <w:r w:rsidR="00251077" w:rsidRPr="003E7EE5">
        <w:rPr>
          <w:i/>
          <w:iCs/>
          <w:szCs w:val="30"/>
        </w:rPr>
        <w:t xml:space="preserve"> </w:t>
      </w:r>
      <w:r w:rsidR="00251077" w:rsidRPr="003E7EE5">
        <w:rPr>
          <w:szCs w:val="30"/>
        </w:rPr>
        <w:t>2022</w:t>
      </w:r>
      <w:r w:rsidR="001D3AF5" w:rsidRPr="003E7EE5">
        <w:rPr>
          <w:color w:val="000000" w:themeColor="text1"/>
        </w:rPr>
        <w:t>)</w:t>
      </w:r>
      <w:r w:rsidR="00BA774A" w:rsidRPr="003E7EE5">
        <w:rPr>
          <w:color w:val="000000" w:themeColor="text1"/>
        </w:rPr>
        <w:t xml:space="preserve">. </w:t>
      </w:r>
      <w:r w:rsidR="001E179B" w:rsidRPr="003E7EE5">
        <w:t xml:space="preserve">Finally, evidence from the Great Recession of 2008 suggests that companies </w:t>
      </w:r>
      <w:r w:rsidR="000C389E" w:rsidRPr="003E7EE5">
        <w:t>that</w:t>
      </w:r>
      <w:r w:rsidR="001E179B" w:rsidRPr="003E7EE5">
        <w:t xml:space="preserve"> maintain</w:t>
      </w:r>
      <w:r w:rsidR="00B27F6E">
        <w:t>ed</w:t>
      </w:r>
      <w:r w:rsidR="001E179B" w:rsidRPr="003E7EE5">
        <w:t xml:space="preserve"> their investments in sustainability-rel</w:t>
      </w:r>
      <w:r w:rsidR="00FD74D0" w:rsidRPr="003E7EE5">
        <w:t>ated program</w:t>
      </w:r>
      <w:r w:rsidR="00B27F6E">
        <w:t>s</w:t>
      </w:r>
      <w:r w:rsidR="00FD74D0" w:rsidRPr="003E7EE5">
        <w:t xml:space="preserve"> </w:t>
      </w:r>
      <w:r w:rsidR="000C389E" w:rsidRPr="003E7EE5">
        <w:t>became</w:t>
      </w:r>
      <w:r w:rsidR="00FD74D0" w:rsidRPr="003E7EE5">
        <w:t xml:space="preserve"> more efficient</w:t>
      </w:r>
      <w:r w:rsidR="001E179B" w:rsidRPr="003E7EE5">
        <w:t xml:space="preserve"> and resilient during economic downturns (Flammer </w:t>
      </w:r>
      <w:r w:rsidR="007E71B6" w:rsidRPr="003E7EE5">
        <w:t>and</w:t>
      </w:r>
      <w:r w:rsidR="001E179B" w:rsidRPr="003E7EE5">
        <w:t xml:space="preserve"> Ioannou</w:t>
      </w:r>
      <w:r w:rsidR="00133F25" w:rsidRPr="003E7EE5">
        <w:t>,</w:t>
      </w:r>
      <w:r w:rsidR="001C2F81" w:rsidRPr="003E7EE5">
        <w:t xml:space="preserve"> 2021</w:t>
      </w:r>
      <w:r w:rsidR="001E179B" w:rsidRPr="003E7EE5">
        <w:t xml:space="preserve">). </w:t>
      </w:r>
      <w:r w:rsidR="00552DBD" w:rsidRPr="003E7EE5">
        <w:rPr>
          <w:color w:val="000000" w:themeColor="text1"/>
        </w:rPr>
        <w:t xml:space="preserve">Therefore, </w:t>
      </w:r>
      <w:r w:rsidR="00E25187" w:rsidRPr="003E7EE5">
        <w:rPr>
          <w:color w:val="000000" w:themeColor="text1"/>
        </w:rPr>
        <w:t>investing</w:t>
      </w:r>
      <w:r w:rsidR="000C389E" w:rsidRPr="003E7EE5">
        <w:rPr>
          <w:color w:val="000000" w:themeColor="text1"/>
        </w:rPr>
        <w:t xml:space="preserve"> resources in green marketing activities</w:t>
      </w:r>
      <w:r w:rsidR="00D65A97" w:rsidRPr="003E7EE5">
        <w:rPr>
          <w:color w:val="000000" w:themeColor="text1"/>
        </w:rPr>
        <w:t xml:space="preserve"> </w:t>
      </w:r>
      <w:r w:rsidR="00E25187" w:rsidRPr="003E7EE5">
        <w:rPr>
          <w:color w:val="000000" w:themeColor="text1"/>
        </w:rPr>
        <w:t xml:space="preserve">during </w:t>
      </w:r>
      <w:r w:rsidR="00B27F6E">
        <w:rPr>
          <w:color w:val="000000" w:themeColor="text1"/>
        </w:rPr>
        <w:t xml:space="preserve">a </w:t>
      </w:r>
      <w:r w:rsidR="00E25187" w:rsidRPr="003E7EE5">
        <w:rPr>
          <w:color w:val="000000" w:themeColor="text1"/>
        </w:rPr>
        <w:t xml:space="preserve">crisis </w:t>
      </w:r>
      <w:r w:rsidR="000C389E" w:rsidRPr="003E7EE5">
        <w:rPr>
          <w:color w:val="000000" w:themeColor="text1"/>
        </w:rPr>
        <w:t xml:space="preserve">should </w:t>
      </w:r>
      <w:r w:rsidR="00552DBD" w:rsidRPr="003E7EE5">
        <w:rPr>
          <w:color w:val="000000" w:themeColor="text1"/>
        </w:rPr>
        <w:t xml:space="preserve">contribute </w:t>
      </w:r>
      <w:r w:rsidR="000C389E" w:rsidRPr="003E7EE5">
        <w:rPr>
          <w:color w:val="000000" w:themeColor="text1"/>
        </w:rPr>
        <w:t xml:space="preserve">to </w:t>
      </w:r>
      <w:r w:rsidR="00552DBD" w:rsidRPr="003E7EE5">
        <w:rPr>
          <w:color w:val="000000" w:themeColor="text1"/>
        </w:rPr>
        <w:t>firms</w:t>
      </w:r>
      <w:r w:rsidR="00E25187" w:rsidRPr="003E7EE5">
        <w:rPr>
          <w:color w:val="000000" w:themeColor="text1"/>
        </w:rPr>
        <w:t>’</w:t>
      </w:r>
      <w:r w:rsidR="00552DBD" w:rsidRPr="003E7EE5">
        <w:rPr>
          <w:color w:val="000000" w:themeColor="text1"/>
        </w:rPr>
        <w:t xml:space="preserve"> ability to main</w:t>
      </w:r>
      <w:r w:rsidR="00503912" w:rsidRPr="003E7EE5">
        <w:rPr>
          <w:color w:val="000000" w:themeColor="text1"/>
        </w:rPr>
        <w:t xml:space="preserve">tain or even strengthen their </w:t>
      </w:r>
      <w:r w:rsidR="000C389E" w:rsidRPr="003E7EE5">
        <w:rPr>
          <w:color w:val="000000" w:themeColor="text1"/>
        </w:rPr>
        <w:t xml:space="preserve">resilience and post-crisis </w:t>
      </w:r>
      <w:r w:rsidR="00503912" w:rsidRPr="003E7EE5">
        <w:rPr>
          <w:color w:val="000000" w:themeColor="text1"/>
        </w:rPr>
        <w:t>performance</w:t>
      </w:r>
      <w:r w:rsidR="00552DBD" w:rsidRPr="003E7EE5">
        <w:rPr>
          <w:color w:val="000000" w:themeColor="text1"/>
        </w:rPr>
        <w:t xml:space="preserve"> </w:t>
      </w:r>
      <w:r w:rsidR="00D024C7" w:rsidRPr="003E7EE5">
        <w:rPr>
          <w:color w:val="000000" w:themeColor="text1"/>
        </w:rPr>
        <w:t xml:space="preserve">(Eccles </w:t>
      </w:r>
      <w:r w:rsidR="00F742D2" w:rsidRPr="003E7EE5">
        <w:rPr>
          <w:i/>
        </w:rPr>
        <w:t>et al.</w:t>
      </w:r>
      <w:r w:rsidR="00F742D2" w:rsidRPr="003E7EE5">
        <w:t>,</w:t>
      </w:r>
      <w:r w:rsidR="00D024C7" w:rsidRPr="003E7EE5">
        <w:rPr>
          <w:color w:val="000000" w:themeColor="text1"/>
        </w:rPr>
        <w:t xml:space="preserve"> 2014)</w:t>
      </w:r>
      <w:r w:rsidR="00D65A97" w:rsidRPr="003E7EE5">
        <w:rPr>
          <w:color w:val="000000" w:themeColor="text1"/>
        </w:rPr>
        <w:t xml:space="preserve">. </w:t>
      </w:r>
      <w:r w:rsidR="000C389E" w:rsidRPr="003E7EE5">
        <w:rPr>
          <w:color w:val="000000" w:themeColor="text1"/>
        </w:rPr>
        <w:t>Thus:</w:t>
      </w:r>
    </w:p>
    <w:p w14:paraId="2B661782" w14:textId="25411A8F" w:rsidR="00687C0D" w:rsidRPr="003E7EE5" w:rsidRDefault="00FD3F4B" w:rsidP="000F53A1">
      <w:pPr>
        <w:widowControl w:val="0"/>
        <w:autoSpaceDE w:val="0"/>
        <w:autoSpaceDN w:val="0"/>
        <w:adjustRightInd w:val="0"/>
        <w:spacing w:after="120" w:line="480" w:lineRule="auto"/>
        <w:rPr>
          <w:szCs w:val="22"/>
        </w:rPr>
      </w:pPr>
      <w:r w:rsidRPr="005E1791">
        <w:rPr>
          <w:bCs/>
          <w:i/>
          <w:iCs/>
          <w:szCs w:val="22"/>
        </w:rPr>
        <w:t>H6</w:t>
      </w:r>
      <w:r w:rsidR="00D024C7" w:rsidRPr="005E1791">
        <w:rPr>
          <w:bCs/>
          <w:i/>
          <w:iCs/>
          <w:szCs w:val="22"/>
        </w:rPr>
        <w:t>a</w:t>
      </w:r>
      <w:r w:rsidR="00167183" w:rsidRPr="005E1791">
        <w:rPr>
          <w:bCs/>
          <w:i/>
          <w:iCs/>
          <w:szCs w:val="22"/>
        </w:rPr>
        <w:t>.</w:t>
      </w:r>
      <w:r w:rsidR="00F80EBD" w:rsidRPr="003E7EE5">
        <w:rPr>
          <w:szCs w:val="22"/>
        </w:rPr>
        <w:t xml:space="preserve"> The higher the availability of </w:t>
      </w:r>
      <w:r w:rsidR="00167183" w:rsidRPr="003E7EE5">
        <w:rPr>
          <w:szCs w:val="22"/>
        </w:rPr>
        <w:t xml:space="preserve">resources </w:t>
      </w:r>
      <w:r w:rsidR="00873A96" w:rsidRPr="003E7EE5">
        <w:rPr>
          <w:szCs w:val="22"/>
        </w:rPr>
        <w:t xml:space="preserve">for green marketing </w:t>
      </w:r>
      <w:r w:rsidR="009E02BE" w:rsidRPr="003E7EE5">
        <w:rPr>
          <w:szCs w:val="22"/>
        </w:rPr>
        <w:t>during</w:t>
      </w:r>
      <w:r w:rsidR="00135D85" w:rsidRPr="003E7EE5">
        <w:rPr>
          <w:szCs w:val="22"/>
        </w:rPr>
        <w:t xml:space="preserve"> a </w:t>
      </w:r>
      <w:r w:rsidR="00F76C9D" w:rsidRPr="003E7EE5">
        <w:rPr>
          <w:szCs w:val="22"/>
        </w:rPr>
        <w:t>crisis</w:t>
      </w:r>
      <w:r w:rsidR="00F80EBD" w:rsidRPr="003E7EE5">
        <w:rPr>
          <w:szCs w:val="22"/>
        </w:rPr>
        <w:t xml:space="preserve">, the greater the effect of </w:t>
      </w:r>
      <w:r w:rsidR="001F5270" w:rsidRPr="003E7EE5">
        <w:rPr>
          <w:szCs w:val="22"/>
        </w:rPr>
        <w:t>GMS</w:t>
      </w:r>
      <w:r w:rsidR="00F80EBD" w:rsidRPr="003E7EE5">
        <w:rPr>
          <w:szCs w:val="22"/>
        </w:rPr>
        <w:t xml:space="preserve"> on </w:t>
      </w:r>
      <w:r w:rsidR="001046F7" w:rsidRPr="003E7EE5">
        <w:rPr>
          <w:szCs w:val="22"/>
        </w:rPr>
        <w:t>OR</w:t>
      </w:r>
      <w:r w:rsidR="00D024C7" w:rsidRPr="003E7EE5">
        <w:rPr>
          <w:szCs w:val="22"/>
        </w:rPr>
        <w:t>.</w:t>
      </w:r>
    </w:p>
    <w:p w14:paraId="543053AA" w14:textId="26F98335" w:rsidR="00D024C7" w:rsidRPr="003E7EE5" w:rsidRDefault="00D024C7" w:rsidP="00D024C7">
      <w:pPr>
        <w:widowControl w:val="0"/>
        <w:autoSpaceDE w:val="0"/>
        <w:autoSpaceDN w:val="0"/>
        <w:adjustRightInd w:val="0"/>
        <w:spacing w:after="120" w:line="480" w:lineRule="auto"/>
        <w:rPr>
          <w:szCs w:val="22"/>
        </w:rPr>
      </w:pPr>
      <w:r w:rsidRPr="005E1791">
        <w:rPr>
          <w:bCs/>
          <w:i/>
          <w:iCs/>
          <w:szCs w:val="22"/>
        </w:rPr>
        <w:lastRenderedPageBreak/>
        <w:t>H6b.</w:t>
      </w:r>
      <w:r w:rsidRPr="003E7EE5">
        <w:rPr>
          <w:szCs w:val="22"/>
        </w:rPr>
        <w:t xml:space="preserve"> The higher the availability of resources for green marketing during a </w:t>
      </w:r>
      <w:r w:rsidR="00F76C9D" w:rsidRPr="003E7EE5">
        <w:rPr>
          <w:szCs w:val="22"/>
        </w:rPr>
        <w:t>crisis</w:t>
      </w:r>
      <w:r w:rsidRPr="003E7EE5">
        <w:rPr>
          <w:szCs w:val="22"/>
        </w:rPr>
        <w:t xml:space="preserve">, the greater the effect of </w:t>
      </w:r>
      <w:r w:rsidR="001F5270" w:rsidRPr="003E7EE5">
        <w:rPr>
          <w:szCs w:val="22"/>
        </w:rPr>
        <w:t>GMS</w:t>
      </w:r>
      <w:r w:rsidRPr="003E7EE5">
        <w:rPr>
          <w:szCs w:val="22"/>
        </w:rPr>
        <w:t xml:space="preserve"> on </w:t>
      </w:r>
      <w:r w:rsidR="001046F7" w:rsidRPr="003E7EE5">
        <w:rPr>
          <w:szCs w:val="22"/>
        </w:rPr>
        <w:t>FR</w:t>
      </w:r>
      <w:r w:rsidRPr="003E7EE5">
        <w:rPr>
          <w:szCs w:val="22"/>
        </w:rPr>
        <w:t>.</w:t>
      </w:r>
    </w:p>
    <w:p w14:paraId="5C2DCFDD" w14:textId="1062D604" w:rsidR="00C466C3" w:rsidRPr="00151408" w:rsidRDefault="00D024C7" w:rsidP="00151408">
      <w:pPr>
        <w:widowControl w:val="0"/>
        <w:autoSpaceDE w:val="0"/>
        <w:autoSpaceDN w:val="0"/>
        <w:adjustRightInd w:val="0"/>
        <w:spacing w:line="480" w:lineRule="auto"/>
        <w:rPr>
          <w:szCs w:val="22"/>
        </w:rPr>
      </w:pPr>
      <w:r w:rsidRPr="005E1791">
        <w:rPr>
          <w:bCs/>
          <w:i/>
          <w:iCs/>
          <w:szCs w:val="22"/>
        </w:rPr>
        <w:t>H6c.</w:t>
      </w:r>
      <w:r w:rsidRPr="003E7EE5">
        <w:rPr>
          <w:szCs w:val="22"/>
        </w:rPr>
        <w:t xml:space="preserve"> The </w:t>
      </w:r>
      <w:r w:rsidR="00212F32">
        <w:rPr>
          <w:szCs w:val="22"/>
        </w:rPr>
        <w:t xml:space="preserve">higher the availability of </w:t>
      </w:r>
      <w:r w:rsidRPr="003E7EE5">
        <w:rPr>
          <w:szCs w:val="22"/>
        </w:rPr>
        <w:t xml:space="preserve">resources for green marketing during a </w:t>
      </w:r>
      <w:r w:rsidR="00F76C9D" w:rsidRPr="003E7EE5">
        <w:rPr>
          <w:szCs w:val="22"/>
        </w:rPr>
        <w:t>crisis</w:t>
      </w:r>
      <w:r w:rsidRPr="003E7EE5">
        <w:rPr>
          <w:szCs w:val="22"/>
        </w:rPr>
        <w:t xml:space="preserve">, the greater the effect of </w:t>
      </w:r>
      <w:r w:rsidR="001F5270" w:rsidRPr="003E7EE5">
        <w:rPr>
          <w:szCs w:val="22"/>
        </w:rPr>
        <w:t>GMS</w:t>
      </w:r>
      <w:r w:rsidRPr="003E7EE5">
        <w:rPr>
          <w:szCs w:val="22"/>
        </w:rPr>
        <w:t xml:space="preserve"> on </w:t>
      </w:r>
      <w:r w:rsidR="00EC550C" w:rsidRPr="003E7EE5">
        <w:rPr>
          <w:szCs w:val="22"/>
        </w:rPr>
        <w:t>the long-</w:t>
      </w:r>
      <w:r w:rsidR="00B27F6E">
        <w:rPr>
          <w:szCs w:val="22"/>
        </w:rPr>
        <w:t>term</w:t>
      </w:r>
      <w:r w:rsidR="00EC550C" w:rsidRPr="003E7EE5">
        <w:rPr>
          <w:szCs w:val="22"/>
        </w:rPr>
        <w:t xml:space="preserve">, post-crisis </w:t>
      </w:r>
      <w:r w:rsidRPr="003E7EE5">
        <w:rPr>
          <w:szCs w:val="22"/>
        </w:rPr>
        <w:t>financial performance</w:t>
      </w:r>
      <w:r w:rsidR="00EC550C" w:rsidRPr="003E7EE5">
        <w:rPr>
          <w:szCs w:val="22"/>
        </w:rPr>
        <w:t>.</w:t>
      </w:r>
    </w:p>
    <w:p w14:paraId="3257A197" w14:textId="215523B5" w:rsidR="00C04E62" w:rsidRPr="003E7EE5" w:rsidRDefault="00026E3C" w:rsidP="005E1791">
      <w:pPr>
        <w:spacing w:line="480" w:lineRule="auto"/>
        <w:outlineLvl w:val="0"/>
        <w:rPr>
          <w:b/>
        </w:rPr>
      </w:pPr>
      <w:r w:rsidRPr="003E7EE5">
        <w:rPr>
          <w:b/>
        </w:rPr>
        <w:t xml:space="preserve">Research </w:t>
      </w:r>
      <w:r w:rsidR="007A5AB0">
        <w:rPr>
          <w:b/>
        </w:rPr>
        <w:t>m</w:t>
      </w:r>
      <w:r w:rsidRPr="003E7EE5">
        <w:rPr>
          <w:b/>
        </w:rPr>
        <w:t>ethod</w:t>
      </w:r>
    </w:p>
    <w:p w14:paraId="0E825353" w14:textId="36C4EC53" w:rsidR="00141A25" w:rsidRPr="003E7EE5" w:rsidRDefault="00C0102F" w:rsidP="005E1791">
      <w:pPr>
        <w:spacing w:line="480" w:lineRule="auto"/>
        <w:outlineLvl w:val="0"/>
        <w:rPr>
          <w:i/>
        </w:rPr>
      </w:pPr>
      <w:r w:rsidRPr="003E7EE5">
        <w:rPr>
          <w:i/>
        </w:rPr>
        <w:t xml:space="preserve">Context </w:t>
      </w:r>
    </w:p>
    <w:p w14:paraId="75786C40" w14:textId="7543AC15" w:rsidR="00915566" w:rsidRPr="003E7EE5" w:rsidRDefault="00D11038" w:rsidP="00617A5D">
      <w:pPr>
        <w:spacing w:line="480" w:lineRule="auto"/>
      </w:pPr>
      <w:r w:rsidRPr="003E7EE5">
        <w:t xml:space="preserve">We chose Greece as the country context to test our conceptual model. </w:t>
      </w:r>
      <w:r w:rsidR="00E81F25" w:rsidRPr="003E7EE5">
        <w:t xml:space="preserve">The case of </w:t>
      </w:r>
      <w:r w:rsidR="00D65A97" w:rsidRPr="003E7EE5">
        <w:t xml:space="preserve">Greece </w:t>
      </w:r>
      <w:r w:rsidR="0061523D" w:rsidRPr="003E7EE5">
        <w:t>in</w:t>
      </w:r>
      <w:r w:rsidR="00E67522" w:rsidRPr="003E7EE5">
        <w:t xml:space="preserve"> 2015</w:t>
      </w:r>
      <w:r w:rsidR="00D65A97" w:rsidRPr="003E7EE5">
        <w:t xml:space="preserve"> </w:t>
      </w:r>
      <w:r w:rsidR="00C60661" w:rsidRPr="003E7EE5">
        <w:t xml:space="preserve">provides </w:t>
      </w:r>
      <w:r w:rsidR="00CB0D56" w:rsidRPr="003E7EE5">
        <w:t xml:space="preserve">fertile ground for </w:t>
      </w:r>
      <w:r w:rsidR="00C466C3">
        <w:t>examining</w:t>
      </w:r>
      <w:r w:rsidR="00CB0D56" w:rsidRPr="003E7EE5">
        <w:t xml:space="preserve"> </w:t>
      </w:r>
      <w:r w:rsidR="00FA1270" w:rsidRPr="003E7EE5">
        <w:t>GMS</w:t>
      </w:r>
      <w:r w:rsidR="00CB0D56" w:rsidRPr="003E7EE5">
        <w:t xml:space="preserve"> in a time of </w:t>
      </w:r>
      <w:r w:rsidR="001B60E8" w:rsidRPr="003E7EE5">
        <w:t>uncertainty</w:t>
      </w:r>
      <w:r w:rsidR="00CB0D56" w:rsidRPr="003E7EE5">
        <w:t xml:space="preserve"> for </w:t>
      </w:r>
      <w:r w:rsidR="008762A8" w:rsidRPr="003E7EE5">
        <w:t>several</w:t>
      </w:r>
      <w:r w:rsidR="00CB0D56" w:rsidRPr="003E7EE5">
        <w:t xml:space="preserve"> reasons</w:t>
      </w:r>
      <w:r w:rsidR="00C466C3">
        <w:t>.</w:t>
      </w:r>
      <w:r w:rsidR="00CB0D56" w:rsidRPr="003E7EE5">
        <w:t xml:space="preserve"> </w:t>
      </w:r>
      <w:r w:rsidR="00C466C3">
        <w:t>First,</w:t>
      </w:r>
      <w:r w:rsidR="00CB0D56" w:rsidRPr="003E7EE5">
        <w:t xml:space="preserve"> </w:t>
      </w:r>
      <w:r w:rsidR="0061523D" w:rsidRPr="003E7EE5">
        <w:t>Greece experienced the</w:t>
      </w:r>
      <w:r w:rsidR="00DC3F16" w:rsidRPr="003E7EE5">
        <w:t xml:space="preserve"> deepest recession </w:t>
      </w:r>
      <w:r w:rsidR="0061523D" w:rsidRPr="003E7EE5">
        <w:t xml:space="preserve">in its modern history </w:t>
      </w:r>
      <w:r w:rsidR="007B0A00" w:rsidRPr="003E7EE5">
        <w:t xml:space="preserve">during </w:t>
      </w:r>
      <w:r w:rsidR="00C466C3">
        <w:t xml:space="preserve">the </w:t>
      </w:r>
      <w:r w:rsidR="007B0A00" w:rsidRPr="003E7EE5">
        <w:t>2010</w:t>
      </w:r>
      <w:r w:rsidR="00C466C3">
        <w:t>–</w:t>
      </w:r>
      <w:r w:rsidR="000F3C7D" w:rsidRPr="003E7EE5">
        <w:t>2014</w:t>
      </w:r>
      <w:r w:rsidR="00C466C3">
        <w:t xml:space="preserve"> period</w:t>
      </w:r>
      <w:r w:rsidR="0061523D" w:rsidRPr="003E7EE5">
        <w:t>,</w:t>
      </w:r>
      <w:r w:rsidR="00426EE6" w:rsidRPr="003E7EE5">
        <w:t xml:space="preserve"> </w:t>
      </w:r>
      <w:r w:rsidR="00351285" w:rsidRPr="003E7EE5">
        <w:t xml:space="preserve">with an average </w:t>
      </w:r>
      <w:r w:rsidR="00C466C3">
        <w:t>gross domestic product</w:t>
      </w:r>
      <w:r w:rsidR="00394622" w:rsidRPr="003E7EE5">
        <w:t xml:space="preserve"> decline of </w:t>
      </w:r>
      <w:r w:rsidR="00351285" w:rsidRPr="003E7EE5">
        <w:t>4</w:t>
      </w:r>
      <w:r w:rsidR="008762A8" w:rsidRPr="003E7EE5">
        <w:t>.</w:t>
      </w:r>
      <w:r w:rsidR="00351285" w:rsidRPr="003E7EE5">
        <w:t>2%</w:t>
      </w:r>
      <w:r w:rsidR="00617A5D" w:rsidRPr="003E7EE5">
        <w:t xml:space="preserve"> </w:t>
      </w:r>
      <w:r w:rsidR="00D65A97" w:rsidRPr="003E7EE5">
        <w:t>and an</w:t>
      </w:r>
      <w:r w:rsidR="00351285" w:rsidRPr="003E7EE5">
        <w:t xml:space="preserve"> average unemployment</w:t>
      </w:r>
      <w:r w:rsidR="00394622" w:rsidRPr="003E7EE5">
        <w:t xml:space="preserve"> rate</w:t>
      </w:r>
      <w:r w:rsidR="00351285" w:rsidRPr="003E7EE5">
        <w:t xml:space="preserve"> of 21</w:t>
      </w:r>
      <w:r w:rsidR="008762A8" w:rsidRPr="003E7EE5">
        <w:t>.</w:t>
      </w:r>
      <w:r w:rsidR="00351285" w:rsidRPr="003E7EE5">
        <w:t xml:space="preserve">1% </w:t>
      </w:r>
      <w:r w:rsidR="002518BC" w:rsidRPr="003E7EE5">
        <w:t>(</w:t>
      </w:r>
      <w:r w:rsidR="00B04406" w:rsidRPr="00B04406">
        <w:t>Wolf</w:t>
      </w:r>
      <w:r w:rsidR="00556DD8" w:rsidRPr="003E7EE5">
        <w:t>,</w:t>
      </w:r>
      <w:r w:rsidR="00426EE6" w:rsidRPr="003E7EE5">
        <w:t xml:space="preserve"> 2015)</w:t>
      </w:r>
      <w:r w:rsidR="00B04406">
        <w:t>. Second,</w:t>
      </w:r>
      <w:r w:rsidR="000F3C7D" w:rsidRPr="003E7EE5">
        <w:t xml:space="preserve"> </w:t>
      </w:r>
      <w:r w:rsidR="00426EE6" w:rsidRPr="003E7EE5">
        <w:t xml:space="preserve">an increasing number of green marketing policies emerged </w:t>
      </w:r>
      <w:r w:rsidR="0061523D" w:rsidRPr="003E7EE5">
        <w:t xml:space="preserve">in </w:t>
      </w:r>
      <w:r w:rsidR="00B04406">
        <w:t xml:space="preserve">the </w:t>
      </w:r>
      <w:r w:rsidR="0061523D" w:rsidRPr="003E7EE5">
        <w:t>2010s</w:t>
      </w:r>
      <w:r w:rsidR="00426EE6" w:rsidRPr="003E7EE5">
        <w:t xml:space="preserve"> as </w:t>
      </w:r>
      <w:r w:rsidR="0061523D" w:rsidRPr="003E7EE5">
        <w:t>the country</w:t>
      </w:r>
      <w:r w:rsidR="00426EE6" w:rsidRPr="003E7EE5">
        <w:t xml:space="preserve"> had one of the worst records on </w:t>
      </w:r>
      <w:r w:rsidR="00B04406">
        <w:t>carbon dioxide</w:t>
      </w:r>
      <w:r w:rsidR="00C94DB0" w:rsidRPr="003E7EE5">
        <w:t xml:space="preserve"> emissions (</w:t>
      </w:r>
      <w:proofErr w:type="spellStart"/>
      <w:r w:rsidR="00C94DB0" w:rsidRPr="003E7EE5">
        <w:t>Nantsou</w:t>
      </w:r>
      <w:proofErr w:type="spellEnd"/>
      <w:r w:rsidR="00D336A8" w:rsidRPr="003E7EE5">
        <w:t xml:space="preserve"> </w:t>
      </w:r>
      <w:r w:rsidR="00D336A8" w:rsidRPr="003E7EE5">
        <w:rPr>
          <w:i/>
          <w:iCs/>
        </w:rPr>
        <w:t>et al.</w:t>
      </w:r>
      <w:r w:rsidR="00C94DB0" w:rsidRPr="005E1791">
        <w:rPr>
          <w:rFonts w:eastAsia="Times New Roman"/>
          <w:color w:val="000000" w:themeColor="text1"/>
          <w:shd w:val="clear" w:color="auto" w:fill="FFFFFF"/>
        </w:rPr>
        <w:t>,</w:t>
      </w:r>
      <w:r w:rsidR="00C94DB0" w:rsidRPr="003E7EE5">
        <w:t xml:space="preserve"> </w:t>
      </w:r>
      <w:r w:rsidR="00426EE6" w:rsidRPr="003E7EE5">
        <w:t>2015)</w:t>
      </w:r>
      <w:r w:rsidR="00B04406">
        <w:t>. Third,</w:t>
      </w:r>
      <w:r w:rsidR="00426EE6" w:rsidRPr="003E7EE5">
        <w:t xml:space="preserve"> the commitment of the Greek government to implement specific</w:t>
      </w:r>
      <w:r w:rsidR="00C05AFF" w:rsidRPr="003E7EE5">
        <w:t xml:space="preserve"> OECD </w:t>
      </w:r>
      <w:r w:rsidR="00B04406">
        <w:t xml:space="preserve">(2017) </w:t>
      </w:r>
      <w:r w:rsidR="00C05AFF" w:rsidRPr="003E7EE5">
        <w:t>environmental recommendations as part of the macroeconomic adjustment program</w:t>
      </w:r>
      <w:r w:rsidR="00B27F6E">
        <w:t>s</w:t>
      </w:r>
      <w:r w:rsidR="00C05AFF" w:rsidRPr="003E7EE5">
        <w:t xml:space="preserve"> </w:t>
      </w:r>
      <w:r w:rsidR="00394622" w:rsidRPr="003E7EE5">
        <w:t xml:space="preserve">led firms </w:t>
      </w:r>
      <w:r w:rsidR="00B04406" w:rsidRPr="003E7EE5">
        <w:t xml:space="preserve">to </w:t>
      </w:r>
      <w:r w:rsidR="00394622" w:rsidRPr="003E7EE5">
        <w:t>experienc</w:t>
      </w:r>
      <w:r w:rsidR="00B04406">
        <w:t>e</w:t>
      </w:r>
      <w:r w:rsidR="00C05AFF" w:rsidRPr="003E7EE5">
        <w:t xml:space="preserve"> high regulatory pressures</w:t>
      </w:r>
      <w:r w:rsidR="00B04406">
        <w:t>.</w:t>
      </w:r>
      <w:r w:rsidR="00C05AFF" w:rsidRPr="003E7EE5">
        <w:t xml:space="preserve"> </w:t>
      </w:r>
      <w:r w:rsidR="00B04406">
        <w:t>Fourth,</w:t>
      </w:r>
      <w:r w:rsidR="00C05AFF" w:rsidRPr="003E7EE5">
        <w:t xml:space="preserve"> many domestic and multina</w:t>
      </w:r>
      <w:r w:rsidR="00351285" w:rsidRPr="003E7EE5">
        <w:t>tional firms based in Greece were</w:t>
      </w:r>
      <w:r w:rsidR="00C05AFF" w:rsidRPr="003E7EE5">
        <w:t xml:space="preserve"> increasingly adopting environmental marketing practices</w:t>
      </w:r>
      <w:r w:rsidR="00920DBE" w:rsidRPr="003E7EE5">
        <w:t xml:space="preserve"> (</w:t>
      </w:r>
      <w:r w:rsidR="00481156" w:rsidRPr="00481156">
        <w:rPr>
          <w:color w:val="000000" w:themeColor="text1"/>
        </w:rPr>
        <w:t>SEV Business</w:t>
      </w:r>
      <w:r w:rsidR="00481156">
        <w:rPr>
          <w:color w:val="000000" w:themeColor="text1"/>
        </w:rPr>
        <w:t xml:space="preserve"> </w:t>
      </w:r>
      <w:r w:rsidR="00481156" w:rsidRPr="00481156">
        <w:rPr>
          <w:color w:val="000000" w:themeColor="text1"/>
        </w:rPr>
        <w:t>Council for Sustainable Development</w:t>
      </w:r>
      <w:r w:rsidR="002E2BE6" w:rsidRPr="003E7EE5">
        <w:t>,</w:t>
      </w:r>
      <w:r w:rsidR="00920DBE" w:rsidRPr="003E7EE5">
        <w:t xml:space="preserve"> </w:t>
      </w:r>
      <w:r w:rsidR="00EB64BD" w:rsidRPr="003E7EE5">
        <w:t>20</w:t>
      </w:r>
      <w:r w:rsidR="00C06B78" w:rsidRPr="003E7EE5">
        <w:t>16)</w:t>
      </w:r>
      <w:r w:rsidR="00C0102F" w:rsidRPr="003E7EE5">
        <w:t xml:space="preserve">. </w:t>
      </w:r>
    </w:p>
    <w:p w14:paraId="1EFFDE32" w14:textId="402DA308" w:rsidR="00D40BE9" w:rsidRPr="003E7EE5" w:rsidRDefault="00351285" w:rsidP="00FE30D3">
      <w:pPr>
        <w:widowControl w:val="0"/>
        <w:autoSpaceDE w:val="0"/>
        <w:autoSpaceDN w:val="0"/>
        <w:adjustRightInd w:val="0"/>
        <w:spacing w:after="240" w:line="260" w:lineRule="atLeast"/>
        <w:outlineLvl w:val="0"/>
        <w:rPr>
          <w:i/>
          <w:iCs/>
        </w:rPr>
      </w:pPr>
      <w:r w:rsidRPr="003E7EE5">
        <w:rPr>
          <w:i/>
          <w:iCs/>
        </w:rPr>
        <w:t>Questi</w:t>
      </w:r>
      <w:r w:rsidR="00CD2DCC" w:rsidRPr="003E7EE5">
        <w:rPr>
          <w:i/>
          <w:iCs/>
        </w:rPr>
        <w:t xml:space="preserve">onnaire </w:t>
      </w:r>
      <w:r w:rsidR="00481156">
        <w:rPr>
          <w:i/>
          <w:iCs/>
        </w:rPr>
        <w:t>d</w:t>
      </w:r>
      <w:r w:rsidR="00CD2DCC" w:rsidRPr="003E7EE5">
        <w:rPr>
          <w:i/>
          <w:iCs/>
        </w:rPr>
        <w:t>evelopment</w:t>
      </w:r>
    </w:p>
    <w:p w14:paraId="51F1FB49" w14:textId="3878DBEB" w:rsidR="000759A0" w:rsidRPr="003E7EE5" w:rsidRDefault="00730ADD" w:rsidP="005E1791">
      <w:pPr>
        <w:widowControl w:val="0"/>
        <w:autoSpaceDE w:val="0"/>
        <w:autoSpaceDN w:val="0"/>
        <w:adjustRightInd w:val="0"/>
        <w:spacing w:line="480" w:lineRule="auto"/>
        <w:rPr>
          <w:color w:val="000000" w:themeColor="text1"/>
          <w:szCs w:val="22"/>
        </w:rPr>
      </w:pPr>
      <w:r w:rsidRPr="003E7EE5">
        <w:rPr>
          <w:szCs w:val="22"/>
        </w:rPr>
        <w:t xml:space="preserve">We </w:t>
      </w:r>
      <w:r w:rsidR="00133AC0" w:rsidRPr="003E7EE5">
        <w:rPr>
          <w:szCs w:val="22"/>
        </w:rPr>
        <w:t xml:space="preserve">undertook a thorough review of the literature to draft </w:t>
      </w:r>
      <w:r w:rsidR="00DE434A" w:rsidRPr="003E7EE5">
        <w:rPr>
          <w:szCs w:val="22"/>
        </w:rPr>
        <w:t xml:space="preserve">a </w:t>
      </w:r>
      <w:r w:rsidR="00133AC0" w:rsidRPr="003E7EE5">
        <w:rPr>
          <w:szCs w:val="22"/>
        </w:rPr>
        <w:t>questionnaire</w:t>
      </w:r>
      <w:r w:rsidR="00481156">
        <w:rPr>
          <w:szCs w:val="22"/>
        </w:rPr>
        <w:t>,</w:t>
      </w:r>
      <w:r w:rsidR="00133AC0" w:rsidRPr="003E7EE5">
        <w:rPr>
          <w:szCs w:val="22"/>
        </w:rPr>
        <w:t xml:space="preserve"> which </w:t>
      </w:r>
      <w:r w:rsidR="00481156">
        <w:rPr>
          <w:szCs w:val="22"/>
        </w:rPr>
        <w:t>we</w:t>
      </w:r>
      <w:r w:rsidR="00133AC0" w:rsidRPr="003E7EE5">
        <w:rPr>
          <w:szCs w:val="22"/>
        </w:rPr>
        <w:t xml:space="preserve"> then refined w</w:t>
      </w:r>
      <w:r w:rsidR="00DE434A" w:rsidRPr="003E7EE5">
        <w:rPr>
          <w:szCs w:val="22"/>
        </w:rPr>
        <w:t>ith personal interviews with s</w:t>
      </w:r>
      <w:r w:rsidR="00133AC0" w:rsidRPr="003E7EE5">
        <w:rPr>
          <w:szCs w:val="22"/>
        </w:rPr>
        <w:t xml:space="preserve">even </w:t>
      </w:r>
      <w:r w:rsidR="00481156">
        <w:rPr>
          <w:szCs w:val="22"/>
        </w:rPr>
        <w:t>C</w:t>
      </w:r>
      <w:r w:rsidR="00DE434A" w:rsidRPr="003E7EE5">
        <w:rPr>
          <w:szCs w:val="22"/>
        </w:rPr>
        <w:t xml:space="preserve">-level marketing </w:t>
      </w:r>
      <w:r w:rsidR="00133AC0" w:rsidRPr="003E7EE5">
        <w:rPr>
          <w:szCs w:val="22"/>
        </w:rPr>
        <w:t xml:space="preserve">executives and five </w:t>
      </w:r>
      <w:r w:rsidR="00D94AD3" w:rsidRPr="003E7EE5">
        <w:rPr>
          <w:szCs w:val="22"/>
        </w:rPr>
        <w:t xml:space="preserve">senior marketing </w:t>
      </w:r>
      <w:r w:rsidR="00DE434A" w:rsidRPr="003E7EE5">
        <w:rPr>
          <w:szCs w:val="22"/>
        </w:rPr>
        <w:t xml:space="preserve">academics who had extensive experience in the </w:t>
      </w:r>
      <w:r w:rsidR="00D94AD3" w:rsidRPr="003E7EE5">
        <w:rPr>
          <w:szCs w:val="22"/>
        </w:rPr>
        <w:t xml:space="preserve">sustainability and </w:t>
      </w:r>
      <w:r w:rsidR="00DE434A" w:rsidRPr="003E7EE5">
        <w:rPr>
          <w:szCs w:val="22"/>
        </w:rPr>
        <w:t xml:space="preserve">green marketing field. </w:t>
      </w:r>
      <w:r w:rsidR="00D65A97" w:rsidRPr="003E7EE5">
        <w:rPr>
          <w:szCs w:val="22"/>
        </w:rPr>
        <w:t>The i</w:t>
      </w:r>
      <w:r w:rsidR="00C04E62" w:rsidRPr="003E7EE5">
        <w:rPr>
          <w:szCs w:val="22"/>
        </w:rPr>
        <w:t>nterview</w:t>
      </w:r>
      <w:r w:rsidR="00D65A97" w:rsidRPr="003E7EE5">
        <w:rPr>
          <w:szCs w:val="22"/>
        </w:rPr>
        <w:t>s</w:t>
      </w:r>
      <w:r w:rsidR="00C04E62" w:rsidRPr="003E7EE5">
        <w:rPr>
          <w:szCs w:val="22"/>
        </w:rPr>
        <w:t xml:space="preserve"> with the marketing executives </w:t>
      </w:r>
      <w:r w:rsidR="00D94AD3" w:rsidRPr="003E7EE5">
        <w:rPr>
          <w:szCs w:val="22"/>
        </w:rPr>
        <w:t>offered valuable insights</w:t>
      </w:r>
      <w:r w:rsidR="00DE434A" w:rsidRPr="003E7EE5">
        <w:rPr>
          <w:szCs w:val="22"/>
        </w:rPr>
        <w:t xml:space="preserve"> into the relevance of the study constructs to understa</w:t>
      </w:r>
      <w:r w:rsidR="00D65A97" w:rsidRPr="003E7EE5">
        <w:rPr>
          <w:szCs w:val="22"/>
        </w:rPr>
        <w:t>nd the underlying mechanism of</w:t>
      </w:r>
      <w:r w:rsidR="00DE434A" w:rsidRPr="003E7EE5">
        <w:rPr>
          <w:szCs w:val="22"/>
        </w:rPr>
        <w:t xml:space="preserve"> </w:t>
      </w:r>
      <w:r w:rsidR="00481156">
        <w:rPr>
          <w:szCs w:val="22"/>
        </w:rPr>
        <w:t xml:space="preserve">the </w:t>
      </w:r>
      <w:r w:rsidR="00FA1270" w:rsidRPr="003E7EE5">
        <w:rPr>
          <w:szCs w:val="22"/>
        </w:rPr>
        <w:t>GMS</w:t>
      </w:r>
      <w:r w:rsidR="00481156">
        <w:rPr>
          <w:szCs w:val="22"/>
        </w:rPr>
        <w:t>–</w:t>
      </w:r>
      <w:r w:rsidR="00D65A97" w:rsidRPr="003E7EE5">
        <w:rPr>
          <w:szCs w:val="22"/>
        </w:rPr>
        <w:t>firm performance</w:t>
      </w:r>
      <w:r w:rsidR="00DE434A" w:rsidRPr="003E7EE5">
        <w:rPr>
          <w:szCs w:val="22"/>
        </w:rPr>
        <w:t xml:space="preserve"> </w:t>
      </w:r>
      <w:r w:rsidR="00481156">
        <w:rPr>
          <w:szCs w:val="22"/>
        </w:rPr>
        <w:t xml:space="preserve">relationship </w:t>
      </w:r>
      <w:r w:rsidR="00DE434A" w:rsidRPr="003E7EE5">
        <w:rPr>
          <w:szCs w:val="22"/>
        </w:rPr>
        <w:t xml:space="preserve">in a recessionary period. The interviews </w:t>
      </w:r>
      <w:r w:rsidR="00D65A97" w:rsidRPr="003E7EE5">
        <w:rPr>
          <w:szCs w:val="22"/>
        </w:rPr>
        <w:t xml:space="preserve">with the marketing </w:t>
      </w:r>
      <w:r w:rsidR="00D65A97" w:rsidRPr="003E7EE5">
        <w:rPr>
          <w:szCs w:val="22"/>
        </w:rPr>
        <w:lastRenderedPageBreak/>
        <w:t>academi</w:t>
      </w:r>
      <w:r w:rsidR="001B60E8" w:rsidRPr="003E7EE5">
        <w:rPr>
          <w:szCs w:val="22"/>
        </w:rPr>
        <w:t>c</w:t>
      </w:r>
      <w:r w:rsidR="00D65A97" w:rsidRPr="003E7EE5">
        <w:rPr>
          <w:szCs w:val="22"/>
        </w:rPr>
        <w:t xml:space="preserve">s </w:t>
      </w:r>
      <w:r w:rsidR="00DE434A" w:rsidRPr="003E7EE5">
        <w:rPr>
          <w:szCs w:val="22"/>
        </w:rPr>
        <w:t xml:space="preserve">also helped us adapt established measures identified </w:t>
      </w:r>
      <w:r w:rsidR="00AA74BB">
        <w:rPr>
          <w:szCs w:val="22"/>
        </w:rPr>
        <w:t>in</w:t>
      </w:r>
      <w:r w:rsidR="00DE434A" w:rsidRPr="003E7EE5">
        <w:rPr>
          <w:szCs w:val="22"/>
        </w:rPr>
        <w:t xml:space="preserve"> prior research to the specific </w:t>
      </w:r>
      <w:r w:rsidR="00DE434A" w:rsidRPr="003E7EE5">
        <w:rPr>
          <w:color w:val="000000" w:themeColor="text1"/>
          <w:szCs w:val="22"/>
        </w:rPr>
        <w:t xml:space="preserve">characteristics of our research setting. </w:t>
      </w:r>
      <w:r w:rsidR="006532D8" w:rsidRPr="003E7EE5">
        <w:rPr>
          <w:color w:val="000000" w:themeColor="text1"/>
          <w:szCs w:val="22"/>
        </w:rPr>
        <w:t>Subsequently</w:t>
      </w:r>
      <w:r w:rsidR="00DE434A" w:rsidRPr="003E7EE5">
        <w:rPr>
          <w:color w:val="000000" w:themeColor="text1"/>
          <w:szCs w:val="22"/>
        </w:rPr>
        <w:t xml:space="preserve">, </w:t>
      </w:r>
      <w:r w:rsidR="00AA74BB">
        <w:rPr>
          <w:color w:val="000000" w:themeColor="text1"/>
          <w:szCs w:val="22"/>
        </w:rPr>
        <w:t xml:space="preserve">the </w:t>
      </w:r>
      <w:r w:rsidR="00DE434A" w:rsidRPr="003E7EE5">
        <w:rPr>
          <w:color w:val="000000" w:themeColor="text1"/>
          <w:szCs w:val="22"/>
        </w:rPr>
        <w:t>five academic researchers evaluated the content and face validity of t</w:t>
      </w:r>
      <w:r w:rsidR="002E2BE6" w:rsidRPr="003E7EE5">
        <w:rPr>
          <w:color w:val="000000" w:themeColor="text1"/>
          <w:szCs w:val="22"/>
        </w:rPr>
        <w:t>he measures selected (</w:t>
      </w:r>
      <w:proofErr w:type="spellStart"/>
      <w:r w:rsidR="002E2BE6" w:rsidRPr="003E7EE5">
        <w:rPr>
          <w:color w:val="000000" w:themeColor="text1"/>
          <w:szCs w:val="22"/>
        </w:rPr>
        <w:t>Netemeyer</w:t>
      </w:r>
      <w:proofErr w:type="spellEnd"/>
      <w:r w:rsidR="00F742D2" w:rsidRPr="003E7EE5">
        <w:rPr>
          <w:color w:val="000000" w:themeColor="text1"/>
          <w:szCs w:val="22"/>
        </w:rPr>
        <w:t xml:space="preserve"> </w:t>
      </w:r>
      <w:r w:rsidR="00F742D2" w:rsidRPr="003E7EE5">
        <w:rPr>
          <w:i/>
        </w:rPr>
        <w:t>et al.</w:t>
      </w:r>
      <w:r w:rsidR="00F742D2" w:rsidRPr="003E7EE5">
        <w:t xml:space="preserve">, </w:t>
      </w:r>
      <w:r w:rsidR="00DE434A" w:rsidRPr="003E7EE5">
        <w:rPr>
          <w:color w:val="000000" w:themeColor="text1"/>
          <w:szCs w:val="22"/>
        </w:rPr>
        <w:t xml:space="preserve">2003). Furthermore, we pretested the questionnaire </w:t>
      </w:r>
      <w:r w:rsidR="00AA74BB">
        <w:rPr>
          <w:color w:val="000000" w:themeColor="text1"/>
          <w:szCs w:val="22"/>
        </w:rPr>
        <w:t>in</w:t>
      </w:r>
      <w:r w:rsidR="00DE434A" w:rsidRPr="003E7EE5">
        <w:rPr>
          <w:color w:val="000000" w:themeColor="text1"/>
          <w:szCs w:val="22"/>
        </w:rPr>
        <w:t xml:space="preserve"> a large-scale pilot study to 85 postgraduate management students </w:t>
      </w:r>
      <w:r w:rsidR="00D94AD3" w:rsidRPr="003E7EE5">
        <w:rPr>
          <w:color w:val="000000" w:themeColor="text1"/>
          <w:szCs w:val="22"/>
        </w:rPr>
        <w:t xml:space="preserve">(see Appendix </w:t>
      </w:r>
      <w:r w:rsidR="00EB61AB" w:rsidRPr="003E7EE5">
        <w:rPr>
          <w:color w:val="000000" w:themeColor="text1"/>
          <w:szCs w:val="22"/>
        </w:rPr>
        <w:t>A</w:t>
      </w:r>
      <w:r w:rsidR="00D94AD3" w:rsidRPr="003E7EE5">
        <w:rPr>
          <w:color w:val="000000" w:themeColor="text1"/>
          <w:szCs w:val="22"/>
        </w:rPr>
        <w:t>1</w:t>
      </w:r>
      <w:r w:rsidR="00DE434A" w:rsidRPr="003E7EE5">
        <w:rPr>
          <w:color w:val="000000" w:themeColor="text1"/>
          <w:szCs w:val="22"/>
        </w:rPr>
        <w:t xml:space="preserve"> for respondents</w:t>
      </w:r>
      <w:r w:rsidR="00C405C8">
        <w:rPr>
          <w:color w:val="000000" w:themeColor="text1"/>
          <w:szCs w:val="22"/>
        </w:rPr>
        <w:t>’</w:t>
      </w:r>
      <w:r w:rsidR="00DE434A" w:rsidRPr="003E7EE5">
        <w:rPr>
          <w:color w:val="000000" w:themeColor="text1"/>
          <w:szCs w:val="22"/>
        </w:rPr>
        <w:t xml:space="preserve"> characteristics). </w:t>
      </w:r>
      <w:r w:rsidR="00DD52C9" w:rsidRPr="003E7EE5">
        <w:rPr>
          <w:color w:val="000000" w:themeColor="text1"/>
          <w:szCs w:val="22"/>
        </w:rPr>
        <w:t>Finally,</w:t>
      </w:r>
      <w:r w:rsidR="00913F56" w:rsidRPr="003E7EE5">
        <w:rPr>
          <w:color w:val="000000" w:themeColor="text1"/>
          <w:szCs w:val="22"/>
        </w:rPr>
        <w:t xml:space="preserve"> </w:t>
      </w:r>
      <w:r w:rsidR="008948E8" w:rsidRPr="003E7EE5">
        <w:rPr>
          <w:color w:val="000000" w:themeColor="text1"/>
          <w:szCs w:val="22"/>
        </w:rPr>
        <w:t xml:space="preserve">we undertook </w:t>
      </w:r>
      <w:r w:rsidR="00396688" w:rsidRPr="003E7EE5">
        <w:rPr>
          <w:color w:val="000000" w:themeColor="text1"/>
          <w:szCs w:val="22"/>
        </w:rPr>
        <w:t xml:space="preserve">a large </w:t>
      </w:r>
      <w:r w:rsidR="008948E8" w:rsidRPr="003E7EE5">
        <w:rPr>
          <w:color w:val="000000" w:themeColor="text1"/>
          <w:szCs w:val="22"/>
        </w:rPr>
        <w:t xml:space="preserve">quantitative study </w:t>
      </w:r>
      <w:r w:rsidR="00637800" w:rsidRPr="003E7EE5">
        <w:rPr>
          <w:color w:val="000000" w:themeColor="text1"/>
          <w:szCs w:val="22"/>
        </w:rPr>
        <w:t xml:space="preserve">(presented </w:t>
      </w:r>
      <w:r w:rsidR="00AA74BB">
        <w:rPr>
          <w:color w:val="000000" w:themeColor="text1"/>
          <w:szCs w:val="22"/>
        </w:rPr>
        <w:t>next</w:t>
      </w:r>
      <w:r w:rsidR="00637800" w:rsidRPr="003E7EE5">
        <w:rPr>
          <w:color w:val="000000" w:themeColor="text1"/>
          <w:szCs w:val="22"/>
        </w:rPr>
        <w:t xml:space="preserve">) </w:t>
      </w:r>
      <w:r w:rsidR="008948E8" w:rsidRPr="003E7EE5">
        <w:rPr>
          <w:color w:val="000000" w:themeColor="text1"/>
          <w:szCs w:val="22"/>
        </w:rPr>
        <w:t xml:space="preserve">to test our hypotheses. </w:t>
      </w:r>
      <w:r w:rsidR="00AA74BB">
        <w:rPr>
          <w:color w:val="000000" w:themeColor="text1"/>
          <w:szCs w:val="22"/>
        </w:rPr>
        <w:t>W</w:t>
      </w:r>
      <w:r w:rsidR="00AA74BB" w:rsidRPr="003E7EE5">
        <w:rPr>
          <w:color w:val="000000" w:themeColor="text1"/>
          <w:szCs w:val="22"/>
        </w:rPr>
        <w:t xml:space="preserve">e later supplemented </w:t>
      </w:r>
      <w:r w:rsidR="00AA74BB">
        <w:rPr>
          <w:color w:val="000000" w:themeColor="text1"/>
          <w:szCs w:val="22"/>
        </w:rPr>
        <w:t>the</w:t>
      </w:r>
      <w:r w:rsidR="004B018A" w:rsidRPr="003E7EE5">
        <w:rPr>
          <w:color w:val="000000" w:themeColor="text1"/>
          <w:szCs w:val="22"/>
        </w:rPr>
        <w:t xml:space="preserve"> quantitative subjective data </w:t>
      </w:r>
      <w:r w:rsidR="00651729" w:rsidRPr="003E7EE5">
        <w:rPr>
          <w:color w:val="000000" w:themeColor="text1"/>
          <w:szCs w:val="22"/>
        </w:rPr>
        <w:t>with objective data dra</w:t>
      </w:r>
      <w:r w:rsidR="004B018A" w:rsidRPr="003E7EE5">
        <w:rPr>
          <w:color w:val="000000" w:themeColor="text1"/>
          <w:szCs w:val="22"/>
        </w:rPr>
        <w:t xml:space="preserve">wn from </w:t>
      </w:r>
      <w:r w:rsidR="00667DF0" w:rsidRPr="003E7EE5">
        <w:rPr>
          <w:color w:val="000000" w:themeColor="text1"/>
          <w:szCs w:val="22"/>
        </w:rPr>
        <w:t>a</w:t>
      </w:r>
      <w:r w:rsidR="004B018A" w:rsidRPr="003E7EE5">
        <w:rPr>
          <w:color w:val="000000" w:themeColor="text1"/>
          <w:szCs w:val="22"/>
        </w:rPr>
        <w:t xml:space="preserve"> Gallup’s </w:t>
      </w:r>
      <w:bookmarkStart w:id="0" w:name="_Hlk104896421"/>
      <w:r w:rsidR="004B018A" w:rsidRPr="003E7EE5">
        <w:rPr>
          <w:color w:val="000000" w:themeColor="text1"/>
          <w:szCs w:val="22"/>
        </w:rPr>
        <w:t>subsidiary</w:t>
      </w:r>
      <w:bookmarkEnd w:id="0"/>
      <w:r w:rsidR="004B018A" w:rsidRPr="003E7EE5">
        <w:rPr>
          <w:color w:val="000000" w:themeColor="text1"/>
          <w:szCs w:val="22"/>
        </w:rPr>
        <w:t xml:space="preserve"> in Greece for further analyses.</w:t>
      </w:r>
    </w:p>
    <w:p w14:paraId="2DBBAACD" w14:textId="550009A4" w:rsidR="00396688" w:rsidRPr="003E7EE5" w:rsidRDefault="00396688" w:rsidP="005E1791">
      <w:pPr>
        <w:spacing w:line="480" w:lineRule="auto"/>
        <w:outlineLvl w:val="0"/>
        <w:rPr>
          <w:i/>
          <w:color w:val="000000" w:themeColor="text1"/>
        </w:rPr>
      </w:pPr>
      <w:r w:rsidRPr="003E7EE5">
        <w:rPr>
          <w:i/>
          <w:color w:val="000000" w:themeColor="text1"/>
        </w:rPr>
        <w:t>Sampling</w:t>
      </w:r>
    </w:p>
    <w:p w14:paraId="13943919" w14:textId="178BE39D" w:rsidR="00396688" w:rsidRPr="003E7EE5" w:rsidRDefault="00DD52C9" w:rsidP="005E1791">
      <w:pPr>
        <w:widowControl w:val="0"/>
        <w:autoSpaceDE w:val="0"/>
        <w:autoSpaceDN w:val="0"/>
        <w:adjustRightInd w:val="0"/>
        <w:spacing w:line="480" w:lineRule="auto"/>
        <w:rPr>
          <w:color w:val="000000" w:themeColor="text1"/>
          <w:szCs w:val="22"/>
        </w:rPr>
      </w:pPr>
      <w:r w:rsidRPr="003E7EE5">
        <w:rPr>
          <w:color w:val="000000" w:themeColor="text1"/>
        </w:rPr>
        <w:t>We used</w:t>
      </w:r>
      <w:r w:rsidR="00396688" w:rsidRPr="003E7EE5">
        <w:rPr>
          <w:color w:val="000000" w:themeColor="text1"/>
        </w:rPr>
        <w:t xml:space="preserve"> </w:t>
      </w:r>
      <w:r w:rsidR="006E4AF0" w:rsidRPr="003E7EE5">
        <w:rPr>
          <w:color w:val="000000" w:themeColor="text1"/>
        </w:rPr>
        <w:t xml:space="preserve">a </w:t>
      </w:r>
      <w:r w:rsidR="00396688" w:rsidRPr="003E7EE5">
        <w:rPr>
          <w:color w:val="000000" w:themeColor="text1"/>
        </w:rPr>
        <w:t xml:space="preserve">list of 1622 firms from the database of a Gallup subsidiary in Greece as </w:t>
      </w:r>
      <w:r w:rsidR="00AA74BB">
        <w:rPr>
          <w:color w:val="000000" w:themeColor="text1"/>
        </w:rPr>
        <w:t xml:space="preserve">the </w:t>
      </w:r>
      <w:r w:rsidR="00396688" w:rsidRPr="003E7EE5">
        <w:rPr>
          <w:color w:val="000000" w:themeColor="text1"/>
        </w:rPr>
        <w:t>sampling frame. We focused on five industry groupings for generalizability purposes (i.e.</w:t>
      </w:r>
      <w:r w:rsidR="006E4AF0" w:rsidRPr="003E7EE5">
        <w:rPr>
          <w:color w:val="000000" w:themeColor="text1"/>
        </w:rPr>
        <w:t>,</w:t>
      </w:r>
      <w:r w:rsidR="00396688" w:rsidRPr="003E7EE5">
        <w:rPr>
          <w:color w:val="000000" w:themeColor="text1"/>
        </w:rPr>
        <w:t xml:space="preserve"> </w:t>
      </w:r>
      <w:r w:rsidR="00AA74BB">
        <w:rPr>
          <w:color w:val="000000" w:themeColor="text1"/>
        </w:rPr>
        <w:t>f</w:t>
      </w:r>
      <w:r w:rsidR="00396688" w:rsidRPr="003E7EE5">
        <w:rPr>
          <w:color w:val="000000" w:themeColor="text1"/>
        </w:rPr>
        <w:t>ast-</w:t>
      </w:r>
      <w:r w:rsidR="00AA74BB">
        <w:rPr>
          <w:color w:val="000000" w:themeColor="text1"/>
        </w:rPr>
        <w:t>m</w:t>
      </w:r>
      <w:r w:rsidR="00396688" w:rsidRPr="003E7EE5">
        <w:rPr>
          <w:color w:val="000000" w:themeColor="text1"/>
        </w:rPr>
        <w:t xml:space="preserve">oving </w:t>
      </w:r>
      <w:r w:rsidR="00AA74BB">
        <w:rPr>
          <w:color w:val="000000" w:themeColor="text1"/>
        </w:rPr>
        <w:t>c</w:t>
      </w:r>
      <w:r w:rsidR="00396688" w:rsidRPr="003E7EE5">
        <w:rPr>
          <w:color w:val="000000" w:themeColor="text1"/>
        </w:rPr>
        <w:t xml:space="preserve">onsumer </w:t>
      </w:r>
      <w:r w:rsidR="00AA74BB">
        <w:rPr>
          <w:color w:val="000000" w:themeColor="text1"/>
        </w:rPr>
        <w:t>g</w:t>
      </w:r>
      <w:r w:rsidR="00396688" w:rsidRPr="003E7EE5">
        <w:rPr>
          <w:color w:val="000000" w:themeColor="text1"/>
        </w:rPr>
        <w:t>oods</w:t>
      </w:r>
      <w:r w:rsidR="00754921">
        <w:rPr>
          <w:color w:val="000000" w:themeColor="text1"/>
        </w:rPr>
        <w:t xml:space="preserve"> [</w:t>
      </w:r>
      <w:r w:rsidR="00754921" w:rsidRPr="003E7EE5">
        <w:rPr>
          <w:szCs w:val="32"/>
        </w:rPr>
        <w:t>FMCG</w:t>
      </w:r>
      <w:r w:rsidR="00754921">
        <w:rPr>
          <w:szCs w:val="32"/>
        </w:rPr>
        <w:t>]</w:t>
      </w:r>
      <w:r w:rsidR="00396688" w:rsidRPr="003E7EE5">
        <w:rPr>
          <w:color w:val="000000" w:themeColor="text1"/>
        </w:rPr>
        <w:t xml:space="preserve">, </w:t>
      </w:r>
      <w:r w:rsidR="00AA74BB">
        <w:rPr>
          <w:color w:val="000000" w:themeColor="text1"/>
        </w:rPr>
        <w:t>i</w:t>
      </w:r>
      <w:r w:rsidR="00396688" w:rsidRPr="003E7EE5">
        <w:rPr>
          <w:color w:val="000000" w:themeColor="text1"/>
        </w:rPr>
        <w:t xml:space="preserve">ndustrial </w:t>
      </w:r>
      <w:r w:rsidR="00AA74BB">
        <w:rPr>
          <w:color w:val="000000" w:themeColor="text1"/>
        </w:rPr>
        <w:t>p</w:t>
      </w:r>
      <w:r w:rsidR="00396688" w:rsidRPr="003E7EE5">
        <w:rPr>
          <w:color w:val="000000" w:themeColor="text1"/>
        </w:rPr>
        <w:t xml:space="preserve">roducts, </w:t>
      </w:r>
      <w:r w:rsidR="00AA74BB">
        <w:rPr>
          <w:color w:val="000000" w:themeColor="text1"/>
        </w:rPr>
        <w:t>s</w:t>
      </w:r>
      <w:r w:rsidR="00396688" w:rsidRPr="003E7EE5">
        <w:rPr>
          <w:color w:val="000000" w:themeColor="text1"/>
        </w:rPr>
        <w:t xml:space="preserve">ervices, </w:t>
      </w:r>
      <w:r w:rsidR="00AA74BB">
        <w:rPr>
          <w:color w:val="000000" w:themeColor="text1"/>
        </w:rPr>
        <w:t>w</w:t>
      </w:r>
      <w:r w:rsidR="00396688" w:rsidRPr="003E7EE5">
        <w:rPr>
          <w:color w:val="000000" w:themeColor="text1"/>
        </w:rPr>
        <w:t>holesalers</w:t>
      </w:r>
      <w:r w:rsidR="00AA74BB">
        <w:rPr>
          <w:color w:val="000000" w:themeColor="text1"/>
        </w:rPr>
        <w:t>–r</w:t>
      </w:r>
      <w:r w:rsidR="00396688" w:rsidRPr="003E7EE5">
        <w:rPr>
          <w:color w:val="000000" w:themeColor="text1"/>
        </w:rPr>
        <w:t>etai</w:t>
      </w:r>
      <w:r w:rsidR="00C04E62" w:rsidRPr="003E7EE5">
        <w:rPr>
          <w:color w:val="000000" w:themeColor="text1"/>
        </w:rPr>
        <w:t>lers</w:t>
      </w:r>
      <w:r w:rsidR="00AA74BB">
        <w:rPr>
          <w:color w:val="000000" w:themeColor="text1"/>
        </w:rPr>
        <w:t>,</w:t>
      </w:r>
      <w:r w:rsidR="00C04E62" w:rsidRPr="003E7EE5">
        <w:rPr>
          <w:color w:val="000000" w:themeColor="text1"/>
        </w:rPr>
        <w:t xml:space="preserve"> and </w:t>
      </w:r>
      <w:r w:rsidR="00AA74BB">
        <w:rPr>
          <w:color w:val="000000" w:themeColor="text1"/>
        </w:rPr>
        <w:t>r</w:t>
      </w:r>
      <w:r w:rsidR="00C04E62" w:rsidRPr="003E7EE5">
        <w:rPr>
          <w:color w:val="000000" w:themeColor="text1"/>
        </w:rPr>
        <w:t>emaking</w:t>
      </w:r>
      <w:r w:rsidR="00AA74BB">
        <w:rPr>
          <w:color w:val="000000" w:themeColor="text1"/>
        </w:rPr>
        <w:t>–c</w:t>
      </w:r>
      <w:r w:rsidR="00C04E62" w:rsidRPr="003E7EE5">
        <w:rPr>
          <w:color w:val="000000" w:themeColor="text1"/>
        </w:rPr>
        <w:t>onstruction</w:t>
      </w:r>
      <w:r w:rsidR="00AA74BB">
        <w:rPr>
          <w:color w:val="000000" w:themeColor="text1"/>
        </w:rPr>
        <w:t>–o</w:t>
      </w:r>
      <w:r w:rsidR="00C04E62" w:rsidRPr="003E7EE5">
        <w:rPr>
          <w:color w:val="000000" w:themeColor="text1"/>
        </w:rPr>
        <w:t xml:space="preserve">ther). </w:t>
      </w:r>
      <w:r w:rsidR="00396688" w:rsidRPr="003E7EE5">
        <w:rPr>
          <w:color w:val="000000" w:themeColor="text1"/>
        </w:rPr>
        <w:t>A representative proportion from each sector (</w:t>
      </w:r>
      <w:r w:rsidR="00AA74BB">
        <w:rPr>
          <w:color w:val="000000" w:themeColor="text1"/>
        </w:rPr>
        <w:t>business-to-business</w:t>
      </w:r>
      <w:r w:rsidR="00396688" w:rsidRPr="003E7EE5">
        <w:rPr>
          <w:color w:val="000000" w:themeColor="text1"/>
        </w:rPr>
        <w:t xml:space="preserve"> and </w:t>
      </w:r>
      <w:r w:rsidR="00AA74BB">
        <w:rPr>
          <w:color w:val="000000" w:themeColor="text1"/>
        </w:rPr>
        <w:t>business-to-consumer</w:t>
      </w:r>
      <w:r w:rsidR="00396688" w:rsidRPr="003E7EE5">
        <w:rPr>
          <w:color w:val="000000" w:themeColor="text1"/>
        </w:rPr>
        <w:t>) was desirable</w:t>
      </w:r>
      <w:r w:rsidR="00AA74BB">
        <w:rPr>
          <w:color w:val="000000" w:themeColor="text1"/>
        </w:rPr>
        <w:t>;</w:t>
      </w:r>
      <w:r w:rsidR="00396688" w:rsidRPr="003E7EE5">
        <w:rPr>
          <w:color w:val="000000" w:themeColor="text1"/>
        </w:rPr>
        <w:t xml:space="preserve"> </w:t>
      </w:r>
      <w:r w:rsidR="00AA74BB">
        <w:rPr>
          <w:color w:val="000000" w:themeColor="text1"/>
        </w:rPr>
        <w:t xml:space="preserve">we also included </w:t>
      </w:r>
      <w:r w:rsidR="00396688" w:rsidRPr="003E7EE5">
        <w:rPr>
          <w:color w:val="000000" w:themeColor="text1"/>
        </w:rPr>
        <w:t xml:space="preserve">large firms with a turnover </w:t>
      </w:r>
      <w:r w:rsidR="00075CF7" w:rsidRPr="003E7EE5">
        <w:rPr>
          <w:color w:val="000000" w:themeColor="text1"/>
        </w:rPr>
        <w:t xml:space="preserve">higher than </w:t>
      </w:r>
      <w:r w:rsidR="00AA74BB">
        <w:rPr>
          <w:color w:val="000000" w:themeColor="text1"/>
        </w:rPr>
        <w:t>€</w:t>
      </w:r>
      <w:r w:rsidR="00396688" w:rsidRPr="003E7EE5">
        <w:rPr>
          <w:color w:val="000000" w:themeColor="text1"/>
        </w:rPr>
        <w:t xml:space="preserve">10m in the study population to guarantee the existence of some form of environmental policy. </w:t>
      </w:r>
      <w:r w:rsidR="00AA74BB">
        <w:rPr>
          <w:color w:val="000000" w:themeColor="text1"/>
        </w:rPr>
        <w:t>Doing so</w:t>
      </w:r>
      <w:r w:rsidR="004B44B9" w:rsidRPr="003E7EE5">
        <w:rPr>
          <w:bCs/>
        </w:rPr>
        <w:t xml:space="preserve"> is also in line with research on strategy that focuses on large firms, given that smaller firms are less likely to invest money in green strategies (</w:t>
      </w:r>
      <w:proofErr w:type="spellStart"/>
      <w:r w:rsidR="004B44B9" w:rsidRPr="003E7EE5">
        <w:rPr>
          <w:bCs/>
        </w:rPr>
        <w:t>Siedschlag</w:t>
      </w:r>
      <w:proofErr w:type="spellEnd"/>
      <w:r w:rsidR="004B44B9" w:rsidRPr="003E7EE5">
        <w:rPr>
          <w:bCs/>
        </w:rPr>
        <w:t xml:space="preserve"> </w:t>
      </w:r>
      <w:r w:rsidR="00AA74BB">
        <w:rPr>
          <w:bCs/>
        </w:rPr>
        <w:t>and</w:t>
      </w:r>
      <w:r w:rsidR="004B44B9" w:rsidRPr="003E7EE5">
        <w:rPr>
          <w:bCs/>
        </w:rPr>
        <w:t xml:space="preserve"> Yan, 2021). </w:t>
      </w:r>
      <w:r w:rsidR="00AA74BB">
        <w:rPr>
          <w:bCs/>
        </w:rPr>
        <w:t>We selected a</w:t>
      </w:r>
      <w:r w:rsidR="00396688" w:rsidRPr="003E7EE5">
        <w:rPr>
          <w:color w:val="000000" w:themeColor="text1"/>
        </w:rPr>
        <w:t xml:space="preserve"> stratified sample of 600 </w:t>
      </w:r>
      <w:r w:rsidR="00D11038" w:rsidRPr="003E7EE5">
        <w:rPr>
          <w:color w:val="000000" w:themeColor="text1"/>
        </w:rPr>
        <w:t>companies</w:t>
      </w:r>
      <w:r w:rsidR="00396688" w:rsidRPr="003E7EE5">
        <w:rPr>
          <w:color w:val="000000" w:themeColor="text1"/>
        </w:rPr>
        <w:t>. All companies were first approached through</w:t>
      </w:r>
      <w:r w:rsidR="00396688" w:rsidRPr="003E7EE5">
        <w:rPr>
          <w:color w:val="000000" w:themeColor="text1"/>
          <w:szCs w:val="22"/>
        </w:rPr>
        <w:t xml:space="preserve"> telephone contact to </w:t>
      </w:r>
      <w:r w:rsidR="00AA74BB">
        <w:rPr>
          <w:color w:val="000000" w:themeColor="text1"/>
          <w:szCs w:val="22"/>
        </w:rPr>
        <w:t>gauge</w:t>
      </w:r>
      <w:r w:rsidR="00396688" w:rsidRPr="003E7EE5">
        <w:rPr>
          <w:color w:val="000000" w:themeColor="text1"/>
          <w:szCs w:val="22"/>
        </w:rPr>
        <w:t xml:space="preserve"> their intention to participate in the study, confirm that </w:t>
      </w:r>
      <w:r w:rsidR="00261E55" w:rsidRPr="003E7EE5">
        <w:rPr>
          <w:color w:val="000000" w:themeColor="text1"/>
          <w:szCs w:val="22"/>
        </w:rPr>
        <w:t xml:space="preserve">they </w:t>
      </w:r>
      <w:r w:rsidR="00396688" w:rsidRPr="003E7EE5">
        <w:rPr>
          <w:color w:val="000000" w:themeColor="text1"/>
          <w:szCs w:val="22"/>
        </w:rPr>
        <w:t>are still in operation</w:t>
      </w:r>
      <w:r w:rsidR="00AA74BB">
        <w:rPr>
          <w:color w:val="000000" w:themeColor="text1"/>
          <w:szCs w:val="22"/>
        </w:rPr>
        <w:t>,</w:t>
      </w:r>
      <w:r w:rsidR="00396688" w:rsidRPr="003E7EE5">
        <w:rPr>
          <w:color w:val="000000" w:themeColor="text1"/>
          <w:szCs w:val="22"/>
        </w:rPr>
        <w:t xml:space="preserve"> and identify key informants.</w:t>
      </w:r>
      <w:r w:rsidR="006C1DE7" w:rsidRPr="003E7EE5">
        <w:rPr>
          <w:color w:val="000000" w:themeColor="text1"/>
          <w:szCs w:val="22"/>
        </w:rPr>
        <w:t xml:space="preserve"> We scrutinized all respondents through telephone and email contact to confirm that they are knowledg</w:t>
      </w:r>
      <w:r w:rsidR="00BE1328">
        <w:rPr>
          <w:color w:val="000000" w:themeColor="text1"/>
          <w:szCs w:val="22"/>
        </w:rPr>
        <w:t>e</w:t>
      </w:r>
      <w:r w:rsidR="006C1DE7" w:rsidRPr="003E7EE5">
        <w:rPr>
          <w:color w:val="000000" w:themeColor="text1"/>
          <w:szCs w:val="22"/>
        </w:rPr>
        <w:t>able.</w:t>
      </w:r>
      <w:r w:rsidR="00396688" w:rsidRPr="003E7EE5">
        <w:rPr>
          <w:color w:val="000000" w:themeColor="text1"/>
        </w:rPr>
        <w:t xml:space="preserve"> </w:t>
      </w:r>
      <w:r w:rsidR="00AA74BB">
        <w:rPr>
          <w:color w:val="000000" w:themeColor="text1"/>
        </w:rPr>
        <w:t>We conducted an</w:t>
      </w:r>
      <w:r w:rsidR="00396688" w:rsidRPr="003E7EE5">
        <w:rPr>
          <w:color w:val="000000" w:themeColor="text1"/>
          <w:szCs w:val="22"/>
        </w:rPr>
        <w:t xml:space="preserve"> online survey for data collection, through which </w:t>
      </w:r>
      <w:r w:rsidR="00AA74BB">
        <w:rPr>
          <w:color w:val="000000" w:themeColor="text1"/>
          <w:szCs w:val="22"/>
        </w:rPr>
        <w:t xml:space="preserve">we distributed </w:t>
      </w:r>
      <w:r w:rsidR="00396688" w:rsidRPr="003E7EE5">
        <w:rPr>
          <w:color w:val="000000" w:themeColor="text1"/>
          <w:szCs w:val="22"/>
        </w:rPr>
        <w:t>questionnaires to CEOs</w:t>
      </w:r>
      <w:r w:rsidR="00460BE8">
        <w:rPr>
          <w:color w:val="000000" w:themeColor="text1"/>
          <w:szCs w:val="22"/>
        </w:rPr>
        <w:t xml:space="preserve"> or</w:t>
      </w:r>
      <w:r w:rsidR="00396688" w:rsidRPr="003E7EE5">
        <w:rPr>
          <w:color w:val="000000" w:themeColor="text1"/>
          <w:szCs w:val="22"/>
        </w:rPr>
        <w:t xml:space="preserve"> </w:t>
      </w:r>
      <w:r w:rsidR="00AA74BB">
        <w:rPr>
          <w:color w:val="000000" w:themeColor="text1"/>
          <w:szCs w:val="22"/>
        </w:rPr>
        <w:t>m</w:t>
      </w:r>
      <w:r w:rsidR="00396688" w:rsidRPr="003E7EE5">
        <w:rPr>
          <w:color w:val="000000" w:themeColor="text1"/>
          <w:szCs w:val="22"/>
        </w:rPr>
        <w:t xml:space="preserve">arketing or </w:t>
      </w:r>
      <w:r w:rsidR="00AA74BB">
        <w:rPr>
          <w:color w:val="000000" w:themeColor="text1"/>
          <w:szCs w:val="22"/>
        </w:rPr>
        <w:t>s</w:t>
      </w:r>
      <w:r w:rsidR="00396688" w:rsidRPr="003E7EE5">
        <w:rPr>
          <w:color w:val="000000" w:themeColor="text1"/>
          <w:szCs w:val="22"/>
        </w:rPr>
        <w:t xml:space="preserve">ustainability/CSR managers from the selected firms </w:t>
      </w:r>
      <w:r w:rsidR="00D94AD3" w:rsidRPr="003E7EE5">
        <w:rPr>
          <w:color w:val="000000" w:themeColor="text1"/>
          <w:szCs w:val="22"/>
        </w:rPr>
        <w:t xml:space="preserve">(see Appendix </w:t>
      </w:r>
      <w:r w:rsidR="00EB61AB" w:rsidRPr="003E7EE5">
        <w:rPr>
          <w:color w:val="000000" w:themeColor="text1"/>
          <w:szCs w:val="22"/>
        </w:rPr>
        <w:t>A</w:t>
      </w:r>
      <w:r w:rsidR="00D94AD3" w:rsidRPr="003E7EE5">
        <w:rPr>
          <w:color w:val="000000" w:themeColor="text1"/>
          <w:szCs w:val="22"/>
        </w:rPr>
        <w:t>2</w:t>
      </w:r>
      <w:r w:rsidR="00396688" w:rsidRPr="003E7EE5">
        <w:rPr>
          <w:color w:val="000000" w:themeColor="text1"/>
          <w:szCs w:val="22"/>
        </w:rPr>
        <w:t xml:space="preserve"> for sample characteristics). </w:t>
      </w:r>
      <w:r w:rsidR="00AA74BB">
        <w:rPr>
          <w:color w:val="000000" w:themeColor="text1"/>
          <w:szCs w:val="22"/>
        </w:rPr>
        <w:t xml:space="preserve">We </w:t>
      </w:r>
      <w:r w:rsidR="00AA74BB" w:rsidRPr="003E7EE5">
        <w:rPr>
          <w:szCs w:val="22"/>
        </w:rPr>
        <w:t xml:space="preserve">then sent </w:t>
      </w:r>
      <w:r w:rsidR="00AA74BB">
        <w:rPr>
          <w:szCs w:val="22"/>
        </w:rPr>
        <w:t>a</w:t>
      </w:r>
      <w:r w:rsidR="00396688" w:rsidRPr="003E7EE5">
        <w:rPr>
          <w:color w:val="000000" w:themeColor="text1"/>
          <w:szCs w:val="22"/>
        </w:rPr>
        <w:t xml:space="preserve"> f</w:t>
      </w:r>
      <w:r w:rsidR="00396688" w:rsidRPr="003E7EE5">
        <w:rPr>
          <w:szCs w:val="22"/>
        </w:rPr>
        <w:t xml:space="preserve">ormal </w:t>
      </w:r>
      <w:r w:rsidR="00075CF7" w:rsidRPr="003E7EE5">
        <w:rPr>
          <w:szCs w:val="22"/>
        </w:rPr>
        <w:t xml:space="preserve">cover </w:t>
      </w:r>
      <w:r w:rsidR="00396688" w:rsidRPr="003E7EE5">
        <w:rPr>
          <w:szCs w:val="22"/>
        </w:rPr>
        <w:t xml:space="preserve">letter to the personal e-mail of each </w:t>
      </w:r>
      <w:r w:rsidR="00AA74BB" w:rsidRPr="003E7EE5">
        <w:rPr>
          <w:color w:val="000000" w:themeColor="text1"/>
          <w:szCs w:val="22"/>
        </w:rPr>
        <w:t>respondent</w:t>
      </w:r>
      <w:r w:rsidR="00396688" w:rsidRPr="003E7EE5">
        <w:rPr>
          <w:szCs w:val="22"/>
        </w:rPr>
        <w:t xml:space="preserve">, providing a brief introduction and a general explanation of the study. </w:t>
      </w:r>
      <w:r w:rsidR="00AA74BB">
        <w:rPr>
          <w:szCs w:val="22"/>
        </w:rPr>
        <w:t xml:space="preserve">To </w:t>
      </w:r>
      <w:r w:rsidR="00541160" w:rsidRPr="003E7EE5">
        <w:rPr>
          <w:szCs w:val="22"/>
        </w:rPr>
        <w:lastRenderedPageBreak/>
        <w:t>incentivize respondents</w:t>
      </w:r>
      <w:r w:rsidR="00396688" w:rsidRPr="003E7EE5">
        <w:rPr>
          <w:szCs w:val="22"/>
        </w:rPr>
        <w:t xml:space="preserve">, we </w:t>
      </w:r>
      <w:r w:rsidR="00D72E76" w:rsidRPr="003E7EE5">
        <w:rPr>
          <w:szCs w:val="22"/>
        </w:rPr>
        <w:t>offered</w:t>
      </w:r>
      <w:r w:rsidR="00396688" w:rsidRPr="003E7EE5">
        <w:rPr>
          <w:szCs w:val="22"/>
        </w:rPr>
        <w:t xml:space="preserve"> to send a </w:t>
      </w:r>
      <w:r w:rsidR="00261E55" w:rsidRPr="003E7EE5">
        <w:rPr>
          <w:szCs w:val="22"/>
        </w:rPr>
        <w:t>short</w:t>
      </w:r>
      <w:r w:rsidR="00396688" w:rsidRPr="003E7EE5">
        <w:rPr>
          <w:szCs w:val="22"/>
        </w:rPr>
        <w:t xml:space="preserve"> presentation of the </w:t>
      </w:r>
      <w:proofErr w:type="gramStart"/>
      <w:r w:rsidR="00396688" w:rsidRPr="003E7EE5">
        <w:rPr>
          <w:szCs w:val="22"/>
        </w:rPr>
        <w:t>final results</w:t>
      </w:r>
      <w:proofErr w:type="gramEnd"/>
      <w:r w:rsidR="00396688" w:rsidRPr="003E7EE5">
        <w:rPr>
          <w:szCs w:val="22"/>
        </w:rPr>
        <w:t xml:space="preserve">. </w:t>
      </w:r>
      <w:r w:rsidR="00AA74BB">
        <w:rPr>
          <w:color w:val="000000" w:themeColor="text1"/>
          <w:szCs w:val="22"/>
        </w:rPr>
        <w:t>Of</w:t>
      </w:r>
      <w:r w:rsidR="00396688" w:rsidRPr="003E7EE5">
        <w:rPr>
          <w:color w:val="000000" w:themeColor="text1"/>
          <w:szCs w:val="22"/>
        </w:rPr>
        <w:t xml:space="preserve"> the 600 questionnaires sent, 281 questionnaires were returned, but </w:t>
      </w:r>
      <w:r w:rsidR="00AA74BB">
        <w:rPr>
          <w:color w:val="000000" w:themeColor="text1"/>
          <w:szCs w:val="22"/>
        </w:rPr>
        <w:t xml:space="preserve">we dropped </w:t>
      </w:r>
      <w:r w:rsidR="00396688" w:rsidRPr="003E7EE5">
        <w:rPr>
          <w:color w:val="000000" w:themeColor="text1"/>
          <w:szCs w:val="22"/>
        </w:rPr>
        <w:t xml:space="preserve">36 because of incomplete data. </w:t>
      </w:r>
      <w:r w:rsidR="00B37F8E" w:rsidRPr="003E7EE5">
        <w:rPr>
          <w:color w:val="000000" w:themeColor="text1"/>
          <w:szCs w:val="22"/>
        </w:rPr>
        <w:t>The remaining</w:t>
      </w:r>
      <w:r w:rsidR="00396688" w:rsidRPr="003E7EE5">
        <w:rPr>
          <w:color w:val="000000" w:themeColor="text1"/>
          <w:szCs w:val="22"/>
        </w:rPr>
        <w:t xml:space="preserve"> 245 usable questionnaires represented a 40</w:t>
      </w:r>
      <w:r w:rsidR="00075CF7" w:rsidRPr="003E7EE5">
        <w:rPr>
          <w:color w:val="000000" w:themeColor="text1"/>
          <w:szCs w:val="22"/>
        </w:rPr>
        <w:t>.</w:t>
      </w:r>
      <w:r w:rsidR="00396688" w:rsidRPr="003E7EE5">
        <w:rPr>
          <w:color w:val="000000" w:themeColor="text1"/>
          <w:szCs w:val="22"/>
        </w:rPr>
        <w:t xml:space="preserve">8% response rate. </w:t>
      </w:r>
    </w:p>
    <w:p w14:paraId="18F5D392" w14:textId="22465672" w:rsidR="000858C0" w:rsidRPr="003E7EE5" w:rsidRDefault="000858C0" w:rsidP="005E1791">
      <w:pPr>
        <w:widowControl w:val="0"/>
        <w:autoSpaceDE w:val="0"/>
        <w:autoSpaceDN w:val="0"/>
        <w:adjustRightInd w:val="0"/>
        <w:spacing w:line="480" w:lineRule="auto"/>
        <w:ind w:firstLine="720"/>
        <w:rPr>
          <w:color w:val="000000" w:themeColor="text1"/>
          <w:szCs w:val="22"/>
        </w:rPr>
      </w:pPr>
      <w:r w:rsidRPr="003E7EE5">
        <w:rPr>
          <w:color w:val="000000" w:themeColor="text1"/>
          <w:szCs w:val="22"/>
        </w:rPr>
        <w:t xml:space="preserve">At a later stage, for further analyses purposes, we obtained access to the </w:t>
      </w:r>
      <w:r w:rsidR="00667DF0" w:rsidRPr="003E7EE5">
        <w:rPr>
          <w:color w:val="000000" w:themeColor="text1"/>
          <w:szCs w:val="22"/>
        </w:rPr>
        <w:t xml:space="preserve">ICAP-CRIF company </w:t>
      </w:r>
      <w:r w:rsidRPr="003E7EE5">
        <w:rPr>
          <w:color w:val="000000" w:themeColor="text1"/>
          <w:szCs w:val="22"/>
        </w:rPr>
        <w:t>database in Greece</w:t>
      </w:r>
      <w:r w:rsidR="00AA74BB">
        <w:rPr>
          <w:color w:val="000000" w:themeColor="text1"/>
          <w:szCs w:val="22"/>
        </w:rPr>
        <w:t>, which</w:t>
      </w:r>
      <w:r w:rsidRPr="003E7EE5">
        <w:rPr>
          <w:color w:val="000000" w:themeColor="text1"/>
          <w:szCs w:val="22"/>
        </w:rPr>
        <w:t xml:space="preserve"> contain</w:t>
      </w:r>
      <w:r w:rsidR="00AA74BB">
        <w:rPr>
          <w:color w:val="000000" w:themeColor="text1"/>
          <w:szCs w:val="22"/>
        </w:rPr>
        <w:t>s</w:t>
      </w:r>
      <w:r w:rsidRPr="003E7EE5">
        <w:rPr>
          <w:color w:val="000000" w:themeColor="text1"/>
          <w:szCs w:val="22"/>
        </w:rPr>
        <w:t xml:space="preserve"> objective financial performance data for a significant proportion of companies </w:t>
      </w:r>
      <w:r w:rsidR="00D11038" w:rsidRPr="003E7EE5">
        <w:rPr>
          <w:color w:val="000000" w:themeColor="text1"/>
          <w:szCs w:val="22"/>
        </w:rPr>
        <w:t xml:space="preserve">operating </w:t>
      </w:r>
      <w:r w:rsidRPr="003E7EE5">
        <w:rPr>
          <w:color w:val="000000" w:themeColor="text1"/>
          <w:szCs w:val="22"/>
        </w:rPr>
        <w:t>in Greece. Through this process, we managed to collect objective performance data</w:t>
      </w:r>
      <w:r w:rsidR="00AA74BB">
        <w:rPr>
          <w:color w:val="000000" w:themeColor="text1"/>
          <w:szCs w:val="22"/>
        </w:rPr>
        <w:t>, such as</w:t>
      </w:r>
      <w:r w:rsidRPr="003E7EE5">
        <w:rPr>
          <w:color w:val="000000" w:themeColor="text1"/>
          <w:szCs w:val="22"/>
        </w:rPr>
        <w:t xml:space="preserve"> </w:t>
      </w:r>
      <w:r w:rsidR="00AA74BB">
        <w:rPr>
          <w:color w:val="000000" w:themeColor="text1"/>
          <w:szCs w:val="22"/>
        </w:rPr>
        <w:t>r</w:t>
      </w:r>
      <w:r w:rsidR="00AA74BB" w:rsidRPr="00AA74BB">
        <w:rPr>
          <w:color w:val="000000" w:themeColor="text1"/>
          <w:szCs w:val="22"/>
        </w:rPr>
        <w:t xml:space="preserve">eturn on </w:t>
      </w:r>
      <w:r w:rsidR="00AA74BB">
        <w:rPr>
          <w:color w:val="000000" w:themeColor="text1"/>
          <w:szCs w:val="22"/>
        </w:rPr>
        <w:t>e</w:t>
      </w:r>
      <w:r w:rsidR="00AA74BB" w:rsidRPr="00AA74BB">
        <w:rPr>
          <w:color w:val="000000" w:themeColor="text1"/>
          <w:szCs w:val="22"/>
        </w:rPr>
        <w:t xml:space="preserve">quity </w:t>
      </w:r>
      <w:r w:rsidRPr="003E7EE5">
        <w:rPr>
          <w:color w:val="000000" w:themeColor="text1"/>
          <w:szCs w:val="22"/>
        </w:rPr>
        <w:t>(</w:t>
      </w:r>
      <w:r w:rsidR="00B07384" w:rsidRPr="003E7EE5">
        <w:rPr>
          <w:color w:val="000000" w:themeColor="text1"/>
          <w:szCs w:val="22"/>
        </w:rPr>
        <w:t>ROE</w:t>
      </w:r>
      <w:r w:rsidR="00AA74BB">
        <w:rPr>
          <w:color w:val="000000" w:themeColor="text1"/>
          <w:szCs w:val="22"/>
        </w:rPr>
        <w:t>)</w:t>
      </w:r>
      <w:r w:rsidR="00B07384" w:rsidRPr="003E7EE5">
        <w:rPr>
          <w:color w:val="000000" w:themeColor="text1"/>
          <w:szCs w:val="22"/>
        </w:rPr>
        <w:t xml:space="preserve"> </w:t>
      </w:r>
      <w:r w:rsidR="00AA74BB">
        <w:rPr>
          <w:color w:val="000000" w:themeColor="text1"/>
          <w:szCs w:val="22"/>
        </w:rPr>
        <w:t xml:space="preserve">and </w:t>
      </w:r>
      <w:r w:rsidR="00AA74BB" w:rsidRPr="00AA74BB">
        <w:rPr>
          <w:color w:val="000000" w:themeColor="text1"/>
          <w:szCs w:val="22"/>
        </w:rPr>
        <w:t>earnings before interest, taxes, depreciation</w:t>
      </w:r>
      <w:r w:rsidR="00AA74BB">
        <w:rPr>
          <w:color w:val="000000" w:themeColor="text1"/>
          <w:szCs w:val="22"/>
        </w:rPr>
        <w:t>,</w:t>
      </w:r>
      <w:r w:rsidR="00AA74BB" w:rsidRPr="00AA74BB">
        <w:rPr>
          <w:color w:val="000000" w:themeColor="text1"/>
          <w:szCs w:val="22"/>
        </w:rPr>
        <w:t xml:space="preserve"> and amorti</w:t>
      </w:r>
      <w:r w:rsidR="00AA74BB">
        <w:rPr>
          <w:color w:val="000000" w:themeColor="text1"/>
          <w:szCs w:val="22"/>
        </w:rPr>
        <w:t>z</w:t>
      </w:r>
      <w:r w:rsidR="00AA74BB" w:rsidRPr="00AA74BB">
        <w:rPr>
          <w:color w:val="000000" w:themeColor="text1"/>
          <w:szCs w:val="22"/>
        </w:rPr>
        <w:t xml:space="preserve">ation </w:t>
      </w:r>
      <w:r w:rsidR="00AA74BB">
        <w:rPr>
          <w:color w:val="000000" w:themeColor="text1"/>
          <w:szCs w:val="22"/>
        </w:rPr>
        <w:t>(</w:t>
      </w:r>
      <w:r w:rsidRPr="003E7EE5">
        <w:rPr>
          <w:color w:val="000000" w:themeColor="text1"/>
          <w:szCs w:val="22"/>
        </w:rPr>
        <w:t>EBITDA)</w:t>
      </w:r>
      <w:r w:rsidR="00AA74BB">
        <w:rPr>
          <w:color w:val="000000" w:themeColor="text1"/>
          <w:szCs w:val="22"/>
        </w:rPr>
        <w:t>,</w:t>
      </w:r>
      <w:r w:rsidRPr="003E7EE5">
        <w:rPr>
          <w:color w:val="000000" w:themeColor="text1"/>
          <w:szCs w:val="22"/>
        </w:rPr>
        <w:t xml:space="preserve"> for 110 companies </w:t>
      </w:r>
      <w:r w:rsidR="007732C1">
        <w:rPr>
          <w:color w:val="000000" w:themeColor="text1"/>
          <w:szCs w:val="22"/>
        </w:rPr>
        <w:t>in</w:t>
      </w:r>
      <w:r w:rsidRPr="003E7EE5">
        <w:rPr>
          <w:color w:val="000000" w:themeColor="text1"/>
          <w:szCs w:val="22"/>
        </w:rPr>
        <w:t xml:space="preserve"> our sample related to fiscal year 2019. In this way, we obtained objective data for a large proportion of our sample related to their performance </w:t>
      </w:r>
      <w:r w:rsidR="007732C1">
        <w:rPr>
          <w:color w:val="000000" w:themeColor="text1"/>
          <w:szCs w:val="22"/>
        </w:rPr>
        <w:t>four</w:t>
      </w:r>
      <w:r w:rsidRPr="003E7EE5">
        <w:rPr>
          <w:color w:val="000000" w:themeColor="text1"/>
          <w:szCs w:val="22"/>
        </w:rPr>
        <w:t xml:space="preserve"> years after the survey data collection year. We used these secondary data to investigate long</w:t>
      </w:r>
      <w:r w:rsidR="007732C1">
        <w:rPr>
          <w:color w:val="000000" w:themeColor="text1"/>
          <w:szCs w:val="22"/>
        </w:rPr>
        <w:t>-</w:t>
      </w:r>
      <w:r w:rsidRPr="003E7EE5">
        <w:rPr>
          <w:color w:val="000000" w:themeColor="text1"/>
          <w:szCs w:val="22"/>
        </w:rPr>
        <w:t xml:space="preserve">term effects and </w:t>
      </w:r>
      <w:r w:rsidR="00D11038" w:rsidRPr="003E7EE5">
        <w:rPr>
          <w:color w:val="000000" w:themeColor="text1"/>
          <w:szCs w:val="22"/>
        </w:rPr>
        <w:t>address single-</w:t>
      </w:r>
      <w:r w:rsidR="00A36C6A" w:rsidRPr="003E7EE5">
        <w:rPr>
          <w:color w:val="000000" w:themeColor="text1"/>
          <w:szCs w:val="22"/>
        </w:rPr>
        <w:t>informant biases</w:t>
      </w:r>
      <w:r w:rsidRPr="003E7EE5">
        <w:rPr>
          <w:color w:val="000000" w:themeColor="text1"/>
          <w:szCs w:val="22"/>
        </w:rPr>
        <w:t>.</w:t>
      </w:r>
    </w:p>
    <w:p w14:paraId="4E8A68A8" w14:textId="12FE3C34" w:rsidR="00711A0C" w:rsidRPr="003E7EE5" w:rsidRDefault="006212DB" w:rsidP="005E1791">
      <w:pPr>
        <w:spacing w:line="480" w:lineRule="auto"/>
        <w:outlineLvl w:val="0"/>
        <w:rPr>
          <w:i/>
        </w:rPr>
      </w:pPr>
      <w:r w:rsidRPr="003E7EE5">
        <w:rPr>
          <w:i/>
        </w:rPr>
        <w:t>Measures</w:t>
      </w:r>
    </w:p>
    <w:p w14:paraId="6086B811" w14:textId="5455FAE8" w:rsidR="00217608" w:rsidRPr="003E7EE5" w:rsidRDefault="00E80A15" w:rsidP="005E1791">
      <w:pPr>
        <w:spacing w:line="480" w:lineRule="auto"/>
        <w:rPr>
          <w:color w:val="000000" w:themeColor="text1"/>
          <w:szCs w:val="22"/>
        </w:rPr>
      </w:pPr>
      <w:r w:rsidRPr="003E7EE5">
        <w:rPr>
          <w:szCs w:val="22"/>
        </w:rPr>
        <w:t xml:space="preserve">Respondents </w:t>
      </w:r>
      <w:r w:rsidR="00394622" w:rsidRPr="003E7EE5">
        <w:rPr>
          <w:szCs w:val="22"/>
        </w:rPr>
        <w:t xml:space="preserve">completed </w:t>
      </w:r>
      <w:r w:rsidR="00837F13">
        <w:rPr>
          <w:szCs w:val="22"/>
        </w:rPr>
        <w:t>seven</w:t>
      </w:r>
      <w:r w:rsidR="00D94AD3" w:rsidRPr="003E7EE5">
        <w:rPr>
          <w:szCs w:val="22"/>
        </w:rPr>
        <w:t xml:space="preserve">-point </w:t>
      </w:r>
      <w:r w:rsidR="00D460A7" w:rsidRPr="003E7EE5">
        <w:rPr>
          <w:szCs w:val="22"/>
        </w:rPr>
        <w:t>Likert scale</w:t>
      </w:r>
      <w:r w:rsidRPr="003E7EE5">
        <w:rPr>
          <w:szCs w:val="22"/>
        </w:rPr>
        <w:t>s</w:t>
      </w:r>
      <w:r w:rsidR="00D460A7" w:rsidRPr="003E7EE5">
        <w:rPr>
          <w:szCs w:val="22"/>
        </w:rPr>
        <w:t xml:space="preserve"> (1 = strongly dis</w:t>
      </w:r>
      <w:r w:rsidR="00D94AD3" w:rsidRPr="003E7EE5">
        <w:rPr>
          <w:szCs w:val="22"/>
        </w:rPr>
        <w:t>agree</w:t>
      </w:r>
      <w:r w:rsidR="00837F13">
        <w:rPr>
          <w:szCs w:val="22"/>
        </w:rPr>
        <w:t>,</w:t>
      </w:r>
      <w:r w:rsidR="00271A62" w:rsidRPr="003E7EE5">
        <w:rPr>
          <w:szCs w:val="22"/>
        </w:rPr>
        <w:t xml:space="preserve"> </w:t>
      </w:r>
      <w:r w:rsidR="00D94AD3" w:rsidRPr="003E7EE5">
        <w:rPr>
          <w:szCs w:val="22"/>
        </w:rPr>
        <w:t xml:space="preserve">7 = strongly agree) </w:t>
      </w:r>
      <w:r w:rsidRPr="003E7EE5">
        <w:rPr>
          <w:szCs w:val="22"/>
        </w:rPr>
        <w:t>for</w:t>
      </w:r>
      <w:r w:rsidR="007139ED" w:rsidRPr="003E7EE5">
        <w:rPr>
          <w:szCs w:val="22"/>
        </w:rPr>
        <w:t xml:space="preserve"> </w:t>
      </w:r>
      <w:r w:rsidR="00D94AD3" w:rsidRPr="003E7EE5">
        <w:rPr>
          <w:szCs w:val="22"/>
        </w:rPr>
        <w:t>all constructs</w:t>
      </w:r>
      <w:r w:rsidR="00DD52C9" w:rsidRPr="003E7EE5">
        <w:rPr>
          <w:szCs w:val="22"/>
        </w:rPr>
        <w:t>.</w:t>
      </w:r>
      <w:r w:rsidR="00271A62" w:rsidRPr="003E7EE5">
        <w:rPr>
          <w:szCs w:val="22"/>
        </w:rPr>
        <w:t xml:space="preserve"> </w:t>
      </w:r>
      <w:r w:rsidR="005E2BAC" w:rsidRPr="003E7EE5">
        <w:rPr>
          <w:szCs w:val="22"/>
        </w:rPr>
        <w:t>We selected measures that best correspond</w:t>
      </w:r>
      <w:r w:rsidRPr="003E7EE5">
        <w:rPr>
          <w:szCs w:val="22"/>
        </w:rPr>
        <w:t>ed</w:t>
      </w:r>
      <w:r w:rsidR="005E2BAC" w:rsidRPr="003E7EE5">
        <w:rPr>
          <w:szCs w:val="22"/>
        </w:rPr>
        <w:t xml:space="preserve"> to our constructs’ conceptual domain. </w:t>
      </w:r>
      <w:r w:rsidR="00D460A7" w:rsidRPr="003E7EE5">
        <w:rPr>
          <w:szCs w:val="22"/>
        </w:rPr>
        <w:t xml:space="preserve">To measure </w:t>
      </w:r>
      <w:r w:rsidR="00D460A7" w:rsidRPr="003E7EE5">
        <w:rPr>
          <w:i/>
          <w:szCs w:val="22"/>
        </w:rPr>
        <w:t xml:space="preserve">Corporate </w:t>
      </w:r>
      <w:r w:rsidR="00EB1E8A" w:rsidRPr="003E7EE5">
        <w:rPr>
          <w:i/>
          <w:szCs w:val="22"/>
        </w:rPr>
        <w:t>Sustainability</w:t>
      </w:r>
      <w:r w:rsidR="00D460A7" w:rsidRPr="003E7EE5">
        <w:rPr>
          <w:szCs w:val="22"/>
        </w:rPr>
        <w:t xml:space="preserve">, we used </w:t>
      </w:r>
      <w:proofErr w:type="spellStart"/>
      <w:r w:rsidR="00D460A7" w:rsidRPr="003E7EE5">
        <w:rPr>
          <w:szCs w:val="22"/>
        </w:rPr>
        <w:t>Turker</w:t>
      </w:r>
      <w:r w:rsidR="00C405C8">
        <w:rPr>
          <w:szCs w:val="22"/>
        </w:rPr>
        <w:t>’</w:t>
      </w:r>
      <w:r w:rsidR="00BB6D40" w:rsidRPr="003E7EE5">
        <w:rPr>
          <w:szCs w:val="22"/>
        </w:rPr>
        <w:t>s</w:t>
      </w:r>
      <w:proofErr w:type="spellEnd"/>
      <w:r w:rsidR="00BB6D40" w:rsidRPr="003E7EE5">
        <w:rPr>
          <w:szCs w:val="22"/>
        </w:rPr>
        <w:t xml:space="preserve"> (2009) </w:t>
      </w:r>
      <w:r w:rsidR="003E33BE">
        <w:rPr>
          <w:szCs w:val="22"/>
        </w:rPr>
        <w:t>seven</w:t>
      </w:r>
      <w:r w:rsidR="003D3E69" w:rsidRPr="003E7EE5">
        <w:rPr>
          <w:szCs w:val="22"/>
        </w:rPr>
        <w:t>-item scale</w:t>
      </w:r>
      <w:r w:rsidR="003E33BE">
        <w:rPr>
          <w:szCs w:val="22"/>
        </w:rPr>
        <w:t>,</w:t>
      </w:r>
      <w:r w:rsidR="00960BFF" w:rsidRPr="003E7EE5">
        <w:rPr>
          <w:szCs w:val="22"/>
        </w:rPr>
        <w:t xml:space="preserve"> which measures the degree of </w:t>
      </w:r>
      <w:r w:rsidRPr="003E7EE5">
        <w:rPr>
          <w:szCs w:val="22"/>
        </w:rPr>
        <w:t xml:space="preserve">a firm’s </w:t>
      </w:r>
      <w:r w:rsidR="00960BFF" w:rsidRPr="003E7EE5">
        <w:rPr>
          <w:szCs w:val="22"/>
        </w:rPr>
        <w:t>commitment</w:t>
      </w:r>
      <w:r w:rsidR="00ED4DFD" w:rsidRPr="003E7EE5">
        <w:rPr>
          <w:szCs w:val="22"/>
        </w:rPr>
        <w:t xml:space="preserve"> </w:t>
      </w:r>
      <w:r w:rsidRPr="003E7EE5">
        <w:rPr>
          <w:szCs w:val="22"/>
        </w:rPr>
        <w:t>to the</w:t>
      </w:r>
      <w:r w:rsidR="00ED4DFD" w:rsidRPr="003E7EE5">
        <w:rPr>
          <w:szCs w:val="22"/>
        </w:rPr>
        <w:t xml:space="preserve"> natural environment, </w:t>
      </w:r>
      <w:r w:rsidRPr="003E7EE5">
        <w:rPr>
          <w:szCs w:val="22"/>
        </w:rPr>
        <w:t xml:space="preserve">the </w:t>
      </w:r>
      <w:r w:rsidR="00ED4DFD" w:rsidRPr="003E7EE5">
        <w:rPr>
          <w:szCs w:val="22"/>
        </w:rPr>
        <w:t>society</w:t>
      </w:r>
      <w:r w:rsidR="003E33BE">
        <w:rPr>
          <w:szCs w:val="22"/>
        </w:rPr>
        <w:t>,</w:t>
      </w:r>
      <w:r w:rsidR="00ED4DFD" w:rsidRPr="003E7EE5">
        <w:rPr>
          <w:szCs w:val="22"/>
        </w:rPr>
        <w:t xml:space="preserve"> and future gene</w:t>
      </w:r>
      <w:r w:rsidR="00BE1328">
        <w:rPr>
          <w:szCs w:val="22"/>
        </w:rPr>
        <w:t>r</w:t>
      </w:r>
      <w:r w:rsidR="00ED4DFD" w:rsidRPr="003E7EE5">
        <w:rPr>
          <w:szCs w:val="22"/>
        </w:rPr>
        <w:t xml:space="preserve">ations. </w:t>
      </w:r>
      <w:proofErr w:type="spellStart"/>
      <w:r w:rsidR="00ED4DFD" w:rsidRPr="003E7EE5">
        <w:rPr>
          <w:szCs w:val="22"/>
        </w:rPr>
        <w:t>Turker’s</w:t>
      </w:r>
      <w:proofErr w:type="spellEnd"/>
      <w:r w:rsidR="00ED4DFD" w:rsidRPr="003E7EE5">
        <w:rPr>
          <w:szCs w:val="22"/>
        </w:rPr>
        <w:t xml:space="preserve"> (2009) scale fits well with our study </w:t>
      </w:r>
      <w:r w:rsidR="003E33BE">
        <w:rPr>
          <w:szCs w:val="22"/>
        </w:rPr>
        <w:t>because</w:t>
      </w:r>
      <w:r w:rsidR="00ED4DFD" w:rsidRPr="003E7EE5">
        <w:rPr>
          <w:szCs w:val="22"/>
        </w:rPr>
        <w:t xml:space="preserve"> it focuses on firm commitment</w:t>
      </w:r>
      <w:r w:rsidR="003E33BE">
        <w:rPr>
          <w:szCs w:val="22"/>
        </w:rPr>
        <w:t>,</w:t>
      </w:r>
      <w:r w:rsidR="00ED4DFD" w:rsidRPr="003E7EE5">
        <w:rPr>
          <w:szCs w:val="22"/>
        </w:rPr>
        <w:t xml:space="preserve"> while other scales focus on processes and practices. We</w:t>
      </w:r>
      <w:r w:rsidR="00D460A7" w:rsidRPr="003E7EE5">
        <w:rPr>
          <w:szCs w:val="22"/>
        </w:rPr>
        <w:t xml:space="preserve"> operationali</w:t>
      </w:r>
      <w:r w:rsidR="003E33BE">
        <w:rPr>
          <w:szCs w:val="22"/>
        </w:rPr>
        <w:t>z</w:t>
      </w:r>
      <w:r w:rsidR="00D460A7" w:rsidRPr="003E7EE5">
        <w:rPr>
          <w:szCs w:val="22"/>
        </w:rPr>
        <w:t xml:space="preserve">ed </w:t>
      </w:r>
      <w:r w:rsidR="00D460A7" w:rsidRPr="003E7EE5">
        <w:rPr>
          <w:i/>
          <w:szCs w:val="22"/>
        </w:rPr>
        <w:t>Stakeholders</w:t>
      </w:r>
      <w:r w:rsidR="00C405C8">
        <w:rPr>
          <w:i/>
          <w:szCs w:val="22"/>
        </w:rPr>
        <w:t>’</w:t>
      </w:r>
      <w:r w:rsidR="00D460A7" w:rsidRPr="003E7EE5">
        <w:rPr>
          <w:i/>
          <w:szCs w:val="22"/>
        </w:rPr>
        <w:t xml:space="preserve"> </w:t>
      </w:r>
      <w:r w:rsidR="00EB1E8A" w:rsidRPr="003E7EE5">
        <w:rPr>
          <w:i/>
          <w:szCs w:val="22"/>
        </w:rPr>
        <w:t>Sustainability</w:t>
      </w:r>
      <w:r w:rsidR="00D460A7" w:rsidRPr="003E7EE5">
        <w:rPr>
          <w:i/>
          <w:szCs w:val="22"/>
        </w:rPr>
        <w:t xml:space="preserve"> Pressures</w:t>
      </w:r>
      <w:r w:rsidR="00D460A7" w:rsidRPr="003E7EE5">
        <w:rPr>
          <w:szCs w:val="22"/>
        </w:rPr>
        <w:t xml:space="preserve"> </w:t>
      </w:r>
      <w:r w:rsidR="00C73271" w:rsidRPr="003E7EE5">
        <w:rPr>
          <w:szCs w:val="22"/>
        </w:rPr>
        <w:t>us</w:t>
      </w:r>
      <w:r w:rsidR="00DD52C9" w:rsidRPr="003E7EE5">
        <w:rPr>
          <w:szCs w:val="22"/>
        </w:rPr>
        <w:t xml:space="preserve">ing the </w:t>
      </w:r>
      <w:r w:rsidR="003E33BE">
        <w:rPr>
          <w:szCs w:val="22"/>
        </w:rPr>
        <w:t>six</w:t>
      </w:r>
      <w:r w:rsidR="002E2BE6" w:rsidRPr="003E7EE5">
        <w:rPr>
          <w:szCs w:val="22"/>
        </w:rPr>
        <w:t>-item scale from Sarkis</w:t>
      </w:r>
      <w:r w:rsidR="00EB61AB" w:rsidRPr="003E7EE5">
        <w:rPr>
          <w:rFonts w:eastAsia="Times New Roman"/>
          <w:color w:val="000000" w:themeColor="text1"/>
          <w:shd w:val="clear" w:color="auto" w:fill="FFFFFF"/>
        </w:rPr>
        <w:t xml:space="preserve"> </w:t>
      </w:r>
      <w:r w:rsidR="007E71B6" w:rsidRPr="003E7EE5">
        <w:rPr>
          <w:rFonts w:eastAsia="Times New Roman"/>
          <w:i/>
          <w:color w:val="000000" w:themeColor="text1"/>
          <w:shd w:val="clear" w:color="auto" w:fill="FFFFFF"/>
        </w:rPr>
        <w:t>et al.</w:t>
      </w:r>
      <w:r w:rsidR="00EB61AB" w:rsidRPr="003E7EE5">
        <w:rPr>
          <w:rFonts w:eastAsia="Times New Roman"/>
          <w:color w:val="000000" w:themeColor="text1"/>
          <w:shd w:val="clear" w:color="auto" w:fill="FFFFFF"/>
        </w:rPr>
        <w:t xml:space="preserve"> </w:t>
      </w:r>
      <w:r w:rsidR="000C3F48" w:rsidRPr="003E7EE5">
        <w:rPr>
          <w:szCs w:val="22"/>
        </w:rPr>
        <w:t>(2010)</w:t>
      </w:r>
      <w:r w:rsidR="00ED4DFD" w:rsidRPr="003E7EE5">
        <w:rPr>
          <w:szCs w:val="22"/>
        </w:rPr>
        <w:t xml:space="preserve"> because it captures pressures on sustainability-related issues by </w:t>
      </w:r>
      <w:r w:rsidR="003E33BE" w:rsidRPr="003E7EE5">
        <w:rPr>
          <w:szCs w:val="22"/>
        </w:rPr>
        <w:t>a company</w:t>
      </w:r>
      <w:r w:rsidR="003E33BE">
        <w:rPr>
          <w:szCs w:val="22"/>
        </w:rPr>
        <w:t>’s</w:t>
      </w:r>
      <w:r w:rsidR="003E33BE" w:rsidRPr="003E7EE5">
        <w:rPr>
          <w:szCs w:val="22"/>
        </w:rPr>
        <w:t xml:space="preserve"> </w:t>
      </w:r>
      <w:r w:rsidR="00ED4DFD" w:rsidRPr="003E7EE5">
        <w:rPr>
          <w:szCs w:val="22"/>
        </w:rPr>
        <w:t>key stakeholders</w:t>
      </w:r>
      <w:r w:rsidR="003E33BE">
        <w:rPr>
          <w:szCs w:val="22"/>
        </w:rPr>
        <w:t>,</w:t>
      </w:r>
      <w:r w:rsidR="00ED4DFD" w:rsidRPr="003E7EE5">
        <w:rPr>
          <w:szCs w:val="22"/>
        </w:rPr>
        <w:t xml:space="preserve"> such as customers, shareholders</w:t>
      </w:r>
      <w:r w:rsidR="003E33BE">
        <w:rPr>
          <w:szCs w:val="22"/>
        </w:rPr>
        <w:t>,</w:t>
      </w:r>
      <w:r w:rsidR="00ED4DFD" w:rsidRPr="003E7EE5">
        <w:rPr>
          <w:szCs w:val="22"/>
        </w:rPr>
        <w:t xml:space="preserve"> and employees.</w:t>
      </w:r>
      <w:r w:rsidR="00617A5D" w:rsidRPr="003E7EE5">
        <w:rPr>
          <w:szCs w:val="22"/>
        </w:rPr>
        <w:t xml:space="preserve"> </w:t>
      </w:r>
      <w:r w:rsidR="00C73271" w:rsidRPr="003E7EE5">
        <w:rPr>
          <w:szCs w:val="22"/>
        </w:rPr>
        <w:t xml:space="preserve">To measure </w:t>
      </w:r>
      <w:r w:rsidR="006D0D47" w:rsidRPr="003E7EE5">
        <w:rPr>
          <w:i/>
          <w:szCs w:val="22"/>
        </w:rPr>
        <w:t>GMS</w:t>
      </w:r>
      <w:r w:rsidR="00C73271" w:rsidRPr="005E1791">
        <w:rPr>
          <w:iCs/>
          <w:szCs w:val="22"/>
        </w:rPr>
        <w:t>,</w:t>
      </w:r>
      <w:r w:rsidR="00C73271" w:rsidRPr="003E7EE5">
        <w:rPr>
          <w:i/>
          <w:szCs w:val="22"/>
        </w:rPr>
        <w:t xml:space="preserve"> </w:t>
      </w:r>
      <w:r w:rsidR="00C73271" w:rsidRPr="003E7EE5">
        <w:rPr>
          <w:szCs w:val="22"/>
        </w:rPr>
        <w:t xml:space="preserve">we </w:t>
      </w:r>
      <w:r w:rsidR="00704DDD" w:rsidRPr="003E7EE5">
        <w:rPr>
          <w:szCs w:val="22"/>
        </w:rPr>
        <w:t xml:space="preserve">used </w:t>
      </w:r>
      <w:r w:rsidR="00BB6D40" w:rsidRPr="003E7EE5">
        <w:rPr>
          <w:szCs w:val="22"/>
        </w:rPr>
        <w:t>a 15</w:t>
      </w:r>
      <w:r w:rsidR="00EE3B70" w:rsidRPr="003E7EE5">
        <w:rPr>
          <w:szCs w:val="22"/>
        </w:rPr>
        <w:t>-item</w:t>
      </w:r>
      <w:r w:rsidR="00C73271" w:rsidRPr="003E7EE5">
        <w:rPr>
          <w:szCs w:val="22"/>
        </w:rPr>
        <w:t xml:space="preserve"> </w:t>
      </w:r>
      <w:r w:rsidR="00EE3B70" w:rsidRPr="003E7EE5">
        <w:rPr>
          <w:szCs w:val="22"/>
        </w:rPr>
        <w:t>scale adapted from</w:t>
      </w:r>
      <w:r w:rsidR="00704DDD" w:rsidRPr="003E7EE5">
        <w:rPr>
          <w:szCs w:val="22"/>
        </w:rPr>
        <w:t xml:space="preserve"> </w:t>
      </w:r>
      <w:r w:rsidR="00CA648B" w:rsidRPr="003E7EE5">
        <w:t>Fraj-Andrés</w:t>
      </w:r>
      <w:r w:rsidR="00F742D2" w:rsidRPr="003E7EE5">
        <w:t xml:space="preserve"> </w:t>
      </w:r>
      <w:r w:rsidR="00F742D2" w:rsidRPr="005E1791">
        <w:rPr>
          <w:i/>
        </w:rPr>
        <w:t>et al.</w:t>
      </w:r>
      <w:r w:rsidR="00F742D2" w:rsidRPr="003E7EE5">
        <w:rPr>
          <w:iCs/>
        </w:rPr>
        <w:t xml:space="preserve"> </w:t>
      </w:r>
      <w:r w:rsidR="00704DDD" w:rsidRPr="003E7EE5">
        <w:rPr>
          <w:szCs w:val="22"/>
        </w:rPr>
        <w:t xml:space="preserve">(2009) </w:t>
      </w:r>
      <w:r w:rsidR="002E2BE6" w:rsidRPr="003E7EE5">
        <w:rPr>
          <w:szCs w:val="22"/>
        </w:rPr>
        <w:t>and Papadas</w:t>
      </w:r>
      <w:r w:rsidR="001073B7" w:rsidRPr="003E7EE5">
        <w:rPr>
          <w:szCs w:val="22"/>
        </w:rPr>
        <w:t xml:space="preserve"> </w:t>
      </w:r>
      <w:r w:rsidR="007E71B6" w:rsidRPr="005E1791">
        <w:rPr>
          <w:i/>
          <w:szCs w:val="22"/>
        </w:rPr>
        <w:t>et al.</w:t>
      </w:r>
      <w:r w:rsidR="002E2BE6" w:rsidRPr="003E7EE5">
        <w:rPr>
          <w:szCs w:val="22"/>
        </w:rPr>
        <w:t xml:space="preserve"> </w:t>
      </w:r>
      <w:r w:rsidR="002E3AB7" w:rsidRPr="003E7EE5">
        <w:rPr>
          <w:szCs w:val="22"/>
        </w:rPr>
        <w:t xml:space="preserve">(2017) </w:t>
      </w:r>
      <w:r w:rsidR="00704DDD" w:rsidRPr="003E7EE5">
        <w:rPr>
          <w:szCs w:val="22"/>
        </w:rPr>
        <w:t xml:space="preserve">to capture the </w:t>
      </w:r>
      <w:r w:rsidR="00ED4DFD" w:rsidRPr="003E7EE5">
        <w:rPr>
          <w:color w:val="000000" w:themeColor="text1"/>
          <w:szCs w:val="22"/>
        </w:rPr>
        <w:t>holistic approach to green marketing</w:t>
      </w:r>
      <w:r w:rsidR="00704DDD" w:rsidRPr="003E7EE5">
        <w:rPr>
          <w:szCs w:val="22"/>
        </w:rPr>
        <w:t xml:space="preserve">. </w:t>
      </w:r>
      <w:r w:rsidR="00ED4DFD" w:rsidRPr="003E7EE5">
        <w:rPr>
          <w:szCs w:val="22"/>
        </w:rPr>
        <w:t>The GMS scale reflects both strategic and tactical activities</w:t>
      </w:r>
      <w:r w:rsidR="003E33BE">
        <w:rPr>
          <w:szCs w:val="22"/>
        </w:rPr>
        <w:t>,</w:t>
      </w:r>
      <w:r w:rsidR="00ED4DFD" w:rsidRPr="003E7EE5">
        <w:rPr>
          <w:szCs w:val="22"/>
        </w:rPr>
        <w:t xml:space="preserve"> such as developing new eco-friendly program</w:t>
      </w:r>
      <w:r w:rsidR="00B27F6E">
        <w:rPr>
          <w:szCs w:val="22"/>
        </w:rPr>
        <w:t>s</w:t>
      </w:r>
      <w:r w:rsidR="00ED4DFD" w:rsidRPr="003E7EE5">
        <w:rPr>
          <w:szCs w:val="22"/>
        </w:rPr>
        <w:t xml:space="preserve"> and </w:t>
      </w:r>
      <w:r w:rsidR="00460BE8">
        <w:rPr>
          <w:szCs w:val="22"/>
        </w:rPr>
        <w:t>obtaining</w:t>
      </w:r>
      <w:r w:rsidR="00ED4DFD" w:rsidRPr="003E7EE5">
        <w:rPr>
          <w:szCs w:val="22"/>
        </w:rPr>
        <w:t xml:space="preserve"> environmental </w:t>
      </w:r>
      <w:r w:rsidR="00ED4DFD" w:rsidRPr="003E7EE5">
        <w:rPr>
          <w:szCs w:val="22"/>
        </w:rPr>
        <w:lastRenderedPageBreak/>
        <w:t xml:space="preserve">certifications. </w:t>
      </w:r>
      <w:r w:rsidRPr="003E7EE5">
        <w:rPr>
          <w:szCs w:val="22"/>
        </w:rPr>
        <w:t>T</w:t>
      </w:r>
      <w:r w:rsidR="005E2BAC" w:rsidRPr="003E7EE5">
        <w:rPr>
          <w:szCs w:val="22"/>
        </w:rPr>
        <w:t xml:space="preserve">he </w:t>
      </w:r>
      <w:r w:rsidR="005E2BAC" w:rsidRPr="003E7EE5">
        <w:rPr>
          <w:i/>
          <w:iCs/>
          <w:szCs w:val="22"/>
        </w:rPr>
        <w:t>O</w:t>
      </w:r>
      <w:r w:rsidR="002F1877">
        <w:rPr>
          <w:i/>
          <w:iCs/>
          <w:szCs w:val="22"/>
        </w:rPr>
        <w:t>R</w:t>
      </w:r>
      <w:r w:rsidR="005E2BAC" w:rsidRPr="003E7EE5">
        <w:rPr>
          <w:i/>
          <w:iCs/>
          <w:szCs w:val="22"/>
        </w:rPr>
        <w:t xml:space="preserve"> </w:t>
      </w:r>
      <w:r w:rsidR="005E2BAC" w:rsidRPr="003E7EE5">
        <w:rPr>
          <w:szCs w:val="22"/>
        </w:rPr>
        <w:t xml:space="preserve">and </w:t>
      </w:r>
      <w:r w:rsidR="005E2BAC" w:rsidRPr="003E7EE5">
        <w:rPr>
          <w:i/>
          <w:iCs/>
          <w:szCs w:val="22"/>
        </w:rPr>
        <w:t xml:space="preserve">FR </w:t>
      </w:r>
      <w:r w:rsidRPr="003E7EE5">
        <w:rPr>
          <w:szCs w:val="22"/>
        </w:rPr>
        <w:t>measures</w:t>
      </w:r>
      <w:r w:rsidRPr="003E7EE5">
        <w:rPr>
          <w:i/>
          <w:iCs/>
          <w:szCs w:val="22"/>
        </w:rPr>
        <w:t xml:space="preserve"> </w:t>
      </w:r>
      <w:r w:rsidR="005E2BAC" w:rsidRPr="003E7EE5">
        <w:rPr>
          <w:szCs w:val="22"/>
        </w:rPr>
        <w:t xml:space="preserve">reflect </w:t>
      </w:r>
      <w:r w:rsidR="003E33BE">
        <w:rPr>
          <w:szCs w:val="22"/>
        </w:rPr>
        <w:t>a</w:t>
      </w:r>
      <w:r w:rsidR="005E2BAC" w:rsidRPr="003E7EE5">
        <w:rPr>
          <w:szCs w:val="22"/>
        </w:rPr>
        <w:t xml:space="preserve"> firm’s survival during a crisis </w:t>
      </w:r>
      <w:r w:rsidR="003E33BE">
        <w:rPr>
          <w:szCs w:val="22"/>
        </w:rPr>
        <w:t xml:space="preserve">in terms of </w:t>
      </w:r>
      <w:r w:rsidR="005E2BAC" w:rsidRPr="003E7EE5">
        <w:rPr>
          <w:szCs w:val="22"/>
        </w:rPr>
        <w:t xml:space="preserve">operational and financial </w:t>
      </w:r>
      <w:r w:rsidRPr="003E7EE5">
        <w:rPr>
          <w:szCs w:val="22"/>
        </w:rPr>
        <w:t>outcomes</w:t>
      </w:r>
      <w:r w:rsidR="005E2BAC" w:rsidRPr="003E7EE5">
        <w:rPr>
          <w:szCs w:val="22"/>
        </w:rPr>
        <w:t xml:space="preserve">. </w:t>
      </w:r>
      <w:r w:rsidR="00865066" w:rsidRPr="003E7EE5">
        <w:rPr>
          <w:szCs w:val="22"/>
        </w:rPr>
        <w:t xml:space="preserve">To measure </w:t>
      </w:r>
      <w:r w:rsidR="0003728E" w:rsidRPr="003E7EE5">
        <w:rPr>
          <w:i/>
          <w:szCs w:val="22"/>
        </w:rPr>
        <w:t>O</w:t>
      </w:r>
      <w:r w:rsidR="00544AB2" w:rsidRPr="003E7EE5">
        <w:rPr>
          <w:i/>
          <w:szCs w:val="22"/>
        </w:rPr>
        <w:t>R</w:t>
      </w:r>
      <w:r w:rsidR="000E73F5" w:rsidRPr="005E1791">
        <w:rPr>
          <w:iCs/>
          <w:szCs w:val="22"/>
        </w:rPr>
        <w:t>,</w:t>
      </w:r>
      <w:r w:rsidR="00865066" w:rsidRPr="003E7EE5">
        <w:rPr>
          <w:szCs w:val="22"/>
        </w:rPr>
        <w:t xml:space="preserve"> we</w:t>
      </w:r>
      <w:r w:rsidR="003547BA" w:rsidRPr="003E7EE5">
        <w:rPr>
          <w:szCs w:val="22"/>
        </w:rPr>
        <w:t xml:space="preserve"> used </w:t>
      </w:r>
      <w:r w:rsidR="00A61257" w:rsidRPr="003E7EE5">
        <w:rPr>
          <w:szCs w:val="22"/>
        </w:rPr>
        <w:t xml:space="preserve">the five-item scale from </w:t>
      </w:r>
      <w:r w:rsidR="00CA648B" w:rsidRPr="003E7EE5">
        <w:t>Fraj-Andrés</w:t>
      </w:r>
      <w:r w:rsidR="001073B7" w:rsidRPr="003E7EE5">
        <w:t xml:space="preserve"> </w:t>
      </w:r>
      <w:r w:rsidR="007E71B6" w:rsidRPr="005E1791">
        <w:rPr>
          <w:i/>
        </w:rPr>
        <w:t>et al.</w:t>
      </w:r>
      <w:r w:rsidR="001073B7" w:rsidRPr="003E7EE5">
        <w:t xml:space="preserve"> </w:t>
      </w:r>
      <w:r w:rsidR="003D3E69" w:rsidRPr="003E7EE5">
        <w:rPr>
          <w:szCs w:val="22"/>
        </w:rPr>
        <w:t>(2009)</w:t>
      </w:r>
      <w:r w:rsidR="003E33BE">
        <w:rPr>
          <w:szCs w:val="22"/>
        </w:rPr>
        <w:t>, which</w:t>
      </w:r>
      <w:r w:rsidR="003D3E69" w:rsidRPr="003E7EE5">
        <w:rPr>
          <w:szCs w:val="22"/>
        </w:rPr>
        <w:t xml:space="preserve"> capture</w:t>
      </w:r>
      <w:r w:rsidR="00261E55" w:rsidRPr="003E7EE5">
        <w:rPr>
          <w:szCs w:val="22"/>
        </w:rPr>
        <w:t>s</w:t>
      </w:r>
      <w:r w:rsidR="003D3E69" w:rsidRPr="003E7EE5">
        <w:rPr>
          <w:szCs w:val="22"/>
        </w:rPr>
        <w:t xml:space="preserve"> </w:t>
      </w:r>
      <w:r w:rsidR="00A61257" w:rsidRPr="003E7EE5">
        <w:rPr>
          <w:szCs w:val="22"/>
        </w:rPr>
        <w:t>products</w:t>
      </w:r>
      <w:r w:rsidR="00A4752B" w:rsidRPr="003E7EE5">
        <w:rPr>
          <w:szCs w:val="22"/>
        </w:rPr>
        <w:t>'</w:t>
      </w:r>
      <w:r w:rsidR="000E73F5" w:rsidRPr="003E7EE5">
        <w:rPr>
          <w:szCs w:val="22"/>
        </w:rPr>
        <w:t xml:space="preserve"> cost, quality</w:t>
      </w:r>
      <w:r w:rsidR="003E33BE">
        <w:rPr>
          <w:szCs w:val="22"/>
        </w:rPr>
        <w:t>,</w:t>
      </w:r>
      <w:r w:rsidR="00261E55" w:rsidRPr="003E7EE5">
        <w:rPr>
          <w:szCs w:val="22"/>
        </w:rPr>
        <w:t xml:space="preserve"> and innovation capacity</w:t>
      </w:r>
      <w:r w:rsidR="003777E2" w:rsidRPr="003E7EE5">
        <w:rPr>
          <w:szCs w:val="22"/>
        </w:rPr>
        <w:t xml:space="preserve"> relative to the firm’</w:t>
      </w:r>
      <w:r w:rsidR="003E33BE">
        <w:rPr>
          <w:szCs w:val="22"/>
        </w:rPr>
        <w:t>s</w:t>
      </w:r>
      <w:r w:rsidR="003777E2" w:rsidRPr="003E7EE5">
        <w:rPr>
          <w:szCs w:val="22"/>
        </w:rPr>
        <w:t xml:space="preserve"> stated objectives</w:t>
      </w:r>
      <w:r w:rsidR="00261E55" w:rsidRPr="003E7EE5">
        <w:rPr>
          <w:szCs w:val="22"/>
        </w:rPr>
        <w:t xml:space="preserve">. </w:t>
      </w:r>
      <w:r w:rsidR="003E33BE">
        <w:rPr>
          <w:szCs w:val="22"/>
        </w:rPr>
        <w:t>We</w:t>
      </w:r>
      <w:r w:rsidR="003E33BE" w:rsidRPr="003E7EE5">
        <w:rPr>
          <w:szCs w:val="22"/>
        </w:rPr>
        <w:t xml:space="preserve"> measured </w:t>
      </w:r>
      <w:r w:rsidR="0003728E" w:rsidRPr="003E7EE5">
        <w:rPr>
          <w:i/>
          <w:szCs w:val="22"/>
        </w:rPr>
        <w:t>F</w:t>
      </w:r>
      <w:r w:rsidR="00544AB2" w:rsidRPr="003E7EE5">
        <w:rPr>
          <w:i/>
          <w:szCs w:val="22"/>
        </w:rPr>
        <w:t>R</w:t>
      </w:r>
      <w:r w:rsidR="000E73F5" w:rsidRPr="003E7EE5">
        <w:rPr>
          <w:szCs w:val="22"/>
        </w:rPr>
        <w:t xml:space="preserve"> wit</w:t>
      </w:r>
      <w:r w:rsidR="002E2BE6" w:rsidRPr="003E7EE5">
        <w:rPr>
          <w:szCs w:val="22"/>
        </w:rPr>
        <w:t>h five items from Morgan</w:t>
      </w:r>
      <w:r w:rsidR="00F742D2" w:rsidRPr="003E7EE5">
        <w:rPr>
          <w:szCs w:val="22"/>
        </w:rPr>
        <w:t xml:space="preserve"> </w:t>
      </w:r>
      <w:r w:rsidR="00F742D2" w:rsidRPr="005E1791">
        <w:rPr>
          <w:i/>
        </w:rPr>
        <w:t>et al.</w:t>
      </w:r>
      <w:r w:rsidR="00F742D2" w:rsidRPr="003E7EE5">
        <w:t xml:space="preserve"> </w:t>
      </w:r>
      <w:r w:rsidR="000E73F5" w:rsidRPr="003E7EE5">
        <w:rPr>
          <w:szCs w:val="22"/>
        </w:rPr>
        <w:t xml:space="preserve">(2004) </w:t>
      </w:r>
      <w:r w:rsidR="003E33BE">
        <w:rPr>
          <w:szCs w:val="22"/>
        </w:rPr>
        <w:t xml:space="preserve">that </w:t>
      </w:r>
      <w:r w:rsidR="000E73F5" w:rsidRPr="003E7EE5">
        <w:rPr>
          <w:szCs w:val="22"/>
        </w:rPr>
        <w:t>captur</w:t>
      </w:r>
      <w:r w:rsidR="003E33BE">
        <w:rPr>
          <w:szCs w:val="22"/>
        </w:rPr>
        <w:t>e</w:t>
      </w:r>
      <w:r w:rsidR="000E73F5" w:rsidRPr="003E7EE5">
        <w:rPr>
          <w:szCs w:val="22"/>
        </w:rPr>
        <w:t xml:space="preserve"> </w:t>
      </w:r>
      <w:r w:rsidR="003E33BE">
        <w:rPr>
          <w:szCs w:val="22"/>
        </w:rPr>
        <w:t xml:space="preserve">the </w:t>
      </w:r>
      <w:r w:rsidR="000E73F5" w:rsidRPr="003E7EE5">
        <w:rPr>
          <w:szCs w:val="22"/>
        </w:rPr>
        <w:t>firm</w:t>
      </w:r>
      <w:r w:rsidR="00A4752B" w:rsidRPr="003E7EE5">
        <w:rPr>
          <w:szCs w:val="22"/>
        </w:rPr>
        <w:t>'</w:t>
      </w:r>
      <w:r w:rsidR="000E73F5" w:rsidRPr="003E7EE5">
        <w:rPr>
          <w:szCs w:val="22"/>
        </w:rPr>
        <w:t xml:space="preserve">s profitability </w:t>
      </w:r>
      <w:r w:rsidR="000E73F5" w:rsidRPr="003E7EE5">
        <w:t xml:space="preserve">relative to </w:t>
      </w:r>
      <w:r w:rsidR="003E33BE">
        <w:t xml:space="preserve">its </w:t>
      </w:r>
      <w:r w:rsidR="000E73F5" w:rsidRPr="003E7EE5">
        <w:t>stated objectives</w:t>
      </w:r>
      <w:r w:rsidR="000C3F48" w:rsidRPr="003E7EE5">
        <w:t>.</w:t>
      </w:r>
      <w:r w:rsidR="000E73F5" w:rsidRPr="003E7EE5">
        <w:t xml:space="preserve"> </w:t>
      </w:r>
      <w:r w:rsidR="003E33BE">
        <w:t xml:space="preserve">As </w:t>
      </w:r>
      <w:r w:rsidR="00304F92" w:rsidRPr="003E7EE5">
        <w:rPr>
          <w:szCs w:val="26"/>
        </w:rPr>
        <w:t xml:space="preserve">resilience </w:t>
      </w:r>
      <w:r w:rsidR="003E33BE">
        <w:rPr>
          <w:szCs w:val="26"/>
        </w:rPr>
        <w:t>reflects</w:t>
      </w:r>
      <w:r w:rsidR="00304F92" w:rsidRPr="003E7EE5">
        <w:rPr>
          <w:szCs w:val="26"/>
        </w:rPr>
        <w:t xml:space="preserve"> the </w:t>
      </w:r>
      <w:r w:rsidRPr="003E7EE5">
        <w:rPr>
          <w:szCs w:val="26"/>
        </w:rPr>
        <w:t xml:space="preserve">ability </w:t>
      </w:r>
      <w:r w:rsidR="00304F92" w:rsidRPr="003E7EE5">
        <w:rPr>
          <w:szCs w:val="26"/>
        </w:rPr>
        <w:t xml:space="preserve">to respond </w:t>
      </w:r>
      <w:r w:rsidR="003E33BE">
        <w:rPr>
          <w:szCs w:val="26"/>
        </w:rPr>
        <w:t xml:space="preserve">to </w:t>
      </w:r>
      <w:r w:rsidR="00304F92" w:rsidRPr="003E7EE5">
        <w:rPr>
          <w:szCs w:val="26"/>
        </w:rPr>
        <w:t>and overcome an unanticipated shock (</w:t>
      </w:r>
      <w:proofErr w:type="spellStart"/>
      <w:r w:rsidR="00304F92" w:rsidRPr="003E7EE5">
        <w:rPr>
          <w:szCs w:val="26"/>
        </w:rPr>
        <w:t>DesJardine</w:t>
      </w:r>
      <w:proofErr w:type="spellEnd"/>
      <w:r w:rsidR="00304F92" w:rsidRPr="003E7EE5">
        <w:rPr>
          <w:szCs w:val="26"/>
        </w:rPr>
        <w:t xml:space="preserve"> </w:t>
      </w:r>
      <w:r w:rsidR="00304F92" w:rsidRPr="005E1791">
        <w:rPr>
          <w:i/>
          <w:iCs/>
          <w:szCs w:val="26"/>
        </w:rPr>
        <w:t>et al.</w:t>
      </w:r>
      <w:r w:rsidR="00304F92" w:rsidRPr="003E7EE5">
        <w:rPr>
          <w:color w:val="000000" w:themeColor="text1"/>
        </w:rPr>
        <w:t xml:space="preserve">, 2019) </w:t>
      </w:r>
      <w:r w:rsidR="00AB5A31" w:rsidRPr="003E7EE5">
        <w:t>and</w:t>
      </w:r>
      <w:r w:rsidR="00304F92" w:rsidRPr="003E7EE5">
        <w:t xml:space="preserve"> </w:t>
      </w:r>
      <w:r w:rsidR="003E33BE">
        <w:t xml:space="preserve">given </w:t>
      </w:r>
      <w:r w:rsidR="00304F92" w:rsidRPr="003E7EE5">
        <w:t xml:space="preserve">that it </w:t>
      </w:r>
      <w:r w:rsidR="00BF23FA" w:rsidRPr="003E7EE5">
        <w:t xml:space="preserve">can be expressed through the parameters of performance and time (Cavaco </w:t>
      </w:r>
      <w:r w:rsidR="007E71B6" w:rsidRPr="003E7EE5">
        <w:t>and</w:t>
      </w:r>
      <w:r w:rsidR="00BF23FA" w:rsidRPr="003E7EE5">
        <w:t xml:space="preserve"> Machado, 2015), </w:t>
      </w:r>
      <w:r w:rsidR="003E33BE">
        <w:t xml:space="preserve">we measured </w:t>
      </w:r>
      <w:r w:rsidR="00BF23FA" w:rsidRPr="003E7EE5">
        <w:t>b</w:t>
      </w:r>
      <w:r w:rsidR="00BB6D40" w:rsidRPr="003E7EE5">
        <w:t xml:space="preserve">oth </w:t>
      </w:r>
      <w:r w:rsidR="001046F7" w:rsidRPr="003E7EE5">
        <w:t>OR</w:t>
      </w:r>
      <w:r w:rsidR="00BB6D40" w:rsidRPr="003E7EE5">
        <w:t xml:space="preserve"> and </w:t>
      </w:r>
      <w:r w:rsidR="001046F7" w:rsidRPr="003E7EE5">
        <w:t>FR</w:t>
      </w:r>
      <w:r w:rsidR="00BF23FA" w:rsidRPr="003E7EE5">
        <w:t xml:space="preserve"> </w:t>
      </w:r>
      <w:r w:rsidR="003E33BE">
        <w:t xml:space="preserve">using </w:t>
      </w:r>
      <w:r w:rsidR="00BB6D40" w:rsidRPr="003E7EE5">
        <w:t>respondents</w:t>
      </w:r>
      <w:r w:rsidR="003E33BE">
        <w:t>’</w:t>
      </w:r>
      <w:r w:rsidR="00BB6D40" w:rsidRPr="003E7EE5">
        <w:t xml:space="preserve"> </w:t>
      </w:r>
      <w:r w:rsidR="00BF23FA" w:rsidRPr="003E7EE5">
        <w:t>assess</w:t>
      </w:r>
      <w:r w:rsidR="003E33BE">
        <w:t>ment of</w:t>
      </w:r>
      <w:r w:rsidR="00BF23FA" w:rsidRPr="003E7EE5">
        <w:t xml:space="preserve"> their</w:t>
      </w:r>
      <w:r w:rsidR="006237BB" w:rsidRPr="003E7EE5">
        <w:t xml:space="preserve"> current operational and financial performance</w:t>
      </w:r>
      <w:r w:rsidR="00BB6D40" w:rsidRPr="003E7EE5">
        <w:t xml:space="preserve"> </w:t>
      </w:r>
      <w:r w:rsidR="00BB6D40" w:rsidRPr="003E7EE5">
        <w:rPr>
          <w:i/>
          <w:iCs/>
        </w:rPr>
        <w:t xml:space="preserve">compared </w:t>
      </w:r>
      <w:r w:rsidR="003E33BE">
        <w:rPr>
          <w:i/>
          <w:iCs/>
        </w:rPr>
        <w:t>with</w:t>
      </w:r>
      <w:r w:rsidR="00BB6D40" w:rsidRPr="003E7EE5">
        <w:rPr>
          <w:i/>
          <w:iCs/>
        </w:rPr>
        <w:t xml:space="preserve"> the last three years of recession </w:t>
      </w:r>
      <w:r w:rsidR="00BB6D40" w:rsidRPr="003E7EE5">
        <w:t>(2011</w:t>
      </w:r>
      <w:r w:rsidR="003E33BE">
        <w:t>–</w:t>
      </w:r>
      <w:r w:rsidR="00BB6D40" w:rsidRPr="003E7EE5">
        <w:t xml:space="preserve">2014) </w:t>
      </w:r>
      <w:r w:rsidR="003E33BE">
        <w:t>on</w:t>
      </w:r>
      <w:r w:rsidR="00BB6D40" w:rsidRPr="003E7EE5">
        <w:t xml:space="preserve"> a </w:t>
      </w:r>
      <w:r w:rsidR="003E33BE">
        <w:t>seven</w:t>
      </w:r>
      <w:r w:rsidR="00BB6D40" w:rsidRPr="003E7EE5">
        <w:t>-point scale (1 = much worse, 7 = much better)</w:t>
      </w:r>
      <w:r w:rsidRPr="003E7EE5">
        <w:t xml:space="preserve">. </w:t>
      </w:r>
      <w:r w:rsidR="003E0AE9" w:rsidRPr="003E7EE5">
        <w:rPr>
          <w:color w:val="000000" w:themeColor="text1"/>
        </w:rPr>
        <w:t xml:space="preserve">Li </w:t>
      </w:r>
      <w:r w:rsidR="003E0AE9" w:rsidRPr="003E7EE5">
        <w:rPr>
          <w:i/>
          <w:iCs/>
          <w:color w:val="000000" w:themeColor="text1"/>
        </w:rPr>
        <w:t xml:space="preserve">et al. </w:t>
      </w:r>
      <w:r w:rsidR="003E0AE9" w:rsidRPr="003E7EE5">
        <w:rPr>
          <w:color w:val="000000" w:themeColor="text1"/>
        </w:rPr>
        <w:t>(2022) and Ortiz-de-</w:t>
      </w:r>
      <w:proofErr w:type="spellStart"/>
      <w:r w:rsidR="003E0AE9" w:rsidRPr="003E7EE5">
        <w:rPr>
          <w:color w:val="000000" w:themeColor="text1"/>
        </w:rPr>
        <w:t>Mandojana</w:t>
      </w:r>
      <w:proofErr w:type="spellEnd"/>
      <w:r w:rsidR="003E0AE9" w:rsidRPr="003E7EE5">
        <w:rPr>
          <w:color w:val="000000" w:themeColor="text1"/>
        </w:rPr>
        <w:t xml:space="preserve"> and Bansal (2016)</w:t>
      </w:r>
      <w:r w:rsidR="003E33BE">
        <w:rPr>
          <w:color w:val="000000" w:themeColor="text1"/>
        </w:rPr>
        <w:t xml:space="preserve"> used</w:t>
      </w:r>
      <w:r w:rsidR="003E33BE" w:rsidRPr="003E33BE">
        <w:t xml:space="preserve"> </w:t>
      </w:r>
      <w:r w:rsidR="003E33BE">
        <w:t>t</w:t>
      </w:r>
      <w:r w:rsidR="003E33BE" w:rsidRPr="003E7EE5">
        <w:t>he same approach</w:t>
      </w:r>
      <w:r w:rsidR="00BF23FA" w:rsidRPr="003E7EE5">
        <w:t>.</w:t>
      </w:r>
      <w:r w:rsidR="006237BB" w:rsidRPr="003E7EE5">
        <w:t xml:space="preserve"> </w:t>
      </w:r>
      <w:r w:rsidR="003E33BE">
        <w:t>We</w:t>
      </w:r>
      <w:r w:rsidR="003E33BE" w:rsidRPr="003E7EE5">
        <w:rPr>
          <w:szCs w:val="22"/>
        </w:rPr>
        <w:t xml:space="preserve"> measured </w:t>
      </w:r>
      <w:r w:rsidR="003E33BE">
        <w:rPr>
          <w:szCs w:val="22"/>
        </w:rPr>
        <w:t>the</w:t>
      </w:r>
      <w:r w:rsidR="00B84D17" w:rsidRPr="003E7EE5">
        <w:rPr>
          <w:szCs w:val="22"/>
        </w:rPr>
        <w:t xml:space="preserve"> availability of</w:t>
      </w:r>
      <w:r w:rsidR="000F3500" w:rsidRPr="003E7EE5">
        <w:rPr>
          <w:szCs w:val="22"/>
        </w:rPr>
        <w:t xml:space="preserve"> </w:t>
      </w:r>
      <w:r w:rsidR="00544AB2" w:rsidRPr="003E7EE5">
        <w:rPr>
          <w:i/>
          <w:szCs w:val="22"/>
        </w:rPr>
        <w:t>Green Marketing R</w:t>
      </w:r>
      <w:r w:rsidR="0005126B" w:rsidRPr="003E7EE5">
        <w:rPr>
          <w:i/>
          <w:szCs w:val="22"/>
        </w:rPr>
        <w:t>esource</w:t>
      </w:r>
      <w:r w:rsidR="00535F54" w:rsidRPr="003E7EE5">
        <w:rPr>
          <w:i/>
          <w:szCs w:val="22"/>
        </w:rPr>
        <w:t>s</w:t>
      </w:r>
      <w:r w:rsidR="000F3500" w:rsidRPr="003E7EE5">
        <w:rPr>
          <w:i/>
          <w:szCs w:val="22"/>
        </w:rPr>
        <w:t xml:space="preserve"> </w:t>
      </w:r>
      <w:r w:rsidR="00C11EB9">
        <w:rPr>
          <w:iCs/>
          <w:szCs w:val="22"/>
        </w:rPr>
        <w:t xml:space="preserve">(GMRs) </w:t>
      </w:r>
      <w:r w:rsidR="000F3500" w:rsidRPr="003E7EE5">
        <w:rPr>
          <w:szCs w:val="22"/>
        </w:rPr>
        <w:t xml:space="preserve">during </w:t>
      </w:r>
      <w:r w:rsidR="00BF23FA" w:rsidRPr="003E7EE5">
        <w:rPr>
          <w:szCs w:val="22"/>
        </w:rPr>
        <w:t>the</w:t>
      </w:r>
      <w:r w:rsidR="000F3500" w:rsidRPr="003E7EE5">
        <w:rPr>
          <w:szCs w:val="22"/>
        </w:rPr>
        <w:t xml:space="preserve"> recession </w:t>
      </w:r>
      <w:r w:rsidR="00637692" w:rsidRPr="003E7EE5">
        <w:rPr>
          <w:szCs w:val="22"/>
        </w:rPr>
        <w:t xml:space="preserve">with </w:t>
      </w:r>
      <w:r w:rsidR="007732CE" w:rsidRPr="003E7EE5">
        <w:rPr>
          <w:szCs w:val="22"/>
        </w:rPr>
        <w:t>a single-</w:t>
      </w:r>
      <w:r w:rsidR="000F3500" w:rsidRPr="003E7EE5">
        <w:rPr>
          <w:szCs w:val="22"/>
        </w:rPr>
        <w:t>item scale adapted from</w:t>
      </w:r>
      <w:r w:rsidR="0099623F" w:rsidRPr="003E7EE5">
        <w:rPr>
          <w:szCs w:val="22"/>
        </w:rPr>
        <w:t xml:space="preserve"> </w:t>
      </w:r>
      <w:r w:rsidR="004F1A6B" w:rsidRPr="003E7EE5">
        <w:rPr>
          <w:szCs w:val="22"/>
        </w:rPr>
        <w:t xml:space="preserve">the </w:t>
      </w:r>
      <w:r w:rsidR="003D3E69" w:rsidRPr="003E7EE5">
        <w:rPr>
          <w:szCs w:val="22"/>
        </w:rPr>
        <w:t>perceptual, subjective measure of</w:t>
      </w:r>
      <w:r w:rsidR="004F1A6B" w:rsidRPr="003E7EE5">
        <w:rPr>
          <w:szCs w:val="22"/>
        </w:rPr>
        <w:t xml:space="preserve"> </w:t>
      </w:r>
      <w:r w:rsidR="002E2BE6" w:rsidRPr="003E7EE5">
        <w:rPr>
          <w:color w:val="000000" w:themeColor="text1"/>
          <w:szCs w:val="26"/>
        </w:rPr>
        <w:t>Chattopadhyay</w:t>
      </w:r>
      <w:r w:rsidR="00F742D2" w:rsidRPr="003E7EE5">
        <w:rPr>
          <w:color w:val="000000" w:themeColor="text1"/>
          <w:szCs w:val="26"/>
        </w:rPr>
        <w:t xml:space="preserve"> </w:t>
      </w:r>
      <w:r w:rsidR="00F742D2" w:rsidRPr="003E7EE5">
        <w:rPr>
          <w:i/>
        </w:rPr>
        <w:t>et al.</w:t>
      </w:r>
      <w:r w:rsidR="00F742D2" w:rsidRPr="003E7EE5">
        <w:rPr>
          <w:iCs/>
        </w:rPr>
        <w:t xml:space="preserve"> </w:t>
      </w:r>
      <w:r w:rsidR="004F1A6B" w:rsidRPr="003E7EE5">
        <w:rPr>
          <w:color w:val="000000" w:themeColor="text1"/>
          <w:szCs w:val="26"/>
        </w:rPr>
        <w:t>(2001)</w:t>
      </w:r>
      <w:r w:rsidR="003E33BE">
        <w:rPr>
          <w:color w:val="000000" w:themeColor="text1"/>
          <w:szCs w:val="26"/>
        </w:rPr>
        <w:t>,</w:t>
      </w:r>
      <w:r w:rsidR="00B40094" w:rsidRPr="003E7EE5">
        <w:rPr>
          <w:color w:val="000000" w:themeColor="text1"/>
          <w:szCs w:val="26"/>
        </w:rPr>
        <w:t xml:space="preserve"> as done in similar</w:t>
      </w:r>
      <w:r w:rsidR="00D65A97" w:rsidRPr="003E7EE5">
        <w:rPr>
          <w:color w:val="000000" w:themeColor="text1"/>
          <w:szCs w:val="26"/>
        </w:rPr>
        <w:t xml:space="preserve"> studies (e.g.</w:t>
      </w:r>
      <w:r w:rsidR="00C405C8">
        <w:rPr>
          <w:color w:val="000000" w:themeColor="text1"/>
          <w:szCs w:val="26"/>
        </w:rPr>
        <w:t>,</w:t>
      </w:r>
      <w:r w:rsidR="00D65A97" w:rsidRPr="003E7EE5">
        <w:rPr>
          <w:color w:val="000000" w:themeColor="text1"/>
          <w:szCs w:val="26"/>
        </w:rPr>
        <w:t xml:space="preserve"> </w:t>
      </w:r>
      <w:r w:rsidR="00C66529" w:rsidRPr="003E7EE5">
        <w:rPr>
          <w:szCs w:val="30"/>
        </w:rPr>
        <w:t>Srinivasan</w:t>
      </w:r>
      <w:r w:rsidR="001073B7" w:rsidRPr="003E7EE5">
        <w:rPr>
          <w:szCs w:val="30"/>
        </w:rPr>
        <w:t xml:space="preserve"> </w:t>
      </w:r>
      <w:r w:rsidR="007E71B6" w:rsidRPr="003E7EE5">
        <w:rPr>
          <w:i/>
          <w:szCs w:val="30"/>
        </w:rPr>
        <w:t>et al.</w:t>
      </w:r>
      <w:r w:rsidR="001073B7" w:rsidRPr="003E7EE5">
        <w:rPr>
          <w:szCs w:val="30"/>
        </w:rPr>
        <w:t xml:space="preserve">, </w:t>
      </w:r>
      <w:r w:rsidR="00C66529" w:rsidRPr="003E7EE5">
        <w:rPr>
          <w:szCs w:val="30"/>
        </w:rPr>
        <w:t>2005</w:t>
      </w:r>
      <w:r w:rsidR="00B40094" w:rsidRPr="003E7EE5">
        <w:rPr>
          <w:color w:val="000000" w:themeColor="text1"/>
          <w:szCs w:val="26"/>
        </w:rPr>
        <w:t>)</w:t>
      </w:r>
      <w:r w:rsidR="004F1A6B" w:rsidRPr="003E7EE5">
        <w:rPr>
          <w:color w:val="000000" w:themeColor="text1"/>
          <w:szCs w:val="26"/>
        </w:rPr>
        <w:t>. The respondents rate</w:t>
      </w:r>
      <w:r w:rsidRPr="003E7EE5">
        <w:rPr>
          <w:color w:val="000000" w:themeColor="text1"/>
          <w:szCs w:val="26"/>
        </w:rPr>
        <w:t>d</w:t>
      </w:r>
      <w:r w:rsidR="004F1A6B" w:rsidRPr="003E7EE5">
        <w:rPr>
          <w:color w:val="000000" w:themeColor="text1"/>
          <w:szCs w:val="26"/>
        </w:rPr>
        <w:t xml:space="preserve"> the</w:t>
      </w:r>
      <w:r w:rsidR="00B40094" w:rsidRPr="003E7EE5">
        <w:rPr>
          <w:color w:val="000000" w:themeColor="text1"/>
          <w:szCs w:val="26"/>
        </w:rPr>
        <w:t xml:space="preserve"> </w:t>
      </w:r>
      <w:r w:rsidR="00C76FE4" w:rsidRPr="003E7EE5">
        <w:rPr>
          <w:color w:val="000000" w:themeColor="text1"/>
          <w:szCs w:val="26"/>
        </w:rPr>
        <w:t xml:space="preserve">availability of </w:t>
      </w:r>
      <w:r w:rsidR="00C11EB9">
        <w:rPr>
          <w:color w:val="000000" w:themeColor="text1"/>
          <w:szCs w:val="26"/>
        </w:rPr>
        <w:t>GMR</w:t>
      </w:r>
      <w:r w:rsidR="00C76FE4" w:rsidRPr="003E7EE5">
        <w:rPr>
          <w:color w:val="000000" w:themeColor="text1"/>
          <w:szCs w:val="26"/>
        </w:rPr>
        <w:t>s during</w:t>
      </w:r>
      <w:r w:rsidR="00B40094" w:rsidRPr="003E7EE5">
        <w:rPr>
          <w:color w:val="000000" w:themeColor="text1"/>
          <w:szCs w:val="26"/>
        </w:rPr>
        <w:t xml:space="preserve"> the last thr</w:t>
      </w:r>
      <w:r w:rsidR="00CB29EA" w:rsidRPr="003E7EE5">
        <w:rPr>
          <w:color w:val="000000" w:themeColor="text1"/>
          <w:szCs w:val="26"/>
        </w:rPr>
        <w:t xml:space="preserve">ee years of </w:t>
      </w:r>
      <w:r w:rsidR="003E33BE">
        <w:rPr>
          <w:color w:val="000000" w:themeColor="text1"/>
          <w:szCs w:val="26"/>
        </w:rPr>
        <w:t xml:space="preserve">the </w:t>
      </w:r>
      <w:r w:rsidR="00CB29EA" w:rsidRPr="003E7EE5">
        <w:rPr>
          <w:color w:val="000000" w:themeColor="text1"/>
          <w:szCs w:val="26"/>
        </w:rPr>
        <w:t>recession (2011</w:t>
      </w:r>
      <w:r w:rsidR="003E33BE">
        <w:rPr>
          <w:color w:val="000000" w:themeColor="text1"/>
          <w:szCs w:val="26"/>
        </w:rPr>
        <w:t>–</w:t>
      </w:r>
      <w:r w:rsidR="00BB6D40" w:rsidRPr="003E7EE5">
        <w:rPr>
          <w:color w:val="000000" w:themeColor="text1"/>
          <w:szCs w:val="26"/>
        </w:rPr>
        <w:t>2014</w:t>
      </w:r>
      <w:r w:rsidR="00B40094" w:rsidRPr="003E7EE5">
        <w:rPr>
          <w:color w:val="000000" w:themeColor="text1"/>
          <w:szCs w:val="26"/>
        </w:rPr>
        <w:t xml:space="preserve">) </w:t>
      </w:r>
      <w:r w:rsidR="00B40094" w:rsidRPr="003E7EE5">
        <w:rPr>
          <w:i/>
          <w:color w:val="000000" w:themeColor="text1"/>
          <w:szCs w:val="26"/>
        </w:rPr>
        <w:t xml:space="preserve">compared </w:t>
      </w:r>
      <w:r w:rsidR="003E33BE">
        <w:rPr>
          <w:i/>
          <w:color w:val="000000" w:themeColor="text1"/>
          <w:szCs w:val="26"/>
        </w:rPr>
        <w:t>with</w:t>
      </w:r>
      <w:r w:rsidR="00B40094" w:rsidRPr="003E7EE5">
        <w:rPr>
          <w:i/>
          <w:color w:val="000000" w:themeColor="text1"/>
          <w:szCs w:val="26"/>
        </w:rPr>
        <w:t xml:space="preserve"> the pre-</w:t>
      </w:r>
      <w:r w:rsidR="0003728E" w:rsidRPr="003E7EE5">
        <w:rPr>
          <w:i/>
          <w:color w:val="000000" w:themeColor="text1"/>
          <w:szCs w:val="26"/>
        </w:rPr>
        <w:t>cr</w:t>
      </w:r>
      <w:r w:rsidR="00B40094" w:rsidRPr="003E7EE5">
        <w:rPr>
          <w:i/>
          <w:color w:val="000000" w:themeColor="text1"/>
          <w:szCs w:val="26"/>
        </w:rPr>
        <w:t xml:space="preserve">isis </w:t>
      </w:r>
      <w:r w:rsidR="00C76FE4" w:rsidRPr="003E7EE5">
        <w:rPr>
          <w:i/>
          <w:color w:val="000000" w:themeColor="text1"/>
          <w:szCs w:val="26"/>
        </w:rPr>
        <w:t>availability</w:t>
      </w:r>
      <w:r w:rsidR="00D65A97" w:rsidRPr="003E7EE5">
        <w:rPr>
          <w:i/>
          <w:color w:val="000000" w:themeColor="text1"/>
          <w:szCs w:val="26"/>
        </w:rPr>
        <w:t xml:space="preserve"> </w:t>
      </w:r>
      <w:r w:rsidR="003E33BE">
        <w:rPr>
          <w:color w:val="000000" w:themeColor="text1"/>
          <w:szCs w:val="26"/>
        </w:rPr>
        <w:t>on</w:t>
      </w:r>
      <w:r w:rsidR="00D65A97" w:rsidRPr="003E7EE5">
        <w:rPr>
          <w:color w:val="000000" w:themeColor="text1"/>
          <w:szCs w:val="26"/>
        </w:rPr>
        <w:t xml:space="preserve"> a </w:t>
      </w:r>
      <w:r w:rsidR="003E33BE">
        <w:rPr>
          <w:color w:val="000000" w:themeColor="text1"/>
          <w:szCs w:val="26"/>
        </w:rPr>
        <w:t>seven</w:t>
      </w:r>
      <w:r w:rsidR="00D65A97" w:rsidRPr="003E7EE5">
        <w:rPr>
          <w:color w:val="000000" w:themeColor="text1"/>
          <w:szCs w:val="26"/>
        </w:rPr>
        <w:t>-point scale (1 = very much reduced, 7 = very much increased)</w:t>
      </w:r>
      <w:r w:rsidR="00C76FE4" w:rsidRPr="003E7EE5">
        <w:rPr>
          <w:color w:val="000000" w:themeColor="text1"/>
          <w:szCs w:val="26"/>
        </w:rPr>
        <w:t>.</w:t>
      </w:r>
      <w:r w:rsidR="003E33BE">
        <w:rPr>
          <w:color w:val="000000" w:themeColor="text1"/>
          <w:szCs w:val="26"/>
        </w:rPr>
        <w:t xml:space="preserve"> Table 2 provides the</w:t>
      </w:r>
      <w:r w:rsidR="00704DDD" w:rsidRPr="003E7EE5">
        <w:rPr>
          <w:color w:val="000000" w:themeColor="text1"/>
          <w:szCs w:val="22"/>
        </w:rPr>
        <w:t xml:space="preserve"> full list of the scales and their items along with their psychometric properties.</w:t>
      </w:r>
    </w:p>
    <w:p w14:paraId="09B8728C" w14:textId="01878255" w:rsidR="00D33967" w:rsidRPr="003E7EE5" w:rsidRDefault="00840433" w:rsidP="005E1791">
      <w:pPr>
        <w:tabs>
          <w:tab w:val="left" w:pos="284"/>
        </w:tabs>
        <w:spacing w:line="480" w:lineRule="auto"/>
        <w:jc w:val="center"/>
        <w:rPr>
          <w:rFonts w:ascii="Times" w:hAnsi="Times" w:cs="Times"/>
          <w:i/>
          <w:szCs w:val="22"/>
        </w:rPr>
      </w:pPr>
      <w:r w:rsidRPr="003E7EE5">
        <w:rPr>
          <w:i/>
          <w:color w:val="000000" w:themeColor="text1"/>
        </w:rPr>
        <w:t>Table 2 here</w:t>
      </w:r>
    </w:p>
    <w:p w14:paraId="07F29AC1" w14:textId="2C67D0F2" w:rsidR="000104A4" w:rsidRPr="003E7EE5" w:rsidRDefault="000104A4" w:rsidP="005E1791">
      <w:pPr>
        <w:widowControl w:val="0"/>
        <w:autoSpaceDE w:val="0"/>
        <w:autoSpaceDN w:val="0"/>
        <w:adjustRightInd w:val="0"/>
        <w:spacing w:line="480" w:lineRule="auto"/>
        <w:outlineLvl w:val="0"/>
        <w:rPr>
          <w:i/>
        </w:rPr>
      </w:pPr>
      <w:r w:rsidRPr="003E7EE5">
        <w:rPr>
          <w:i/>
        </w:rPr>
        <w:t xml:space="preserve">Non-response and </w:t>
      </w:r>
      <w:r w:rsidR="003E33BE">
        <w:rPr>
          <w:i/>
        </w:rPr>
        <w:t>c</w:t>
      </w:r>
      <w:r w:rsidRPr="003E7EE5">
        <w:rPr>
          <w:i/>
        </w:rPr>
        <w:t xml:space="preserve">ommon </w:t>
      </w:r>
      <w:r w:rsidR="003E33BE">
        <w:rPr>
          <w:i/>
        </w:rPr>
        <w:t>m</w:t>
      </w:r>
      <w:r w:rsidRPr="003E7EE5">
        <w:rPr>
          <w:i/>
        </w:rPr>
        <w:t xml:space="preserve">ethod </w:t>
      </w:r>
      <w:r w:rsidR="003E33BE">
        <w:rPr>
          <w:i/>
        </w:rPr>
        <w:t>b</w:t>
      </w:r>
      <w:r w:rsidRPr="003E7EE5">
        <w:rPr>
          <w:i/>
        </w:rPr>
        <w:t xml:space="preserve">ias </w:t>
      </w:r>
    </w:p>
    <w:p w14:paraId="6C1A1EDB" w14:textId="765CC1E9" w:rsidR="00BE787E" w:rsidRPr="003E7EE5" w:rsidRDefault="00BE787E" w:rsidP="005E1791">
      <w:pPr>
        <w:spacing w:line="480" w:lineRule="auto"/>
        <w:rPr>
          <w:szCs w:val="32"/>
        </w:rPr>
      </w:pPr>
      <w:r w:rsidRPr="003E7EE5">
        <w:rPr>
          <w:szCs w:val="32"/>
        </w:rPr>
        <w:t>We tested for non-response bias following the Armstrong and Overton</w:t>
      </w:r>
      <w:r w:rsidR="00754921">
        <w:rPr>
          <w:szCs w:val="32"/>
        </w:rPr>
        <w:t>’s</w:t>
      </w:r>
      <w:r w:rsidRPr="003E7EE5">
        <w:rPr>
          <w:szCs w:val="32"/>
        </w:rPr>
        <w:t xml:space="preserve"> (1977)</w:t>
      </w:r>
      <w:r w:rsidR="00754921" w:rsidRPr="00754921">
        <w:rPr>
          <w:szCs w:val="32"/>
        </w:rPr>
        <w:t xml:space="preserve"> </w:t>
      </w:r>
      <w:r w:rsidR="00754921" w:rsidRPr="003E7EE5">
        <w:rPr>
          <w:szCs w:val="32"/>
        </w:rPr>
        <w:t>proposed</w:t>
      </w:r>
      <w:r w:rsidR="00754921">
        <w:rPr>
          <w:szCs w:val="32"/>
        </w:rPr>
        <w:t xml:space="preserve"> method</w:t>
      </w:r>
      <w:r w:rsidRPr="003E7EE5">
        <w:rPr>
          <w:szCs w:val="32"/>
        </w:rPr>
        <w:t xml:space="preserve">. In our sampling frame, we were able to find comparable data in terms of the company sector and the number of employees between respondents and non-respondents. Our t-test analysis based on the number of employees </w:t>
      </w:r>
      <w:r w:rsidR="00754921">
        <w:rPr>
          <w:szCs w:val="32"/>
        </w:rPr>
        <w:t>showed</w:t>
      </w:r>
      <w:r w:rsidRPr="003E7EE5">
        <w:rPr>
          <w:szCs w:val="32"/>
        </w:rPr>
        <w:t xml:space="preserve"> non-significant differences between the two groups (</w:t>
      </w:r>
      <w:r w:rsidRPr="005E1791">
        <w:rPr>
          <w:i/>
          <w:iCs/>
          <w:szCs w:val="32"/>
        </w:rPr>
        <w:t>p</w:t>
      </w:r>
      <w:r w:rsidR="00754921">
        <w:rPr>
          <w:szCs w:val="32"/>
        </w:rPr>
        <w:t xml:space="preserve"> </w:t>
      </w:r>
      <w:r w:rsidRPr="003E7EE5">
        <w:rPr>
          <w:szCs w:val="32"/>
        </w:rPr>
        <w:t>=</w:t>
      </w:r>
      <w:r w:rsidR="00754921">
        <w:rPr>
          <w:szCs w:val="32"/>
        </w:rPr>
        <w:t xml:space="preserve"> </w:t>
      </w:r>
      <w:r w:rsidRPr="003E7EE5">
        <w:rPr>
          <w:szCs w:val="32"/>
        </w:rPr>
        <w:t xml:space="preserve">0.092). </w:t>
      </w:r>
      <w:proofErr w:type="gramStart"/>
      <w:r w:rsidRPr="003E7EE5">
        <w:rPr>
          <w:szCs w:val="32"/>
        </w:rPr>
        <w:t>With regard to</w:t>
      </w:r>
      <w:proofErr w:type="gramEnd"/>
      <w:r w:rsidRPr="003E7EE5">
        <w:rPr>
          <w:szCs w:val="32"/>
        </w:rPr>
        <w:t xml:space="preserve"> company sector, we first </w:t>
      </w:r>
      <w:r w:rsidR="00754921">
        <w:rPr>
          <w:szCs w:val="32"/>
        </w:rPr>
        <w:t>needed</w:t>
      </w:r>
      <w:r w:rsidRPr="003E7EE5">
        <w:rPr>
          <w:szCs w:val="32"/>
        </w:rPr>
        <w:t xml:space="preserve"> to merge our sample’s sector sub-categories into three main groups (FMCG, </w:t>
      </w:r>
      <w:r w:rsidR="00754921">
        <w:rPr>
          <w:szCs w:val="32"/>
        </w:rPr>
        <w:t>i</w:t>
      </w:r>
      <w:r w:rsidRPr="003E7EE5">
        <w:rPr>
          <w:szCs w:val="32"/>
        </w:rPr>
        <w:t xml:space="preserve">ndustrial </w:t>
      </w:r>
      <w:r w:rsidR="00754921">
        <w:rPr>
          <w:szCs w:val="32"/>
        </w:rPr>
        <w:t>p</w:t>
      </w:r>
      <w:r w:rsidRPr="003E7EE5">
        <w:rPr>
          <w:szCs w:val="32"/>
        </w:rPr>
        <w:t>roducts</w:t>
      </w:r>
      <w:r w:rsidR="00754921">
        <w:rPr>
          <w:szCs w:val="32"/>
        </w:rPr>
        <w:t>,</w:t>
      </w:r>
      <w:r w:rsidRPr="003E7EE5">
        <w:rPr>
          <w:szCs w:val="32"/>
        </w:rPr>
        <w:t xml:space="preserve"> and </w:t>
      </w:r>
      <w:r w:rsidR="00754921">
        <w:rPr>
          <w:szCs w:val="32"/>
        </w:rPr>
        <w:lastRenderedPageBreak/>
        <w:t>s</w:t>
      </w:r>
      <w:r w:rsidRPr="003E7EE5">
        <w:rPr>
          <w:szCs w:val="32"/>
        </w:rPr>
        <w:t xml:space="preserve">ervices) to have comparable data, given that our sampling frame included these major sector categories. The proportions’ tests yielded non-significant results (FMCG: </w:t>
      </w:r>
      <w:r w:rsidRPr="005E1791">
        <w:rPr>
          <w:i/>
          <w:iCs/>
          <w:szCs w:val="32"/>
        </w:rPr>
        <w:t>z</w:t>
      </w:r>
      <w:r w:rsidRPr="003E7EE5">
        <w:rPr>
          <w:szCs w:val="32"/>
        </w:rPr>
        <w:t xml:space="preserve"> = </w:t>
      </w:r>
      <w:r w:rsidR="00754921">
        <w:rPr>
          <w:szCs w:val="32"/>
        </w:rPr>
        <w:t>–</w:t>
      </w:r>
      <w:r w:rsidRPr="003E7EE5">
        <w:rPr>
          <w:szCs w:val="32"/>
        </w:rPr>
        <w:t xml:space="preserve">.236, </w:t>
      </w:r>
      <w:r w:rsidRPr="005E1791">
        <w:rPr>
          <w:i/>
          <w:iCs/>
          <w:szCs w:val="32"/>
        </w:rPr>
        <w:t>p</w:t>
      </w:r>
      <w:r w:rsidRPr="003E7EE5">
        <w:rPr>
          <w:szCs w:val="32"/>
        </w:rPr>
        <w:t xml:space="preserve"> = .810; </w:t>
      </w:r>
      <w:r w:rsidR="00754921">
        <w:rPr>
          <w:szCs w:val="32"/>
        </w:rPr>
        <w:t>i</w:t>
      </w:r>
      <w:r w:rsidRPr="003E7EE5">
        <w:rPr>
          <w:szCs w:val="32"/>
        </w:rPr>
        <w:t xml:space="preserve">ndustrial products: </w:t>
      </w:r>
      <w:r w:rsidRPr="005E1791">
        <w:rPr>
          <w:i/>
          <w:iCs/>
          <w:szCs w:val="32"/>
        </w:rPr>
        <w:t>z</w:t>
      </w:r>
      <w:r w:rsidRPr="003E7EE5">
        <w:rPr>
          <w:szCs w:val="32"/>
        </w:rPr>
        <w:t xml:space="preserve"> = </w:t>
      </w:r>
      <w:r w:rsidR="00754921">
        <w:rPr>
          <w:szCs w:val="32"/>
        </w:rPr>
        <w:t>–</w:t>
      </w:r>
      <w:r w:rsidRPr="003E7EE5">
        <w:rPr>
          <w:szCs w:val="32"/>
        </w:rPr>
        <w:t xml:space="preserve">1.253, </w:t>
      </w:r>
      <w:r w:rsidRPr="005E1791">
        <w:rPr>
          <w:i/>
          <w:iCs/>
          <w:szCs w:val="32"/>
        </w:rPr>
        <w:t>p</w:t>
      </w:r>
      <w:r w:rsidRPr="003E7EE5">
        <w:rPr>
          <w:szCs w:val="32"/>
        </w:rPr>
        <w:t xml:space="preserve"> = .212; </w:t>
      </w:r>
      <w:r w:rsidR="00754921">
        <w:rPr>
          <w:szCs w:val="32"/>
        </w:rPr>
        <w:t>s</w:t>
      </w:r>
      <w:r w:rsidRPr="003E7EE5">
        <w:rPr>
          <w:szCs w:val="32"/>
        </w:rPr>
        <w:t xml:space="preserve">ervices: </w:t>
      </w:r>
      <w:r w:rsidRPr="005E1791">
        <w:rPr>
          <w:i/>
          <w:iCs/>
          <w:szCs w:val="32"/>
        </w:rPr>
        <w:t>z</w:t>
      </w:r>
      <w:r w:rsidRPr="003E7EE5">
        <w:rPr>
          <w:szCs w:val="32"/>
        </w:rPr>
        <w:t xml:space="preserve"> = 1.327, </w:t>
      </w:r>
      <w:r w:rsidRPr="005E1791">
        <w:rPr>
          <w:i/>
          <w:iCs/>
          <w:szCs w:val="32"/>
        </w:rPr>
        <w:t>p</w:t>
      </w:r>
      <w:r w:rsidRPr="003E7EE5">
        <w:rPr>
          <w:szCs w:val="32"/>
        </w:rPr>
        <w:t xml:space="preserve"> = .183). </w:t>
      </w:r>
      <w:r w:rsidR="00754921">
        <w:rPr>
          <w:szCs w:val="32"/>
        </w:rPr>
        <w:t>The</w:t>
      </w:r>
      <w:r w:rsidRPr="003E7EE5">
        <w:rPr>
          <w:szCs w:val="32"/>
        </w:rPr>
        <w:t xml:space="preserve"> t-test analyses </w:t>
      </w:r>
      <w:r w:rsidR="00754921">
        <w:rPr>
          <w:szCs w:val="32"/>
        </w:rPr>
        <w:t xml:space="preserve">also </w:t>
      </w:r>
      <w:r w:rsidRPr="003E7EE5">
        <w:rPr>
          <w:szCs w:val="32"/>
        </w:rPr>
        <w:t>found no significant differences between early and late respondents (based on the median return rate) on key study measures (see Appendix A3 for details).</w:t>
      </w:r>
    </w:p>
    <w:p w14:paraId="55AA6738" w14:textId="32406EB0" w:rsidR="001517B0" w:rsidRPr="003E7EE5" w:rsidRDefault="00E631CE" w:rsidP="005E1791">
      <w:pPr>
        <w:spacing w:line="480" w:lineRule="auto"/>
        <w:ind w:firstLine="567"/>
      </w:pPr>
      <w:r w:rsidRPr="003E7EE5">
        <w:t>We used the marker variable approach (</w:t>
      </w:r>
      <w:r w:rsidRPr="003E7EE5">
        <w:rPr>
          <w:bCs/>
        </w:rPr>
        <w:t>Lind</w:t>
      </w:r>
      <w:r w:rsidR="003C6C3A" w:rsidRPr="003E7EE5">
        <w:t xml:space="preserve">ell </w:t>
      </w:r>
      <w:r w:rsidR="007E71B6" w:rsidRPr="003E7EE5">
        <w:t>and</w:t>
      </w:r>
      <w:r w:rsidR="00F847B1" w:rsidRPr="003E7EE5">
        <w:t xml:space="preserve"> Whitney</w:t>
      </w:r>
      <w:r w:rsidR="002E2BE6" w:rsidRPr="003E7EE5">
        <w:t>,</w:t>
      </w:r>
      <w:r w:rsidRPr="003E7EE5">
        <w:t xml:space="preserve"> 2001) to address the issue of common method variance. Our marker variable measured respondents’ beliefs about the technology status in the </w:t>
      </w:r>
      <w:r w:rsidR="00D93B42" w:rsidRPr="003E7EE5">
        <w:t>industry (i.e.</w:t>
      </w:r>
      <w:r w:rsidR="00C405C8">
        <w:t>,</w:t>
      </w:r>
      <w:r w:rsidR="00D93B42" w:rsidRPr="003E7EE5">
        <w:t xml:space="preserve"> “</w:t>
      </w:r>
      <w:r w:rsidR="00D93B42" w:rsidRPr="005E1791">
        <w:t>Technological developments in our industry are rather minor</w:t>
      </w:r>
      <w:r w:rsidR="00D93B42" w:rsidRPr="003E7EE5">
        <w:t>”)</w:t>
      </w:r>
      <w:r w:rsidRPr="003E7EE5">
        <w:t xml:space="preserve"> on the same </w:t>
      </w:r>
      <w:r w:rsidR="00754921">
        <w:t>seven</w:t>
      </w:r>
      <w:r w:rsidRPr="003E7EE5">
        <w:t>-point scale format as the main variables in the model. Specifically, after establishing that this variable is conceptually unrelated to the main constructs (all correlations between this variable and the s</w:t>
      </w:r>
      <w:r w:rsidR="00E47A71" w:rsidRPr="003E7EE5">
        <w:t>ix</w:t>
      </w:r>
      <w:r w:rsidRPr="003E7EE5">
        <w:t xml:space="preserve"> main model constructs range between .003 and .098 and are non-significant), we calculated </w:t>
      </w:r>
      <w:r w:rsidR="00754921">
        <w:t xml:space="preserve">both </w:t>
      </w:r>
      <w:r w:rsidRPr="003E7EE5">
        <w:t xml:space="preserve">raw inter-construct correlations </w:t>
      </w:r>
      <w:r w:rsidR="00754921">
        <w:t xml:space="preserve">and </w:t>
      </w:r>
      <w:r w:rsidRPr="003E7EE5">
        <w:t xml:space="preserve">corrected correlations after partialing out the influence of the marker variable. Comparison of these two sets of correlations reveals no changes in statistical significance, while the correlation sizes are practically identical, with few minor differences at the third decimal digit. These results suggest the absence of common method variance </w:t>
      </w:r>
      <w:r w:rsidR="009F1EC8" w:rsidRPr="003E7EE5">
        <w:t>(</w:t>
      </w:r>
      <w:r w:rsidR="00754921">
        <w:t>s</w:t>
      </w:r>
      <w:r w:rsidR="009F1EC8" w:rsidRPr="003E7EE5">
        <w:t xml:space="preserve">ee </w:t>
      </w:r>
      <w:r w:rsidR="003E2CC6" w:rsidRPr="003E7EE5">
        <w:t xml:space="preserve">Appendix </w:t>
      </w:r>
      <w:r w:rsidR="00EB61AB" w:rsidRPr="003E7EE5">
        <w:t>A</w:t>
      </w:r>
      <w:r w:rsidR="00D93B42" w:rsidRPr="003E7EE5">
        <w:t>4</w:t>
      </w:r>
      <w:r w:rsidR="009F1EC8" w:rsidRPr="003E7EE5">
        <w:t>)</w:t>
      </w:r>
      <w:r w:rsidRPr="003E7EE5">
        <w:t>.</w:t>
      </w:r>
    </w:p>
    <w:p w14:paraId="4E4F004E" w14:textId="5FC11F1E" w:rsidR="00E631CE" w:rsidRPr="003E7EE5" w:rsidRDefault="00E631CE" w:rsidP="005E1791">
      <w:pPr>
        <w:widowControl w:val="0"/>
        <w:autoSpaceDE w:val="0"/>
        <w:autoSpaceDN w:val="0"/>
        <w:adjustRightInd w:val="0"/>
        <w:spacing w:line="480" w:lineRule="auto"/>
        <w:outlineLvl w:val="0"/>
        <w:rPr>
          <w:i/>
          <w:iCs/>
        </w:rPr>
      </w:pPr>
      <w:r w:rsidRPr="003E7EE5">
        <w:rPr>
          <w:i/>
          <w:iCs/>
        </w:rPr>
        <w:t xml:space="preserve">Social </w:t>
      </w:r>
      <w:r w:rsidR="00F8568B">
        <w:rPr>
          <w:i/>
          <w:iCs/>
        </w:rPr>
        <w:t>d</w:t>
      </w:r>
      <w:r w:rsidRPr="003E7EE5">
        <w:rPr>
          <w:i/>
          <w:iCs/>
        </w:rPr>
        <w:t xml:space="preserve">esirability </w:t>
      </w:r>
      <w:r w:rsidR="00F8568B">
        <w:rPr>
          <w:i/>
          <w:iCs/>
        </w:rPr>
        <w:t>b</w:t>
      </w:r>
      <w:r w:rsidRPr="003E7EE5">
        <w:rPr>
          <w:i/>
          <w:iCs/>
        </w:rPr>
        <w:t>ias</w:t>
      </w:r>
    </w:p>
    <w:p w14:paraId="227A5A4F" w14:textId="0A8CA06D" w:rsidR="00151408" w:rsidRPr="00151408" w:rsidRDefault="007571D0" w:rsidP="00617A5D">
      <w:pPr>
        <w:widowControl w:val="0"/>
        <w:autoSpaceDE w:val="0"/>
        <w:autoSpaceDN w:val="0"/>
        <w:adjustRightInd w:val="0"/>
        <w:spacing w:line="480" w:lineRule="auto"/>
      </w:pPr>
      <w:r w:rsidRPr="003E7EE5">
        <w:t>A</w:t>
      </w:r>
      <w:r w:rsidR="00F8568B">
        <w:t xml:space="preserve">s people may perceive </w:t>
      </w:r>
      <w:r w:rsidRPr="003E7EE5">
        <w:t xml:space="preserve">green marketing practices as desirable </w:t>
      </w:r>
      <w:r w:rsidRPr="003E7EE5">
        <w:rPr>
          <w:color w:val="000000" w:themeColor="text1"/>
        </w:rPr>
        <w:t xml:space="preserve">behavior, </w:t>
      </w:r>
      <w:r w:rsidR="00F8568B">
        <w:rPr>
          <w:color w:val="000000" w:themeColor="text1"/>
        </w:rPr>
        <w:t>s</w:t>
      </w:r>
      <w:r w:rsidR="00F8568B" w:rsidRPr="00F8568B">
        <w:rPr>
          <w:color w:val="000000" w:themeColor="text1"/>
        </w:rPr>
        <w:t>ocial desirability bias</w:t>
      </w:r>
      <w:r w:rsidRPr="003E7EE5">
        <w:rPr>
          <w:color w:val="000000" w:themeColor="text1"/>
        </w:rPr>
        <w:t xml:space="preserve"> may potentially </w:t>
      </w:r>
      <w:r w:rsidR="00E85B22">
        <w:rPr>
          <w:color w:val="000000" w:themeColor="text1"/>
        </w:rPr>
        <w:t>influence</w:t>
      </w:r>
      <w:r w:rsidR="00E80A15" w:rsidRPr="003E7EE5">
        <w:rPr>
          <w:color w:val="000000" w:themeColor="text1"/>
        </w:rPr>
        <w:t xml:space="preserve"> </w:t>
      </w:r>
      <w:r w:rsidR="00F8568B">
        <w:rPr>
          <w:color w:val="000000" w:themeColor="text1"/>
        </w:rPr>
        <w:t>respondents’</w:t>
      </w:r>
      <w:r w:rsidR="00E80A15" w:rsidRPr="003E7EE5">
        <w:rPr>
          <w:color w:val="000000" w:themeColor="text1"/>
        </w:rPr>
        <w:t xml:space="preserve"> responses</w:t>
      </w:r>
      <w:r w:rsidRPr="003E7EE5">
        <w:rPr>
          <w:color w:val="000000" w:themeColor="text1"/>
        </w:rPr>
        <w:t xml:space="preserve"> </w:t>
      </w:r>
      <w:r w:rsidRPr="003E7EE5">
        <w:t>(Steenkamp</w:t>
      </w:r>
      <w:r w:rsidR="00566E35" w:rsidRPr="003E7EE5">
        <w:t xml:space="preserve"> </w:t>
      </w:r>
      <w:r w:rsidR="00566E35" w:rsidRPr="003E7EE5">
        <w:rPr>
          <w:i/>
        </w:rPr>
        <w:t>et al.</w:t>
      </w:r>
      <w:r w:rsidR="00566E35" w:rsidRPr="003E7EE5">
        <w:t xml:space="preserve">, </w:t>
      </w:r>
      <w:r w:rsidRPr="003E7EE5">
        <w:t>2010)</w:t>
      </w:r>
      <w:r w:rsidRPr="003E7EE5">
        <w:rPr>
          <w:color w:val="000000" w:themeColor="text1"/>
        </w:rPr>
        <w:t xml:space="preserve">. To measure </w:t>
      </w:r>
      <w:r w:rsidR="00F8568B">
        <w:rPr>
          <w:color w:val="000000" w:themeColor="text1"/>
        </w:rPr>
        <w:t>such a bias</w:t>
      </w:r>
      <w:r w:rsidRPr="003E7EE5">
        <w:rPr>
          <w:color w:val="000000" w:themeColor="text1"/>
        </w:rPr>
        <w:t xml:space="preserve">, we used Strahan </w:t>
      </w:r>
      <w:r w:rsidR="007E71B6" w:rsidRPr="003E7EE5">
        <w:rPr>
          <w:color w:val="000000" w:themeColor="text1"/>
        </w:rPr>
        <w:t>and</w:t>
      </w:r>
      <w:r w:rsidRPr="003E7EE5">
        <w:rPr>
          <w:color w:val="000000" w:themeColor="text1"/>
        </w:rPr>
        <w:t xml:space="preserve"> </w:t>
      </w:r>
      <w:proofErr w:type="spellStart"/>
      <w:r w:rsidRPr="003E7EE5">
        <w:rPr>
          <w:color w:val="000000" w:themeColor="text1"/>
        </w:rPr>
        <w:t>Gerbasi's</w:t>
      </w:r>
      <w:proofErr w:type="spellEnd"/>
      <w:r w:rsidRPr="003E7EE5">
        <w:rPr>
          <w:color w:val="000000" w:themeColor="text1"/>
        </w:rPr>
        <w:t xml:space="preserve"> (1972) Form X1, which is a</w:t>
      </w:r>
      <w:r w:rsidRPr="003E7EE5">
        <w:t xml:space="preserve"> short version of the Marlowe</w:t>
      </w:r>
      <w:r w:rsidR="00F8568B">
        <w:t>–</w:t>
      </w:r>
      <w:r w:rsidR="00F8568B" w:rsidRPr="003E7EE5">
        <w:t>Crowne</w:t>
      </w:r>
      <w:r w:rsidRPr="003E7EE5">
        <w:t xml:space="preserve"> social desirability scale. To investigate potential confounding effects, we correlated</w:t>
      </w:r>
      <w:r w:rsidR="000858C0" w:rsidRPr="003E7EE5">
        <w:t xml:space="preserve"> the scale with the GMS,</w:t>
      </w:r>
      <w:r w:rsidRPr="003E7EE5">
        <w:t xml:space="preserve"> OR</w:t>
      </w:r>
      <w:r w:rsidR="00F8568B">
        <w:t>,</w:t>
      </w:r>
      <w:r w:rsidRPr="003E7EE5">
        <w:t xml:space="preserve"> and FR scale</w:t>
      </w:r>
      <w:r w:rsidR="00F8568B">
        <w:t>s</w:t>
      </w:r>
      <w:r w:rsidRPr="003E7EE5">
        <w:t xml:space="preserve">. </w:t>
      </w:r>
      <w:bookmarkStart w:id="1" w:name="_Hlk70328561"/>
      <w:r w:rsidRPr="003E7EE5">
        <w:t xml:space="preserve">All correlations were either </w:t>
      </w:r>
      <w:r w:rsidR="00E85B22">
        <w:t>non-</w:t>
      </w:r>
      <w:r w:rsidRPr="003E7EE5">
        <w:t xml:space="preserve">significant or relatively low for both overall scores, as </w:t>
      </w:r>
      <w:r w:rsidR="00E85B22">
        <w:t>were</w:t>
      </w:r>
      <w:r w:rsidRPr="003E7EE5">
        <w:t xml:space="preserve"> their individual items (see Appendix </w:t>
      </w:r>
      <w:r w:rsidR="00EB61AB" w:rsidRPr="003E7EE5">
        <w:t>A</w:t>
      </w:r>
      <w:r w:rsidR="00D93B42" w:rsidRPr="003E7EE5">
        <w:t>5</w:t>
      </w:r>
      <w:r w:rsidRPr="003E7EE5">
        <w:t xml:space="preserve">). These results </w:t>
      </w:r>
      <w:bookmarkEnd w:id="1"/>
      <w:r w:rsidRPr="003E7EE5">
        <w:t xml:space="preserve">indicate that socially desirable responses are unlikely to play a </w:t>
      </w:r>
      <w:r w:rsidRPr="003E7EE5">
        <w:lastRenderedPageBreak/>
        <w:t xml:space="preserve">role </w:t>
      </w:r>
      <w:r w:rsidR="00A60DD0" w:rsidRPr="003E7EE5">
        <w:t xml:space="preserve">in </w:t>
      </w:r>
      <w:r w:rsidRPr="003E7EE5">
        <w:t>respondent</w:t>
      </w:r>
      <w:r w:rsidR="00E85B22">
        <w:t>s’</w:t>
      </w:r>
      <w:r w:rsidRPr="003E7EE5">
        <w:t xml:space="preserve"> assessments. </w:t>
      </w:r>
    </w:p>
    <w:p w14:paraId="06B48EFF" w14:textId="0AEF3B25" w:rsidR="00216318" w:rsidRPr="003E7EE5" w:rsidRDefault="008F5867" w:rsidP="005E1791">
      <w:pPr>
        <w:widowControl w:val="0"/>
        <w:autoSpaceDE w:val="0"/>
        <w:autoSpaceDN w:val="0"/>
        <w:adjustRightInd w:val="0"/>
        <w:spacing w:line="480" w:lineRule="auto"/>
        <w:rPr>
          <w:b/>
        </w:rPr>
      </w:pPr>
      <w:r w:rsidRPr="003E7EE5">
        <w:rPr>
          <w:b/>
        </w:rPr>
        <w:t>Results</w:t>
      </w:r>
    </w:p>
    <w:p w14:paraId="73761C52" w14:textId="5C433E93" w:rsidR="000104A4" w:rsidRPr="003E7EE5" w:rsidRDefault="000104A4" w:rsidP="005E1791">
      <w:pPr>
        <w:widowControl w:val="0"/>
        <w:autoSpaceDE w:val="0"/>
        <w:autoSpaceDN w:val="0"/>
        <w:adjustRightInd w:val="0"/>
        <w:spacing w:line="480" w:lineRule="auto"/>
        <w:rPr>
          <w:b/>
        </w:rPr>
      </w:pPr>
      <w:r w:rsidRPr="003E7EE5">
        <w:rPr>
          <w:i/>
        </w:rPr>
        <w:t>Measurement model assessment</w:t>
      </w:r>
    </w:p>
    <w:p w14:paraId="040F1558" w14:textId="337D9713" w:rsidR="00D33967" w:rsidRPr="003E7EE5" w:rsidRDefault="00E85B22" w:rsidP="00E85B22">
      <w:pPr>
        <w:widowControl w:val="0"/>
        <w:autoSpaceDE w:val="0"/>
        <w:autoSpaceDN w:val="0"/>
        <w:adjustRightInd w:val="0"/>
        <w:spacing w:line="480" w:lineRule="auto"/>
      </w:pPr>
      <w:r>
        <w:t>We</w:t>
      </w:r>
      <w:r w:rsidRPr="003E7EE5">
        <w:t xml:space="preserve"> conducted</w:t>
      </w:r>
      <w:r w:rsidR="00E631CE" w:rsidRPr="003E7EE5">
        <w:t xml:space="preserve"> confirmatory factor analysis to test the psychometric properties of all latent construct measures. The measurement model fits the data well (χ</w:t>
      </w:r>
      <w:r w:rsidR="00E631CE" w:rsidRPr="003E7EE5">
        <w:rPr>
          <w:vertAlign w:val="superscript"/>
        </w:rPr>
        <w:t>2</w:t>
      </w:r>
      <w:r w:rsidR="00E631CE" w:rsidRPr="003E7EE5">
        <w:rPr>
          <w:position w:val="10"/>
        </w:rPr>
        <w:t xml:space="preserve"> </w:t>
      </w:r>
      <w:r w:rsidR="00E631CE" w:rsidRPr="003E7EE5">
        <w:t xml:space="preserve">= 1931.344, </w:t>
      </w:r>
      <w:r w:rsidR="00E631CE" w:rsidRPr="005E1791">
        <w:rPr>
          <w:i/>
          <w:iCs/>
        </w:rPr>
        <w:t>df</w:t>
      </w:r>
      <w:r w:rsidR="00E631CE" w:rsidRPr="003E7EE5">
        <w:t xml:space="preserve"> = 924, </w:t>
      </w:r>
      <w:r w:rsidR="00E631CE" w:rsidRPr="005E1791">
        <w:rPr>
          <w:i/>
          <w:iCs/>
        </w:rPr>
        <w:t>p</w:t>
      </w:r>
      <w:r>
        <w:t xml:space="preserve"> </w:t>
      </w:r>
      <w:r w:rsidR="00E631CE" w:rsidRPr="003E7EE5">
        <w:t>&lt;</w:t>
      </w:r>
      <w:r>
        <w:t xml:space="preserve"> </w:t>
      </w:r>
      <w:r w:rsidR="00E631CE" w:rsidRPr="003E7EE5">
        <w:t>0.001</w:t>
      </w:r>
      <w:r>
        <w:t>;</w:t>
      </w:r>
      <w:r w:rsidR="002D7A1C" w:rsidRPr="003E7EE5">
        <w:t xml:space="preserve"> RMSEA</w:t>
      </w:r>
      <w:r>
        <w:t xml:space="preserve"> </w:t>
      </w:r>
      <w:r w:rsidR="002D7A1C" w:rsidRPr="003E7EE5">
        <w:t>=</w:t>
      </w:r>
      <w:r>
        <w:t xml:space="preserve"> </w:t>
      </w:r>
      <w:r w:rsidR="002D7A1C" w:rsidRPr="003E7EE5">
        <w:t>0.067</w:t>
      </w:r>
      <w:r>
        <w:t>;</w:t>
      </w:r>
      <w:r w:rsidR="002D7A1C" w:rsidRPr="003E7EE5">
        <w:t xml:space="preserve"> CFI</w:t>
      </w:r>
      <w:r>
        <w:t xml:space="preserve"> </w:t>
      </w:r>
      <w:r w:rsidR="002D7A1C" w:rsidRPr="003E7EE5">
        <w:t>=</w:t>
      </w:r>
      <w:r>
        <w:t xml:space="preserve"> </w:t>
      </w:r>
      <w:r w:rsidR="00E631CE" w:rsidRPr="003E7EE5">
        <w:t>0.892</w:t>
      </w:r>
      <w:r>
        <w:t>;</w:t>
      </w:r>
      <w:r w:rsidR="00E631CE" w:rsidRPr="003E7EE5">
        <w:t xml:space="preserve"> SRMR</w:t>
      </w:r>
      <w:r>
        <w:t xml:space="preserve"> </w:t>
      </w:r>
      <w:r w:rsidR="002D7A1C" w:rsidRPr="003E7EE5">
        <w:t>=</w:t>
      </w:r>
      <w:r>
        <w:t xml:space="preserve"> </w:t>
      </w:r>
      <w:r w:rsidR="00E631CE" w:rsidRPr="003E7EE5">
        <w:t>0.059). Construct validity and reliability were also established as indicated by (</w:t>
      </w:r>
      <w:r>
        <w:t>1</w:t>
      </w:r>
      <w:r w:rsidR="00E631CE" w:rsidRPr="003E7EE5">
        <w:t>) high Cronbach's alpha coefficients (ranging from 0.862 to 0.94), (</w:t>
      </w:r>
      <w:r>
        <w:t>2</w:t>
      </w:r>
      <w:r w:rsidR="00E631CE" w:rsidRPr="003E7EE5">
        <w:t xml:space="preserve">) </w:t>
      </w:r>
      <w:r w:rsidR="00E631CE" w:rsidRPr="003E7EE5">
        <w:rPr>
          <w:color w:val="000000" w:themeColor="text1"/>
        </w:rPr>
        <w:t xml:space="preserve">satisfactory </w:t>
      </w:r>
      <w:r w:rsidR="00E631CE" w:rsidRPr="003E7EE5">
        <w:t xml:space="preserve">item-to-construct loadings (ranging from </w:t>
      </w:r>
      <w:r w:rsidR="00E631CE" w:rsidRPr="003E7EE5">
        <w:rPr>
          <w:color w:val="000000" w:themeColor="text1"/>
        </w:rPr>
        <w:t xml:space="preserve">0.588 </w:t>
      </w:r>
      <w:r w:rsidR="00E631CE" w:rsidRPr="003E7EE5">
        <w:t>to 0.955), and (</w:t>
      </w:r>
      <w:r>
        <w:t>3</w:t>
      </w:r>
      <w:r w:rsidR="00E631CE" w:rsidRPr="003E7EE5">
        <w:t>) composite reliabilities (ranging from 0.868 to 0.943) and average variance extracted</w:t>
      </w:r>
      <w:r>
        <w:t xml:space="preserve"> (AVE)</w:t>
      </w:r>
      <w:r w:rsidR="00E631CE" w:rsidRPr="003E7EE5">
        <w:t xml:space="preserve"> values (ranging from </w:t>
      </w:r>
      <w:r w:rsidR="00E631CE" w:rsidRPr="003E7EE5">
        <w:rPr>
          <w:color w:val="000000" w:themeColor="text1"/>
        </w:rPr>
        <w:t xml:space="preserve">0.527 </w:t>
      </w:r>
      <w:r w:rsidR="00E631CE" w:rsidRPr="003E7EE5">
        <w:t xml:space="preserve">to 0.750) exceeding conventional threshold levels. </w:t>
      </w:r>
      <w:r>
        <w:t>We</w:t>
      </w:r>
      <w:r w:rsidRPr="003E7EE5">
        <w:t xml:space="preserve"> assessed </w:t>
      </w:r>
      <w:r>
        <w:t>d</w:t>
      </w:r>
      <w:r w:rsidR="00E631CE" w:rsidRPr="003E7EE5">
        <w:t xml:space="preserve">iscriminant validity for each pair of estimated constructs by constraining the estimated correlation parameter between them at 1.0 and then performing a chi-square difference test on the values obtained for the constrained and unconstrained models (Anderson </w:t>
      </w:r>
      <w:r w:rsidR="007E71B6" w:rsidRPr="003E7EE5">
        <w:t>and</w:t>
      </w:r>
      <w:r w:rsidR="00E631CE" w:rsidRPr="003E7EE5">
        <w:t xml:space="preserve"> Gerbing</w:t>
      </w:r>
      <w:r w:rsidR="002E2BE6" w:rsidRPr="003E7EE5">
        <w:t>,</w:t>
      </w:r>
      <w:r w:rsidR="00E631CE" w:rsidRPr="003E7EE5">
        <w:t xml:space="preserve"> 1988). Discriminant validity was achieved, given the significantly lower </w:t>
      </w:r>
      <w:r>
        <w:t>chi-square</w:t>
      </w:r>
      <w:r w:rsidR="00E631CE" w:rsidRPr="003E7EE5">
        <w:t xml:space="preserve"> values for all models in which the trait correlation was not const</w:t>
      </w:r>
      <w:r w:rsidR="003E2CC6" w:rsidRPr="003E7EE5">
        <w:t xml:space="preserve">rained to unity (see Appendix </w:t>
      </w:r>
      <w:r w:rsidR="00EB61AB" w:rsidRPr="003E7EE5">
        <w:t>A</w:t>
      </w:r>
      <w:r w:rsidR="00D93B42" w:rsidRPr="003E7EE5">
        <w:t>6</w:t>
      </w:r>
      <w:r w:rsidR="00E631CE" w:rsidRPr="003E7EE5">
        <w:t>). In addition, discriminant validity for all constructs was demonstrated by AVE values exceeding corresponding squared correlations for all construct pairs (</w:t>
      </w:r>
      <w:proofErr w:type="spellStart"/>
      <w:r w:rsidR="00E631CE" w:rsidRPr="003E7EE5">
        <w:t>Fo</w:t>
      </w:r>
      <w:r w:rsidR="00235BD2" w:rsidRPr="003E7EE5">
        <w:t>rnell</w:t>
      </w:r>
      <w:proofErr w:type="spellEnd"/>
      <w:r w:rsidR="00235BD2" w:rsidRPr="003E7EE5">
        <w:t xml:space="preserve"> </w:t>
      </w:r>
      <w:r w:rsidR="007E71B6" w:rsidRPr="003E7EE5">
        <w:t>and</w:t>
      </w:r>
      <w:r w:rsidR="00235BD2" w:rsidRPr="003E7EE5">
        <w:t xml:space="preserve"> Larcker</w:t>
      </w:r>
      <w:r w:rsidR="002E2BE6" w:rsidRPr="003E7EE5">
        <w:t>,</w:t>
      </w:r>
      <w:r w:rsidR="00235BD2" w:rsidRPr="003E7EE5">
        <w:t xml:space="preserve"> 1981). Table 2</w:t>
      </w:r>
      <w:r w:rsidR="00E631CE" w:rsidRPr="003E7EE5">
        <w:t xml:space="preserve"> provides an overview of the measurem</w:t>
      </w:r>
      <w:r w:rsidR="00235BD2" w:rsidRPr="003E7EE5">
        <w:t>ent model results, while Table 3</w:t>
      </w:r>
      <w:r w:rsidR="005E1791">
        <w:t xml:space="preserve"> below</w:t>
      </w:r>
      <w:r w:rsidR="00E631CE" w:rsidRPr="003E7EE5">
        <w:t xml:space="preserve"> shows the scales' relevant means, standard deviations</w:t>
      </w:r>
      <w:r>
        <w:t>,</w:t>
      </w:r>
      <w:r w:rsidR="00E631CE" w:rsidRPr="003E7EE5">
        <w:t xml:space="preserve"> and inter-construct correlations. </w:t>
      </w:r>
    </w:p>
    <w:p w14:paraId="51440827" w14:textId="3DDCB2D5" w:rsidR="005147BB" w:rsidRPr="003E7EE5" w:rsidRDefault="00297E46" w:rsidP="005E1791">
      <w:pPr>
        <w:tabs>
          <w:tab w:val="left" w:pos="284"/>
        </w:tabs>
        <w:spacing w:line="480" w:lineRule="auto"/>
        <w:jc w:val="center"/>
        <w:outlineLvl w:val="0"/>
        <w:rPr>
          <w:i/>
          <w:color w:val="000000" w:themeColor="text1"/>
        </w:rPr>
      </w:pPr>
      <w:r w:rsidRPr="003E7EE5">
        <w:rPr>
          <w:i/>
          <w:color w:val="000000" w:themeColor="text1"/>
        </w:rPr>
        <w:t>Table 3 here</w:t>
      </w:r>
    </w:p>
    <w:p w14:paraId="384EEEB1" w14:textId="2A33ACB8" w:rsidR="000104A4" w:rsidRPr="003E7EE5" w:rsidRDefault="00CB29EA" w:rsidP="005E1791">
      <w:pPr>
        <w:widowControl w:val="0"/>
        <w:autoSpaceDE w:val="0"/>
        <w:autoSpaceDN w:val="0"/>
        <w:adjustRightInd w:val="0"/>
        <w:spacing w:line="480" w:lineRule="auto"/>
        <w:rPr>
          <w:i/>
          <w:color w:val="000000" w:themeColor="text1"/>
        </w:rPr>
      </w:pPr>
      <w:r w:rsidRPr="003E7EE5">
        <w:rPr>
          <w:i/>
          <w:color w:val="000000" w:themeColor="text1"/>
        </w:rPr>
        <w:t>Hypothese</w:t>
      </w:r>
      <w:r w:rsidR="000104A4" w:rsidRPr="003E7EE5">
        <w:rPr>
          <w:i/>
          <w:color w:val="000000" w:themeColor="text1"/>
        </w:rPr>
        <w:t>s testing</w:t>
      </w:r>
    </w:p>
    <w:p w14:paraId="4727CB46" w14:textId="55E0CAE6" w:rsidR="000104A4" w:rsidRPr="003E7EE5" w:rsidRDefault="00983723" w:rsidP="00617A5D">
      <w:pPr>
        <w:widowControl w:val="0"/>
        <w:autoSpaceDE w:val="0"/>
        <w:autoSpaceDN w:val="0"/>
        <w:adjustRightInd w:val="0"/>
        <w:spacing w:line="480" w:lineRule="auto"/>
        <w:rPr>
          <w:color w:val="101010"/>
        </w:rPr>
      </w:pPr>
      <w:r>
        <w:rPr>
          <w:color w:val="101010"/>
        </w:rPr>
        <w:t>We</w:t>
      </w:r>
      <w:r w:rsidRPr="003E7EE5">
        <w:rPr>
          <w:color w:val="101010"/>
        </w:rPr>
        <w:t xml:space="preserve"> estimated</w:t>
      </w:r>
      <w:r w:rsidR="000104A4" w:rsidRPr="003E7EE5">
        <w:rPr>
          <w:color w:val="101010"/>
        </w:rPr>
        <w:t xml:space="preserve"> </w:t>
      </w:r>
      <w:r>
        <w:rPr>
          <w:color w:val="101010"/>
        </w:rPr>
        <w:t xml:space="preserve">a </w:t>
      </w:r>
      <w:r w:rsidR="000104A4" w:rsidRPr="003E7EE5">
        <w:rPr>
          <w:color w:val="101010"/>
        </w:rPr>
        <w:t xml:space="preserve">structural model reflecting the conceptual framework of </w:t>
      </w:r>
      <w:r w:rsidR="000104A4" w:rsidRPr="003E7EE5">
        <w:t>Fig</w:t>
      </w:r>
      <w:r>
        <w:t>ure</w:t>
      </w:r>
      <w:r w:rsidR="000104A4" w:rsidRPr="003E7EE5">
        <w:t xml:space="preserve"> 1 </w:t>
      </w:r>
      <w:r w:rsidR="000104A4" w:rsidRPr="003E7EE5">
        <w:rPr>
          <w:color w:val="101010"/>
        </w:rPr>
        <w:t>with AMOS. We developed the interaction term needed to test the moderating hypothesis (H6) using residual</w:t>
      </w:r>
      <w:r w:rsidR="00C11EB9">
        <w:rPr>
          <w:color w:val="101010"/>
        </w:rPr>
        <w:t xml:space="preserve"> </w:t>
      </w:r>
      <w:r w:rsidR="000104A4" w:rsidRPr="003E7EE5">
        <w:rPr>
          <w:color w:val="101010"/>
        </w:rPr>
        <w:t>centering (Lance</w:t>
      </w:r>
      <w:r w:rsidR="002E2BE6" w:rsidRPr="003E7EE5">
        <w:rPr>
          <w:color w:val="101010"/>
        </w:rPr>
        <w:t>,</w:t>
      </w:r>
      <w:r w:rsidR="00772F31" w:rsidRPr="003E7EE5">
        <w:rPr>
          <w:color w:val="101010"/>
        </w:rPr>
        <w:t xml:space="preserve"> 1</w:t>
      </w:r>
      <w:r w:rsidR="000104A4" w:rsidRPr="003E7EE5">
        <w:rPr>
          <w:color w:val="101010"/>
        </w:rPr>
        <w:t>988)</w:t>
      </w:r>
      <w:r w:rsidR="00686B88" w:rsidRPr="003E7EE5">
        <w:rPr>
          <w:color w:val="101010"/>
        </w:rPr>
        <w:t>.</w:t>
      </w:r>
      <w:r w:rsidR="002D7A1C" w:rsidRPr="003E7EE5">
        <w:rPr>
          <w:color w:val="101010"/>
        </w:rPr>
        <w:t xml:space="preserve"> </w:t>
      </w:r>
      <w:r w:rsidR="00686B88" w:rsidRPr="003E7EE5">
        <w:rPr>
          <w:color w:val="101010"/>
        </w:rPr>
        <w:t>W</w:t>
      </w:r>
      <w:r w:rsidR="000104A4" w:rsidRPr="003E7EE5">
        <w:rPr>
          <w:color w:val="101010"/>
        </w:rPr>
        <w:t>e (</w:t>
      </w:r>
      <w:r w:rsidR="00C11EB9">
        <w:rPr>
          <w:color w:val="101010"/>
        </w:rPr>
        <w:t>1</w:t>
      </w:r>
      <w:r w:rsidR="000104A4" w:rsidRPr="003E7EE5">
        <w:rPr>
          <w:color w:val="101010"/>
        </w:rPr>
        <w:t>) constructed the product of the composite</w:t>
      </w:r>
      <w:r w:rsidR="00390698" w:rsidRPr="003E7EE5">
        <w:rPr>
          <w:color w:val="101010"/>
        </w:rPr>
        <w:t>s</w:t>
      </w:r>
      <w:r w:rsidR="000104A4" w:rsidRPr="003E7EE5">
        <w:rPr>
          <w:color w:val="101010"/>
        </w:rPr>
        <w:t xml:space="preserve"> of </w:t>
      </w:r>
      <w:r w:rsidR="000104A4" w:rsidRPr="003E7EE5">
        <w:rPr>
          <w:color w:val="101010"/>
        </w:rPr>
        <w:lastRenderedPageBreak/>
        <w:t xml:space="preserve">GMS with </w:t>
      </w:r>
      <w:r w:rsidR="000104A4" w:rsidRPr="003E7EE5">
        <w:rPr>
          <w:color w:val="000000" w:themeColor="text1"/>
        </w:rPr>
        <w:t>GMR (GMS × GMR</w:t>
      </w:r>
      <w:r w:rsidR="000104A4" w:rsidRPr="003E7EE5">
        <w:rPr>
          <w:color w:val="101010"/>
        </w:rPr>
        <w:t>), (</w:t>
      </w:r>
      <w:r w:rsidR="00C11EB9">
        <w:rPr>
          <w:color w:val="101010"/>
        </w:rPr>
        <w:t>2</w:t>
      </w:r>
      <w:r w:rsidR="000104A4" w:rsidRPr="003E7EE5">
        <w:rPr>
          <w:color w:val="101010"/>
        </w:rPr>
        <w:t>) orthogonali</w:t>
      </w:r>
      <w:r w:rsidR="003E33BE">
        <w:rPr>
          <w:color w:val="101010"/>
        </w:rPr>
        <w:t>z</w:t>
      </w:r>
      <w:r w:rsidR="000104A4" w:rsidRPr="003E7EE5">
        <w:rPr>
          <w:color w:val="101010"/>
        </w:rPr>
        <w:t>ed this product term by retaining the residuals estimated after regressing it on the original variables used to construct it, and (</w:t>
      </w:r>
      <w:r w:rsidR="00C11EB9">
        <w:rPr>
          <w:color w:val="101010"/>
        </w:rPr>
        <w:t>3</w:t>
      </w:r>
      <w:r w:rsidR="000104A4" w:rsidRPr="003E7EE5">
        <w:rPr>
          <w:color w:val="101010"/>
        </w:rPr>
        <w:t xml:space="preserve">) used these residuals as </w:t>
      </w:r>
      <w:r w:rsidR="00C11EB9">
        <w:rPr>
          <w:color w:val="101010"/>
        </w:rPr>
        <w:t xml:space="preserve">a </w:t>
      </w:r>
      <w:r w:rsidR="00390698" w:rsidRPr="003E7EE5">
        <w:rPr>
          <w:color w:val="101010"/>
        </w:rPr>
        <w:t xml:space="preserve">single-item indicator of </w:t>
      </w:r>
      <w:r w:rsidR="00C11EB9">
        <w:rPr>
          <w:color w:val="101010"/>
        </w:rPr>
        <w:t xml:space="preserve">the </w:t>
      </w:r>
      <w:r w:rsidR="000104A4" w:rsidRPr="003E7EE5">
        <w:rPr>
          <w:color w:val="101010"/>
        </w:rPr>
        <w:t xml:space="preserve">interaction </w:t>
      </w:r>
      <w:r w:rsidR="00390698" w:rsidRPr="003E7EE5">
        <w:rPr>
          <w:color w:val="101010"/>
        </w:rPr>
        <w:t xml:space="preserve">latent variable </w:t>
      </w:r>
      <w:r w:rsidR="000104A4" w:rsidRPr="003E7EE5">
        <w:rPr>
          <w:color w:val="101010"/>
        </w:rPr>
        <w:t>in the structural model after fixing</w:t>
      </w:r>
      <w:r w:rsidR="00CD6E1E" w:rsidRPr="003E7EE5">
        <w:rPr>
          <w:color w:val="101010"/>
        </w:rPr>
        <w:t xml:space="preserve"> its</w:t>
      </w:r>
      <w:r w:rsidR="000104A4" w:rsidRPr="003E7EE5">
        <w:rPr>
          <w:color w:val="101010"/>
        </w:rPr>
        <w:t xml:space="preserve"> error variances at levels determined by the original variables' reliabilities (</w:t>
      </w:r>
      <w:r w:rsidR="000A11F6" w:rsidRPr="003E7EE5">
        <w:rPr>
          <w:color w:val="101010"/>
        </w:rPr>
        <w:t>Ping</w:t>
      </w:r>
      <w:r w:rsidR="002E2BE6" w:rsidRPr="003E7EE5">
        <w:rPr>
          <w:color w:val="101010"/>
        </w:rPr>
        <w:t>,</w:t>
      </w:r>
      <w:r w:rsidR="000A11F6" w:rsidRPr="003E7EE5">
        <w:rPr>
          <w:color w:val="101010"/>
        </w:rPr>
        <w:t xml:space="preserve"> 1995</w:t>
      </w:r>
      <w:r w:rsidR="000104A4" w:rsidRPr="003E7EE5">
        <w:rPr>
          <w:color w:val="101010"/>
        </w:rPr>
        <w:t xml:space="preserve">). </w:t>
      </w:r>
    </w:p>
    <w:p w14:paraId="398FF9A3" w14:textId="001F1086" w:rsidR="005147BB" w:rsidRPr="003E7EE5" w:rsidRDefault="000858C0" w:rsidP="005147BB">
      <w:pPr>
        <w:widowControl w:val="0"/>
        <w:autoSpaceDE w:val="0"/>
        <w:autoSpaceDN w:val="0"/>
        <w:adjustRightInd w:val="0"/>
        <w:spacing w:line="480" w:lineRule="auto"/>
        <w:ind w:firstLine="720"/>
      </w:pPr>
      <w:r w:rsidRPr="003E7EE5">
        <w:rPr>
          <w:color w:val="101010"/>
        </w:rPr>
        <w:t xml:space="preserve">The estimated structural model fits </w:t>
      </w:r>
      <w:r w:rsidRPr="003E7EE5">
        <w:rPr>
          <w:color w:val="000000" w:themeColor="text1"/>
        </w:rPr>
        <w:t>the data well (χ</w:t>
      </w:r>
      <w:r w:rsidRPr="003E7EE5">
        <w:rPr>
          <w:color w:val="000000" w:themeColor="text1"/>
          <w:vertAlign w:val="superscript"/>
        </w:rPr>
        <w:t>2</w:t>
      </w:r>
      <w:r w:rsidRPr="003E7EE5">
        <w:rPr>
          <w:color w:val="000000" w:themeColor="text1"/>
        </w:rPr>
        <w:t xml:space="preserve"> =</w:t>
      </w:r>
      <w:r w:rsidR="00C11EB9">
        <w:rPr>
          <w:color w:val="000000" w:themeColor="text1"/>
        </w:rPr>
        <w:t xml:space="preserve"> </w:t>
      </w:r>
      <w:r w:rsidRPr="003E7EE5">
        <w:rPr>
          <w:color w:val="000000" w:themeColor="text1"/>
        </w:rPr>
        <w:t xml:space="preserve">935.557, </w:t>
      </w:r>
      <w:r w:rsidRPr="005E1791">
        <w:rPr>
          <w:i/>
          <w:iCs/>
          <w:color w:val="000000" w:themeColor="text1"/>
        </w:rPr>
        <w:t>df</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 xml:space="preserve">417, </w:t>
      </w:r>
      <w:r w:rsidRPr="005E1791">
        <w:rPr>
          <w:i/>
          <w:iCs/>
          <w:color w:val="000000" w:themeColor="text1"/>
        </w:rPr>
        <w:t>p</w:t>
      </w:r>
      <w:r w:rsidR="00C11EB9">
        <w:rPr>
          <w:color w:val="000000" w:themeColor="text1"/>
        </w:rPr>
        <w:t xml:space="preserve"> </w:t>
      </w:r>
      <w:r w:rsidRPr="003E7EE5">
        <w:rPr>
          <w:color w:val="000000" w:themeColor="text1"/>
        </w:rPr>
        <w:t>&lt;</w:t>
      </w:r>
      <w:r w:rsidR="00C11EB9">
        <w:rPr>
          <w:color w:val="000000" w:themeColor="text1"/>
        </w:rPr>
        <w:t xml:space="preserve"> </w:t>
      </w:r>
      <w:r w:rsidRPr="003E7EE5">
        <w:rPr>
          <w:color w:val="000000" w:themeColor="text1"/>
        </w:rPr>
        <w:t>0.001</w:t>
      </w:r>
      <w:r w:rsidR="00C11EB9">
        <w:rPr>
          <w:color w:val="000000" w:themeColor="text1"/>
        </w:rPr>
        <w:t>;</w:t>
      </w:r>
      <w:r w:rsidRPr="003E7EE5">
        <w:rPr>
          <w:color w:val="000000" w:themeColor="text1"/>
        </w:rPr>
        <w:t xml:space="preserve"> RMSEA</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0.072</w:t>
      </w:r>
      <w:r w:rsidR="00C11EB9">
        <w:rPr>
          <w:color w:val="000000" w:themeColor="text1"/>
        </w:rPr>
        <w:t>;</w:t>
      </w:r>
      <w:r w:rsidRPr="003E7EE5">
        <w:rPr>
          <w:color w:val="000000" w:themeColor="text1"/>
        </w:rPr>
        <w:t xml:space="preserve"> CFI</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0.893</w:t>
      </w:r>
      <w:r w:rsidR="00C11EB9">
        <w:rPr>
          <w:color w:val="000000" w:themeColor="text1"/>
        </w:rPr>
        <w:t>;</w:t>
      </w:r>
      <w:r w:rsidRPr="003E7EE5">
        <w:rPr>
          <w:color w:val="000000" w:themeColor="text1"/>
        </w:rPr>
        <w:t xml:space="preserve"> SRMR</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 xml:space="preserve">0.069). Individual path estimates lend support to our hypotheses. More specifically, </w:t>
      </w:r>
      <w:r w:rsidR="00C11EB9">
        <w:rPr>
          <w:color w:val="000000" w:themeColor="text1"/>
        </w:rPr>
        <w:t>c</w:t>
      </w:r>
      <w:r w:rsidR="00C11EB9" w:rsidRPr="00C11EB9">
        <w:rPr>
          <w:color w:val="000000" w:themeColor="text1"/>
        </w:rPr>
        <w:t xml:space="preserve">orporate </w:t>
      </w:r>
      <w:r w:rsidR="00C11EB9">
        <w:rPr>
          <w:color w:val="000000" w:themeColor="text1"/>
        </w:rPr>
        <w:t>s</w:t>
      </w:r>
      <w:r w:rsidR="00C11EB9" w:rsidRPr="00C11EB9">
        <w:rPr>
          <w:color w:val="000000" w:themeColor="text1"/>
        </w:rPr>
        <w:t>ustainability</w:t>
      </w:r>
      <w:r w:rsidRPr="003E7EE5">
        <w:rPr>
          <w:color w:val="000000" w:themeColor="text1"/>
        </w:rPr>
        <w:t xml:space="preserve"> has a strong positive effect on GMS (β</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 xml:space="preserve">0.714, </w:t>
      </w:r>
      <w:r w:rsidRPr="005E1791">
        <w:rPr>
          <w:i/>
          <w:iCs/>
          <w:color w:val="000000" w:themeColor="text1"/>
        </w:rPr>
        <w:t>t</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 xml:space="preserve">9.718, </w:t>
      </w:r>
      <w:r w:rsidRPr="005E1791">
        <w:rPr>
          <w:i/>
          <w:iCs/>
          <w:color w:val="000000" w:themeColor="text1"/>
        </w:rPr>
        <w:t>p</w:t>
      </w:r>
      <w:r w:rsidRPr="003E7EE5">
        <w:rPr>
          <w:color w:val="000000" w:themeColor="text1"/>
        </w:rPr>
        <w:t xml:space="preserve"> &lt; 0.001)</w:t>
      </w:r>
      <w:r w:rsidR="005528F8" w:rsidRPr="003E7EE5">
        <w:rPr>
          <w:color w:val="000000" w:themeColor="text1"/>
        </w:rPr>
        <w:t xml:space="preserve">. </w:t>
      </w:r>
      <w:r w:rsidR="00C11EB9" w:rsidRPr="00C11EB9">
        <w:rPr>
          <w:color w:val="000000" w:themeColor="text1"/>
        </w:rPr>
        <w:t xml:space="preserve">Stakeholders’ </w:t>
      </w:r>
      <w:r w:rsidR="00C11EB9">
        <w:rPr>
          <w:color w:val="000000" w:themeColor="text1"/>
        </w:rPr>
        <w:t>s</w:t>
      </w:r>
      <w:r w:rsidR="00C11EB9" w:rsidRPr="00C11EB9">
        <w:rPr>
          <w:color w:val="000000" w:themeColor="text1"/>
        </w:rPr>
        <w:t xml:space="preserve">ustainability </w:t>
      </w:r>
      <w:r w:rsidR="00C11EB9">
        <w:rPr>
          <w:color w:val="000000" w:themeColor="text1"/>
        </w:rPr>
        <w:t>p</w:t>
      </w:r>
      <w:r w:rsidR="00C11EB9" w:rsidRPr="00C11EB9">
        <w:rPr>
          <w:color w:val="000000" w:themeColor="text1"/>
        </w:rPr>
        <w:t>ressure</w:t>
      </w:r>
      <w:r w:rsidR="00AA60BD">
        <w:rPr>
          <w:color w:val="000000" w:themeColor="text1"/>
        </w:rPr>
        <w:t>s</w:t>
      </w:r>
      <w:r w:rsidRPr="003E7EE5">
        <w:rPr>
          <w:color w:val="000000" w:themeColor="text1"/>
        </w:rPr>
        <w:t xml:space="preserve"> </w:t>
      </w:r>
      <w:proofErr w:type="gramStart"/>
      <w:r w:rsidRPr="003E7EE5">
        <w:rPr>
          <w:color w:val="000000" w:themeColor="text1"/>
        </w:rPr>
        <w:t>has</w:t>
      </w:r>
      <w:proofErr w:type="gramEnd"/>
      <w:r w:rsidRPr="003E7EE5">
        <w:rPr>
          <w:color w:val="000000" w:themeColor="text1"/>
        </w:rPr>
        <w:t xml:space="preserve"> a positive impact on GMS (β</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 xml:space="preserve">0.233, </w:t>
      </w:r>
      <w:r w:rsidRPr="005E1791">
        <w:rPr>
          <w:i/>
          <w:iCs/>
          <w:color w:val="000000" w:themeColor="text1"/>
        </w:rPr>
        <w:t>t</w:t>
      </w:r>
      <w:r w:rsidR="00C11EB9">
        <w:rPr>
          <w:color w:val="000000" w:themeColor="text1"/>
        </w:rPr>
        <w:t xml:space="preserve"> </w:t>
      </w:r>
      <w:r w:rsidRPr="003E7EE5">
        <w:rPr>
          <w:color w:val="000000" w:themeColor="text1"/>
        </w:rPr>
        <w:t>=</w:t>
      </w:r>
      <w:r w:rsidR="00C11EB9">
        <w:rPr>
          <w:color w:val="000000" w:themeColor="text1"/>
        </w:rPr>
        <w:t xml:space="preserve"> </w:t>
      </w:r>
      <w:r w:rsidRPr="003E7EE5">
        <w:rPr>
          <w:color w:val="000000" w:themeColor="text1"/>
        </w:rPr>
        <w:t xml:space="preserve">3.098, </w:t>
      </w:r>
      <w:r w:rsidRPr="005E1791">
        <w:rPr>
          <w:i/>
          <w:iCs/>
          <w:color w:val="000000" w:themeColor="text1"/>
        </w:rPr>
        <w:t>p</w:t>
      </w:r>
      <w:r w:rsidRPr="003E7EE5">
        <w:rPr>
          <w:color w:val="000000" w:themeColor="text1"/>
        </w:rPr>
        <w:t xml:space="preserve"> &lt; 0.01</w:t>
      </w:r>
      <w:r w:rsidRPr="003E7EE5">
        <w:t>).</w:t>
      </w:r>
      <w:r w:rsidR="00681B1C" w:rsidRPr="003E7EE5">
        <w:t xml:space="preserve"> </w:t>
      </w:r>
      <w:r w:rsidR="00B563D1">
        <w:t xml:space="preserve">Regarding </w:t>
      </w:r>
      <w:r w:rsidRPr="003E7EE5">
        <w:t>the main construct of our study, GMS has a significant</w:t>
      </w:r>
      <w:r w:rsidR="00B563D1">
        <w:t>,</w:t>
      </w:r>
      <w:r w:rsidRPr="003E7EE5">
        <w:t xml:space="preserve"> positive effect on both OR (β</w:t>
      </w:r>
      <w:r w:rsidR="00B563D1">
        <w:t xml:space="preserve"> </w:t>
      </w:r>
      <w:r w:rsidRPr="003E7EE5">
        <w:t>=</w:t>
      </w:r>
      <w:r w:rsidR="00B563D1">
        <w:t xml:space="preserve"> </w:t>
      </w:r>
      <w:r w:rsidRPr="003E7EE5">
        <w:t xml:space="preserve">0.445, </w:t>
      </w:r>
      <w:r w:rsidRPr="005E1791">
        <w:rPr>
          <w:i/>
          <w:iCs/>
        </w:rPr>
        <w:t>t</w:t>
      </w:r>
      <w:r w:rsidR="00B563D1">
        <w:t xml:space="preserve"> </w:t>
      </w:r>
      <w:r w:rsidRPr="003E7EE5">
        <w:t>=</w:t>
      </w:r>
      <w:r w:rsidR="00B563D1">
        <w:t xml:space="preserve"> </w:t>
      </w:r>
      <w:r w:rsidRPr="003E7EE5">
        <w:t xml:space="preserve">2.554, </w:t>
      </w:r>
      <w:r w:rsidRPr="005E1791">
        <w:rPr>
          <w:i/>
          <w:iCs/>
        </w:rPr>
        <w:t>p</w:t>
      </w:r>
      <w:r w:rsidRPr="003E7EE5">
        <w:t xml:space="preserve"> &lt; 0.01) and FR (β</w:t>
      </w:r>
      <w:r w:rsidR="00B563D1">
        <w:t xml:space="preserve"> </w:t>
      </w:r>
      <w:r w:rsidRPr="003E7EE5">
        <w:t>=</w:t>
      </w:r>
      <w:r w:rsidR="00B563D1">
        <w:t xml:space="preserve"> </w:t>
      </w:r>
      <w:r w:rsidRPr="003E7EE5">
        <w:t xml:space="preserve">0.469, </w:t>
      </w:r>
      <w:r w:rsidRPr="005E1791">
        <w:rPr>
          <w:i/>
          <w:iCs/>
        </w:rPr>
        <w:t>t</w:t>
      </w:r>
      <w:r w:rsidR="00B563D1">
        <w:t xml:space="preserve"> </w:t>
      </w:r>
      <w:r w:rsidRPr="003E7EE5">
        <w:t>=</w:t>
      </w:r>
      <w:r w:rsidR="00B563D1">
        <w:t xml:space="preserve"> </w:t>
      </w:r>
      <w:r w:rsidRPr="003E7EE5">
        <w:t xml:space="preserve">2.713, </w:t>
      </w:r>
      <w:r w:rsidRPr="005E1791">
        <w:rPr>
          <w:i/>
          <w:iCs/>
        </w:rPr>
        <w:t>p</w:t>
      </w:r>
      <w:r w:rsidRPr="003E7EE5">
        <w:t xml:space="preserve"> &lt; 0.01). </w:t>
      </w:r>
      <w:r w:rsidR="005528F8" w:rsidRPr="003E7EE5">
        <w:t>The</w:t>
      </w:r>
      <w:r w:rsidRPr="003E7EE5">
        <w:t xml:space="preserve"> results also </w:t>
      </w:r>
      <w:r w:rsidR="00B563D1">
        <w:t xml:space="preserve">show </w:t>
      </w:r>
      <w:r w:rsidRPr="003E7EE5">
        <w:t xml:space="preserve">support </w:t>
      </w:r>
      <w:r w:rsidR="00B563D1">
        <w:t xml:space="preserve">for </w:t>
      </w:r>
      <w:r w:rsidRPr="003E7EE5">
        <w:t xml:space="preserve">the moderating hypotheses by generating significant estimates in the expected direction for the GMS </w:t>
      </w:r>
      <w:r w:rsidR="00B563D1">
        <w:t>×</w:t>
      </w:r>
      <w:r w:rsidRPr="003E7EE5">
        <w:t xml:space="preserve"> GMR interaction term on OR and FR. More specifically, GMR intensifies the positive effect of GMS on both OR (β</w:t>
      </w:r>
      <w:r w:rsidRPr="003E7EE5">
        <w:rPr>
          <w:vertAlign w:val="subscript"/>
        </w:rPr>
        <w:t xml:space="preserve">GMS </w:t>
      </w:r>
      <w:r w:rsidR="00B563D1">
        <w:rPr>
          <w:vertAlign w:val="subscript"/>
        </w:rPr>
        <w:t>×</w:t>
      </w:r>
      <w:r w:rsidRPr="003E7EE5">
        <w:rPr>
          <w:vertAlign w:val="subscript"/>
        </w:rPr>
        <w:t xml:space="preserve"> GMR </w:t>
      </w:r>
      <w:r w:rsidRPr="003E7EE5">
        <w:rPr>
          <w:vertAlign w:val="subscript"/>
        </w:rPr>
        <w:sym w:font="Wingdings" w:char="F0E0"/>
      </w:r>
      <w:r w:rsidRPr="003E7EE5">
        <w:rPr>
          <w:vertAlign w:val="subscript"/>
        </w:rPr>
        <w:t xml:space="preserve"> OR</w:t>
      </w:r>
      <w:r w:rsidR="00B563D1">
        <w:t xml:space="preserve"> </w:t>
      </w:r>
      <w:r w:rsidRPr="003E7EE5">
        <w:t>=</w:t>
      </w:r>
      <w:r w:rsidR="00B563D1">
        <w:t xml:space="preserve"> </w:t>
      </w:r>
      <w:r w:rsidRPr="003E7EE5">
        <w:t>0.137</w:t>
      </w:r>
      <w:r w:rsidR="005528F8" w:rsidRPr="003E7EE5">
        <w:t xml:space="preserve">, </w:t>
      </w:r>
      <w:r w:rsidR="001C0954" w:rsidRPr="005E1791">
        <w:rPr>
          <w:i/>
          <w:iCs/>
        </w:rPr>
        <w:t>p</w:t>
      </w:r>
      <w:r w:rsidR="001C0954" w:rsidRPr="003E7EE5">
        <w:t xml:space="preserve"> &lt; 0.05</w:t>
      </w:r>
      <w:r w:rsidR="005528F8" w:rsidRPr="003E7EE5">
        <w:t>)</w:t>
      </w:r>
      <w:r w:rsidR="00BA2072">
        <w:t xml:space="preserve"> and FR </w:t>
      </w:r>
      <w:r w:rsidR="00BA2072" w:rsidRPr="003E7EE5">
        <w:t>(β</w:t>
      </w:r>
      <w:r w:rsidR="00BA2072" w:rsidRPr="003E7EE5">
        <w:rPr>
          <w:vertAlign w:val="subscript"/>
        </w:rPr>
        <w:t xml:space="preserve">GMS </w:t>
      </w:r>
      <w:r w:rsidR="00BA2072">
        <w:rPr>
          <w:vertAlign w:val="subscript"/>
        </w:rPr>
        <w:t>×</w:t>
      </w:r>
      <w:r w:rsidR="00BA2072" w:rsidRPr="003E7EE5">
        <w:rPr>
          <w:vertAlign w:val="subscript"/>
        </w:rPr>
        <w:t xml:space="preserve"> GMR </w:t>
      </w:r>
      <w:r w:rsidR="00BA2072" w:rsidRPr="003E7EE5">
        <w:rPr>
          <w:vertAlign w:val="subscript"/>
        </w:rPr>
        <w:sym w:font="Wingdings" w:char="F0E0"/>
      </w:r>
      <w:r w:rsidR="00BA2072" w:rsidRPr="003E7EE5">
        <w:rPr>
          <w:vertAlign w:val="subscript"/>
        </w:rPr>
        <w:t xml:space="preserve"> </w:t>
      </w:r>
      <w:r w:rsidR="00BA2072">
        <w:rPr>
          <w:vertAlign w:val="subscript"/>
        </w:rPr>
        <w:t>F</w:t>
      </w:r>
      <w:r w:rsidR="00BA2072" w:rsidRPr="003E7EE5">
        <w:rPr>
          <w:vertAlign w:val="subscript"/>
        </w:rPr>
        <w:t>R</w:t>
      </w:r>
      <w:r w:rsidR="00BA2072">
        <w:t xml:space="preserve"> </w:t>
      </w:r>
      <w:r w:rsidR="00BA2072" w:rsidRPr="003E7EE5">
        <w:t>=</w:t>
      </w:r>
      <w:r w:rsidR="00BA2072">
        <w:t xml:space="preserve"> </w:t>
      </w:r>
      <w:r w:rsidR="00BA2072" w:rsidRPr="003E7EE5">
        <w:t>0.1</w:t>
      </w:r>
      <w:r w:rsidR="00BA2072">
        <w:t>59</w:t>
      </w:r>
      <w:r w:rsidR="00BA2072" w:rsidRPr="003E7EE5">
        <w:t xml:space="preserve">, </w:t>
      </w:r>
      <w:r w:rsidR="00BA2072" w:rsidRPr="005E1791">
        <w:rPr>
          <w:i/>
          <w:iCs/>
        </w:rPr>
        <w:t>p</w:t>
      </w:r>
      <w:r w:rsidR="00BA2072" w:rsidRPr="003E7EE5">
        <w:t xml:space="preserve"> &lt; 0.05)</w:t>
      </w:r>
      <w:r w:rsidR="00681B1C" w:rsidRPr="003E7EE5">
        <w:t xml:space="preserve">. </w:t>
      </w:r>
      <w:r w:rsidR="000104A4" w:rsidRPr="003E7EE5">
        <w:t xml:space="preserve">Importantly, </w:t>
      </w:r>
      <w:r w:rsidR="00B563D1">
        <w:t xml:space="preserve">we obtain </w:t>
      </w:r>
      <w:r w:rsidR="000104A4" w:rsidRPr="003E7EE5">
        <w:t xml:space="preserve">these estimates after including three types of statistical controls on </w:t>
      </w:r>
      <w:r w:rsidR="00B563D1">
        <w:t xml:space="preserve">the </w:t>
      </w:r>
      <w:r w:rsidRPr="003E7EE5">
        <w:t>performance outcomes (</w:t>
      </w:r>
      <w:r w:rsidR="0003728E" w:rsidRPr="003E7EE5">
        <w:t>OR</w:t>
      </w:r>
      <w:r w:rsidR="00261E55" w:rsidRPr="003E7EE5">
        <w:t xml:space="preserve"> and </w:t>
      </w:r>
      <w:r w:rsidR="0003728E" w:rsidRPr="003E7EE5">
        <w:t>FR</w:t>
      </w:r>
      <w:r w:rsidR="000104A4" w:rsidRPr="003E7EE5">
        <w:t>) to rule out alternative explanations and minimi</w:t>
      </w:r>
      <w:r w:rsidR="00B563D1">
        <w:t>z</w:t>
      </w:r>
      <w:r w:rsidR="000104A4" w:rsidRPr="003E7EE5">
        <w:t>e sources of variance in the dependent variables attributable to firm characteristics. Specifically, we included (</w:t>
      </w:r>
      <w:r w:rsidR="00B563D1">
        <w:t>1</w:t>
      </w:r>
      <w:r w:rsidR="000104A4" w:rsidRPr="003E7EE5">
        <w:t>) a measure of company age (years</w:t>
      </w:r>
      <w:r w:rsidR="00D51898" w:rsidRPr="003E7EE5">
        <w:t xml:space="preserve"> since founding</w:t>
      </w:r>
      <w:r w:rsidR="000104A4" w:rsidRPr="003E7EE5">
        <w:t>), (</w:t>
      </w:r>
      <w:r w:rsidR="00B563D1">
        <w:t>2</w:t>
      </w:r>
      <w:r w:rsidR="000104A4" w:rsidRPr="003E7EE5">
        <w:t>) a measure of company size (number of employees), and (</w:t>
      </w:r>
      <w:r w:rsidR="00B563D1">
        <w:t>3</w:t>
      </w:r>
      <w:r w:rsidR="000104A4" w:rsidRPr="003E7EE5">
        <w:t xml:space="preserve">) firm sector dummies to account for </w:t>
      </w:r>
      <w:r w:rsidR="00936D80" w:rsidRPr="003E7EE5">
        <w:t xml:space="preserve">industry </w:t>
      </w:r>
      <w:r w:rsidR="000104A4" w:rsidRPr="003E7EE5">
        <w:t xml:space="preserve">differences. </w:t>
      </w:r>
      <w:r w:rsidR="00B563D1">
        <w:t>Table 4 presents an</w:t>
      </w:r>
      <w:r w:rsidR="000104A4" w:rsidRPr="003E7EE5">
        <w:t xml:space="preserve"> overview of </w:t>
      </w:r>
      <w:r w:rsidR="00B563D1">
        <w:t xml:space="preserve">the </w:t>
      </w:r>
      <w:r w:rsidR="000104A4" w:rsidRPr="003E7EE5">
        <w:t>model estimation results.</w:t>
      </w:r>
    </w:p>
    <w:p w14:paraId="30CACC50" w14:textId="450076DC" w:rsidR="00681B1C" w:rsidRPr="003E7EE5" w:rsidRDefault="00297E46" w:rsidP="00667DF0">
      <w:pPr>
        <w:widowControl w:val="0"/>
        <w:autoSpaceDE w:val="0"/>
        <w:autoSpaceDN w:val="0"/>
        <w:adjustRightInd w:val="0"/>
        <w:spacing w:line="480" w:lineRule="auto"/>
        <w:ind w:firstLine="720"/>
        <w:jc w:val="center"/>
        <w:rPr>
          <w:i/>
          <w:iCs/>
        </w:rPr>
      </w:pPr>
      <w:r w:rsidRPr="003E7EE5">
        <w:rPr>
          <w:i/>
          <w:iCs/>
        </w:rPr>
        <w:t>Table 4 here</w:t>
      </w:r>
    </w:p>
    <w:p w14:paraId="0FB7500A" w14:textId="7D285ABA" w:rsidR="005147BB" w:rsidRPr="003E7EE5" w:rsidRDefault="000104A4" w:rsidP="00617A5D">
      <w:pPr>
        <w:widowControl w:val="0"/>
        <w:autoSpaceDE w:val="0"/>
        <w:autoSpaceDN w:val="0"/>
        <w:adjustRightInd w:val="0"/>
        <w:spacing w:line="480" w:lineRule="auto"/>
        <w:ind w:firstLine="720"/>
      </w:pPr>
      <w:r w:rsidRPr="003E7EE5">
        <w:t xml:space="preserve">Although the structural model estimation provides support </w:t>
      </w:r>
      <w:r w:rsidR="00B563D1">
        <w:t>for</w:t>
      </w:r>
      <w:r w:rsidRPr="003E7EE5">
        <w:t xml:space="preserve"> all our hypotheses, we also conducted conditional process analysis using bootstrap estimation (PROCESS Model</w:t>
      </w:r>
      <w:r w:rsidR="00B563D1">
        <w:t>s</w:t>
      </w:r>
      <w:r w:rsidRPr="003E7EE5">
        <w:t xml:space="preserve"> 1 and 4</w:t>
      </w:r>
      <w:r w:rsidR="00B563D1">
        <w:t>,</w:t>
      </w:r>
      <w:r w:rsidRPr="003E7EE5">
        <w:t xml:space="preserve"> 5000 resamples</w:t>
      </w:r>
      <w:r w:rsidR="00B563D1">
        <w:t>;</w:t>
      </w:r>
      <w:r w:rsidR="00B563D1" w:rsidRPr="00B563D1">
        <w:t xml:space="preserve"> </w:t>
      </w:r>
      <w:r w:rsidR="00B563D1" w:rsidRPr="003E7EE5">
        <w:t>Hayes, 2013</w:t>
      </w:r>
      <w:r w:rsidRPr="003E7EE5">
        <w:t xml:space="preserve">) to obtain bias-corrected confidence intervals for the </w:t>
      </w:r>
      <w:r w:rsidRPr="003E7EE5">
        <w:lastRenderedPageBreak/>
        <w:t>hypothesi</w:t>
      </w:r>
      <w:r w:rsidR="003E33BE">
        <w:t>z</w:t>
      </w:r>
      <w:r w:rsidRPr="003E7EE5">
        <w:t>ed effects and probe the hypothesi</w:t>
      </w:r>
      <w:r w:rsidR="003E33BE">
        <w:t>z</w:t>
      </w:r>
      <w:r w:rsidRPr="003E7EE5">
        <w:t xml:space="preserve">ed interaction at different levels of the moderator. After </w:t>
      </w:r>
      <w:r w:rsidR="00B563D1">
        <w:t>obtaining</w:t>
      </w:r>
      <w:r w:rsidRPr="003E7EE5">
        <w:t xml:space="preserve"> support for our moderation hypothesis (i.e</w:t>
      </w:r>
      <w:r w:rsidR="00BE1328">
        <w:t>.</w:t>
      </w:r>
      <w:r w:rsidR="00936D80" w:rsidRPr="003E7EE5">
        <w:t>,</w:t>
      </w:r>
      <w:r w:rsidRPr="003E7EE5">
        <w:t xml:space="preserve"> the interaction effect is significant and in the hypothesi</w:t>
      </w:r>
      <w:r w:rsidR="003E33BE">
        <w:t>z</w:t>
      </w:r>
      <w:r w:rsidRPr="003E7EE5">
        <w:t>ed direction) using this alternative estimation approach</w:t>
      </w:r>
      <w:r w:rsidR="00B314A2" w:rsidRPr="003E7EE5">
        <w:t>,</w:t>
      </w:r>
      <w:r w:rsidRPr="003E7EE5">
        <w:t xml:space="preserve"> we probed the interaction using </w:t>
      </w:r>
      <w:r w:rsidR="00A4752B" w:rsidRPr="003E7EE5">
        <w:t>"</w:t>
      </w:r>
      <w:r w:rsidRPr="003E7EE5">
        <w:t>floodlight</w:t>
      </w:r>
      <w:r w:rsidR="00A4752B" w:rsidRPr="003E7EE5">
        <w:t>"</w:t>
      </w:r>
      <w:r w:rsidR="008F5E5B" w:rsidRPr="003E7EE5">
        <w:t xml:space="preserve"> analysis (Spiller</w:t>
      </w:r>
      <w:r w:rsidR="00566E35" w:rsidRPr="003E7EE5">
        <w:t xml:space="preserve"> </w:t>
      </w:r>
      <w:r w:rsidR="00566E35" w:rsidRPr="003E7EE5">
        <w:rPr>
          <w:i/>
        </w:rPr>
        <w:t>et al.</w:t>
      </w:r>
      <w:r w:rsidR="00566E35" w:rsidRPr="003E7EE5">
        <w:t>,</w:t>
      </w:r>
      <w:r w:rsidR="005339EC" w:rsidRPr="003E7EE5">
        <w:t xml:space="preserve"> </w:t>
      </w:r>
      <w:r w:rsidRPr="003E7EE5">
        <w:t>2013).</w:t>
      </w:r>
      <w:r w:rsidR="000858C0" w:rsidRPr="003E7EE5">
        <w:t xml:space="preserve"> The Johnson–</w:t>
      </w:r>
      <w:proofErr w:type="spellStart"/>
      <w:r w:rsidR="000858C0" w:rsidRPr="003E7EE5">
        <w:t>Neyman</w:t>
      </w:r>
      <w:proofErr w:type="spellEnd"/>
      <w:r w:rsidR="000858C0" w:rsidRPr="003E7EE5">
        <w:t xml:space="preserve"> point (</w:t>
      </w:r>
      <w:r w:rsidR="000858C0" w:rsidRPr="005E1791">
        <w:rPr>
          <w:i/>
          <w:iCs/>
        </w:rPr>
        <w:t>t</w:t>
      </w:r>
      <w:r w:rsidR="00B563D1">
        <w:t xml:space="preserve"> </w:t>
      </w:r>
      <w:r w:rsidR="000858C0" w:rsidRPr="003E7EE5">
        <w:t>=</w:t>
      </w:r>
      <w:r w:rsidR="00B563D1">
        <w:t xml:space="preserve"> </w:t>
      </w:r>
      <w:r w:rsidR="000858C0" w:rsidRPr="003E7EE5">
        <w:t>1.97</w:t>
      </w:r>
      <w:r w:rsidR="00B563D1">
        <w:t xml:space="preserve">, </w:t>
      </w:r>
      <w:r w:rsidR="00B563D1" w:rsidRPr="005E1791">
        <w:rPr>
          <w:i/>
          <w:iCs/>
        </w:rPr>
        <w:t>p</w:t>
      </w:r>
      <w:r w:rsidR="00B563D1" w:rsidRPr="003E7EE5">
        <w:t xml:space="preserve"> &lt; 0.05</w:t>
      </w:r>
      <w:r w:rsidR="000858C0" w:rsidRPr="003E7EE5">
        <w:t>) for the GMR moderator occurs at a value of 4.31 (</w:t>
      </w:r>
      <w:r w:rsidR="00991F25" w:rsidRPr="003E7EE5">
        <w:t xml:space="preserve">on </w:t>
      </w:r>
      <w:r w:rsidR="000858C0" w:rsidRPr="003E7EE5">
        <w:t xml:space="preserve">the </w:t>
      </w:r>
      <w:r w:rsidR="00B563D1">
        <w:t>seven</w:t>
      </w:r>
      <w:r w:rsidR="00991F25" w:rsidRPr="003E7EE5">
        <w:t xml:space="preserve">-point </w:t>
      </w:r>
      <w:r w:rsidR="000858C0" w:rsidRPr="003E7EE5">
        <w:t>scale) for the interaction effect on FR and at a value of 2.27 for the interaction effect on OR. This indicates that higher GMS levels result in significantly higher FR and OR outcomes than lower GMS levels for all values of GMR above 4.31 and 2.27</w:t>
      </w:r>
      <w:r w:rsidR="00B563D1">
        <w:t>,</w:t>
      </w:r>
      <w:r w:rsidR="000858C0" w:rsidRPr="003E7EE5">
        <w:t xml:space="preserve"> respectively, but not for values less than these point</w:t>
      </w:r>
      <w:r w:rsidR="00991F25" w:rsidRPr="003E7EE5">
        <w:t>s</w:t>
      </w:r>
      <w:r w:rsidR="000858C0" w:rsidRPr="003E7EE5">
        <w:t xml:space="preserve">. </w:t>
      </w:r>
      <w:r w:rsidR="00B563D1">
        <w:t>In support of this</w:t>
      </w:r>
      <w:r w:rsidR="000858C0" w:rsidRPr="003E7EE5">
        <w:t xml:space="preserve">, the different lines </w:t>
      </w:r>
      <w:r w:rsidR="00B563D1">
        <w:t xml:space="preserve">in Panel A of Figure 2 </w:t>
      </w:r>
      <w:r w:rsidR="000858C0" w:rsidRPr="003E7EE5">
        <w:t xml:space="preserve">depict the association between GMR and FR/OR at different levels of GMS. </w:t>
      </w:r>
      <w:r w:rsidR="00991F25" w:rsidRPr="003E7EE5">
        <w:t>As the graph</w:t>
      </w:r>
      <w:r w:rsidR="00B563D1">
        <w:t xml:space="preserve"> shows</w:t>
      </w:r>
      <w:r w:rsidR="00991F25" w:rsidRPr="003E7EE5">
        <w:t>,</w:t>
      </w:r>
      <w:r w:rsidR="000858C0" w:rsidRPr="003E7EE5">
        <w:t xml:space="preserve"> the slopes are positive and </w:t>
      </w:r>
      <w:r w:rsidR="00B563D1">
        <w:t>become</w:t>
      </w:r>
      <w:r w:rsidR="000858C0" w:rsidRPr="003E7EE5">
        <w:t xml:space="preserve"> steeper for higher levels of GMS as the level of GMR increases, indicating the significant moderating effect of GMR in the GMS</w:t>
      </w:r>
      <w:r w:rsidR="00B563D1">
        <w:t>–</w:t>
      </w:r>
      <w:r w:rsidR="000858C0" w:rsidRPr="003E7EE5">
        <w:t>FR and GMS</w:t>
      </w:r>
      <w:r w:rsidR="00B563D1">
        <w:t>–</w:t>
      </w:r>
      <w:r w:rsidR="000858C0" w:rsidRPr="003E7EE5">
        <w:t>OR relationships. Panel B</w:t>
      </w:r>
      <w:r w:rsidR="00B563D1">
        <w:t xml:space="preserve"> shows</w:t>
      </w:r>
      <w:r w:rsidR="000858C0" w:rsidRPr="003E7EE5">
        <w:t xml:space="preserve"> </w:t>
      </w:r>
      <w:r w:rsidR="00B563D1">
        <w:t xml:space="preserve">that </w:t>
      </w:r>
      <w:r w:rsidR="000858C0" w:rsidRPr="003E7EE5">
        <w:t>the 95% bootstrapping CIs for the effect include only positive values above the Johnson–</w:t>
      </w:r>
      <w:proofErr w:type="spellStart"/>
      <w:r w:rsidR="000858C0" w:rsidRPr="003E7EE5">
        <w:t>Neyman</w:t>
      </w:r>
      <w:proofErr w:type="spellEnd"/>
      <w:r w:rsidR="000858C0" w:rsidRPr="003E7EE5">
        <w:t xml:space="preserve"> point. </w:t>
      </w:r>
    </w:p>
    <w:p w14:paraId="6ECEC6DF" w14:textId="102D9047" w:rsidR="00014B92" w:rsidRPr="003E7EE5" w:rsidRDefault="00297E46" w:rsidP="005E1791">
      <w:pPr>
        <w:widowControl w:val="0"/>
        <w:autoSpaceDE w:val="0"/>
        <w:autoSpaceDN w:val="0"/>
        <w:adjustRightInd w:val="0"/>
        <w:spacing w:line="480" w:lineRule="auto"/>
        <w:jc w:val="center"/>
        <w:rPr>
          <w:i/>
          <w:iCs/>
        </w:rPr>
      </w:pPr>
      <w:r w:rsidRPr="003E7EE5">
        <w:rPr>
          <w:i/>
          <w:iCs/>
        </w:rPr>
        <w:t>Figure 2 here</w:t>
      </w:r>
    </w:p>
    <w:p w14:paraId="4A60B947" w14:textId="5B75EA4D" w:rsidR="00B63F18" w:rsidRPr="003E7EE5" w:rsidRDefault="007F4253" w:rsidP="005E1791">
      <w:pPr>
        <w:spacing w:line="480" w:lineRule="auto"/>
        <w:rPr>
          <w:b/>
          <w:sz w:val="22"/>
          <w:szCs w:val="22"/>
        </w:rPr>
      </w:pPr>
      <w:r w:rsidRPr="003E7EE5">
        <w:rPr>
          <w:i/>
          <w:color w:val="000000" w:themeColor="text1"/>
        </w:rPr>
        <w:t>Green typology of companies</w:t>
      </w:r>
    </w:p>
    <w:p w14:paraId="6C99CF37" w14:textId="19FECA3C" w:rsidR="004238CB" w:rsidRPr="003E7EE5" w:rsidRDefault="007F4253" w:rsidP="00617A5D">
      <w:pPr>
        <w:widowControl w:val="0"/>
        <w:autoSpaceDE w:val="0"/>
        <w:autoSpaceDN w:val="0"/>
        <w:adjustRightInd w:val="0"/>
        <w:spacing w:line="480" w:lineRule="auto"/>
        <w:rPr>
          <w:color w:val="101010"/>
        </w:rPr>
      </w:pPr>
      <w:r w:rsidRPr="003E7EE5">
        <w:rPr>
          <w:color w:val="101010"/>
        </w:rPr>
        <w:t xml:space="preserve">We conducted </w:t>
      </w:r>
      <w:r w:rsidR="00D11F7E">
        <w:rPr>
          <w:color w:val="101010"/>
        </w:rPr>
        <w:t>additional</w:t>
      </w:r>
      <w:r w:rsidRPr="003E7EE5">
        <w:rPr>
          <w:color w:val="101010"/>
        </w:rPr>
        <w:t xml:space="preserve"> analyses to develop a classification of companies </w:t>
      </w:r>
      <w:r w:rsidR="00E86F44">
        <w:rPr>
          <w:color w:val="101010"/>
        </w:rPr>
        <w:t>on</w:t>
      </w:r>
      <w:r w:rsidRPr="003E7EE5">
        <w:rPr>
          <w:color w:val="101010"/>
        </w:rPr>
        <w:t xml:space="preserve"> their green strategy and relevant reaction</w:t>
      </w:r>
      <w:r w:rsidR="00991F25" w:rsidRPr="003E7EE5">
        <w:rPr>
          <w:color w:val="101010"/>
        </w:rPr>
        <w:t>s</w:t>
      </w:r>
      <w:r w:rsidRPr="003E7EE5">
        <w:rPr>
          <w:color w:val="101010"/>
        </w:rPr>
        <w:t xml:space="preserve"> during a crisis. This approach is also in line with </w:t>
      </w:r>
      <w:r w:rsidR="00D11F7E">
        <w:rPr>
          <w:color w:val="101010"/>
        </w:rPr>
        <w:t>prior</w:t>
      </w:r>
      <w:r w:rsidRPr="003E7EE5">
        <w:rPr>
          <w:color w:val="101010"/>
        </w:rPr>
        <w:t xml:space="preserve"> research on </w:t>
      </w:r>
      <w:r w:rsidR="00D11F7E">
        <w:rPr>
          <w:color w:val="101010"/>
        </w:rPr>
        <w:t xml:space="preserve">the </w:t>
      </w:r>
      <w:r w:rsidRPr="003E7EE5">
        <w:rPr>
          <w:color w:val="101010"/>
        </w:rPr>
        <w:t xml:space="preserve">different </w:t>
      </w:r>
      <w:r w:rsidR="00D11F7E">
        <w:rPr>
          <w:color w:val="101010"/>
        </w:rPr>
        <w:t xml:space="preserve">responses to </w:t>
      </w:r>
      <w:r w:rsidRPr="003E7EE5">
        <w:rPr>
          <w:color w:val="101010"/>
        </w:rPr>
        <w:t xml:space="preserve">environmental </w:t>
      </w:r>
      <w:r w:rsidR="00D11F7E" w:rsidRPr="003E7EE5">
        <w:rPr>
          <w:color w:val="101010"/>
        </w:rPr>
        <w:t xml:space="preserve">strategies </w:t>
      </w:r>
      <w:r w:rsidRPr="003E7EE5">
        <w:rPr>
          <w:color w:val="101010"/>
        </w:rPr>
        <w:t>(Murillo-Luna</w:t>
      </w:r>
      <w:r w:rsidR="00566E35" w:rsidRPr="003E7EE5">
        <w:rPr>
          <w:rFonts w:eastAsia="Times New Roman"/>
          <w:color w:val="222222"/>
          <w:szCs w:val="20"/>
          <w:shd w:val="clear" w:color="auto" w:fill="FFFFFF"/>
        </w:rPr>
        <w:t xml:space="preserve"> </w:t>
      </w:r>
      <w:r w:rsidR="00566E35" w:rsidRPr="003E7EE5">
        <w:rPr>
          <w:i/>
        </w:rPr>
        <w:t>et al.</w:t>
      </w:r>
      <w:r w:rsidR="00566E35" w:rsidRPr="003E7EE5">
        <w:t>,</w:t>
      </w:r>
      <w:r w:rsidRPr="003E7EE5">
        <w:rPr>
          <w:rFonts w:eastAsia="Times New Roman"/>
          <w:color w:val="222222"/>
          <w:szCs w:val="20"/>
          <w:shd w:val="clear" w:color="auto" w:fill="FFFFFF"/>
        </w:rPr>
        <w:t xml:space="preserve"> </w:t>
      </w:r>
      <w:r w:rsidRPr="003E7EE5">
        <w:rPr>
          <w:color w:val="101010"/>
        </w:rPr>
        <w:t>2008).</w:t>
      </w:r>
      <w:r w:rsidR="00617A5D" w:rsidRPr="003E7EE5">
        <w:rPr>
          <w:color w:val="101010"/>
        </w:rPr>
        <w:t xml:space="preserve"> </w:t>
      </w:r>
      <w:r w:rsidRPr="003E7EE5">
        <w:rPr>
          <w:color w:val="101010"/>
        </w:rPr>
        <w:t>First, we divided companies in</w:t>
      </w:r>
      <w:r w:rsidR="00D11F7E">
        <w:rPr>
          <w:color w:val="101010"/>
        </w:rPr>
        <w:t>to</w:t>
      </w:r>
      <w:r w:rsidRPr="003E7EE5">
        <w:rPr>
          <w:color w:val="101010"/>
        </w:rPr>
        <w:t xml:space="preserve"> three groups based on the </w:t>
      </w:r>
      <w:r w:rsidR="00BF23FA" w:rsidRPr="003E7EE5">
        <w:rPr>
          <w:color w:val="101010"/>
        </w:rPr>
        <w:t xml:space="preserve">availability of </w:t>
      </w:r>
      <w:r w:rsidR="00D11F7E">
        <w:rPr>
          <w:color w:val="101010"/>
        </w:rPr>
        <w:t>GMR</w:t>
      </w:r>
      <w:r w:rsidRPr="003E7EE5">
        <w:rPr>
          <w:color w:val="101010"/>
        </w:rPr>
        <w:t xml:space="preserve">s during </w:t>
      </w:r>
      <w:r w:rsidR="00BF23FA" w:rsidRPr="003E7EE5">
        <w:rPr>
          <w:color w:val="101010"/>
        </w:rPr>
        <w:t xml:space="preserve">the </w:t>
      </w:r>
      <w:r w:rsidRPr="003E7EE5">
        <w:rPr>
          <w:color w:val="101010"/>
        </w:rPr>
        <w:t>recession</w:t>
      </w:r>
      <w:r w:rsidR="00D11F7E">
        <w:rPr>
          <w:color w:val="101010"/>
        </w:rPr>
        <w:t>:</w:t>
      </w:r>
      <w:r w:rsidRPr="003E7EE5">
        <w:rPr>
          <w:color w:val="101010"/>
        </w:rPr>
        <w:t xml:space="preserve"> those that divested resources </w:t>
      </w:r>
      <w:r w:rsidR="00991F25" w:rsidRPr="003E7EE5">
        <w:rPr>
          <w:color w:val="101010"/>
        </w:rPr>
        <w:t xml:space="preserve">from </w:t>
      </w:r>
      <w:r w:rsidRPr="003E7EE5">
        <w:rPr>
          <w:color w:val="101010"/>
        </w:rPr>
        <w:t>relevant activities during the crisis (with a relevant score below 4</w:t>
      </w:r>
      <w:r w:rsidR="00D11F7E">
        <w:rPr>
          <w:color w:val="101010"/>
        </w:rPr>
        <w:t xml:space="preserve"> on the seven-point scale;</w:t>
      </w:r>
      <w:r w:rsidRPr="003E7EE5">
        <w:rPr>
          <w:color w:val="101010"/>
        </w:rPr>
        <w:t xml:space="preserve"> N</w:t>
      </w:r>
      <w:r w:rsidR="00D11F7E">
        <w:rPr>
          <w:color w:val="101010"/>
        </w:rPr>
        <w:t xml:space="preserve"> </w:t>
      </w:r>
      <w:r w:rsidRPr="003E7EE5">
        <w:rPr>
          <w:color w:val="101010"/>
        </w:rPr>
        <w:t>=</w:t>
      </w:r>
      <w:r w:rsidR="00D11F7E">
        <w:rPr>
          <w:color w:val="101010"/>
        </w:rPr>
        <w:t xml:space="preserve"> </w:t>
      </w:r>
      <w:r w:rsidRPr="003E7EE5">
        <w:rPr>
          <w:color w:val="101010"/>
        </w:rPr>
        <w:t xml:space="preserve">107), those that </w:t>
      </w:r>
      <w:r w:rsidR="00991F25" w:rsidRPr="003E7EE5">
        <w:rPr>
          <w:color w:val="101010"/>
        </w:rPr>
        <w:t xml:space="preserve">exhibited </w:t>
      </w:r>
      <w:r w:rsidRPr="003E7EE5">
        <w:rPr>
          <w:color w:val="101010"/>
        </w:rPr>
        <w:t xml:space="preserve">a stable level of </w:t>
      </w:r>
      <w:r w:rsidR="00C11EB9">
        <w:rPr>
          <w:color w:val="101010"/>
        </w:rPr>
        <w:t>GMR</w:t>
      </w:r>
      <w:r w:rsidRPr="003E7EE5">
        <w:rPr>
          <w:color w:val="101010"/>
        </w:rPr>
        <w:t>s (with a relevant score equal to 4</w:t>
      </w:r>
      <w:r w:rsidR="00D11F7E">
        <w:rPr>
          <w:color w:val="101010"/>
        </w:rPr>
        <w:t>;</w:t>
      </w:r>
      <w:r w:rsidRPr="003E7EE5">
        <w:rPr>
          <w:color w:val="101010"/>
        </w:rPr>
        <w:t xml:space="preserve"> N</w:t>
      </w:r>
      <w:r w:rsidR="00D11F7E">
        <w:rPr>
          <w:color w:val="101010"/>
        </w:rPr>
        <w:t xml:space="preserve"> </w:t>
      </w:r>
      <w:r w:rsidRPr="003E7EE5">
        <w:rPr>
          <w:color w:val="101010"/>
        </w:rPr>
        <w:t>=</w:t>
      </w:r>
      <w:r w:rsidR="00D11F7E">
        <w:rPr>
          <w:color w:val="101010"/>
        </w:rPr>
        <w:t xml:space="preserve"> </w:t>
      </w:r>
      <w:r w:rsidRPr="003E7EE5">
        <w:rPr>
          <w:color w:val="101010"/>
        </w:rPr>
        <w:t xml:space="preserve">87), and those that </w:t>
      </w:r>
      <w:r w:rsidR="00991F25" w:rsidRPr="003E7EE5">
        <w:rPr>
          <w:color w:val="101010"/>
        </w:rPr>
        <w:t xml:space="preserve">showed </w:t>
      </w:r>
      <w:r w:rsidR="00E86F44">
        <w:rPr>
          <w:color w:val="101010"/>
        </w:rPr>
        <w:t xml:space="preserve">an </w:t>
      </w:r>
      <w:r w:rsidRPr="003E7EE5">
        <w:rPr>
          <w:color w:val="101010"/>
        </w:rPr>
        <w:t xml:space="preserve">increased </w:t>
      </w:r>
      <w:r w:rsidR="00E86F44">
        <w:rPr>
          <w:color w:val="101010"/>
        </w:rPr>
        <w:t xml:space="preserve">level </w:t>
      </w:r>
      <w:r w:rsidR="00D11F7E">
        <w:rPr>
          <w:color w:val="101010"/>
        </w:rPr>
        <w:t xml:space="preserve">GMRs </w:t>
      </w:r>
      <w:r w:rsidRPr="003E7EE5">
        <w:rPr>
          <w:color w:val="101010"/>
        </w:rPr>
        <w:t>during the recession (with a relevant score above 4</w:t>
      </w:r>
      <w:r w:rsidR="00D11F7E">
        <w:rPr>
          <w:color w:val="101010"/>
        </w:rPr>
        <w:t>;</w:t>
      </w:r>
      <w:r w:rsidRPr="003E7EE5">
        <w:rPr>
          <w:color w:val="101010"/>
        </w:rPr>
        <w:t xml:space="preserve"> N</w:t>
      </w:r>
      <w:r w:rsidR="00D11F7E">
        <w:rPr>
          <w:color w:val="101010"/>
        </w:rPr>
        <w:t xml:space="preserve"> </w:t>
      </w:r>
      <w:r w:rsidRPr="003E7EE5">
        <w:rPr>
          <w:color w:val="101010"/>
        </w:rPr>
        <w:t>=</w:t>
      </w:r>
      <w:r w:rsidR="00D11F7E">
        <w:rPr>
          <w:color w:val="101010"/>
        </w:rPr>
        <w:t xml:space="preserve"> </w:t>
      </w:r>
      <w:r w:rsidRPr="003E7EE5">
        <w:rPr>
          <w:color w:val="101010"/>
        </w:rPr>
        <w:t xml:space="preserve">51). </w:t>
      </w:r>
      <w:r w:rsidR="00D11F7E">
        <w:rPr>
          <w:color w:val="101010"/>
        </w:rPr>
        <w:t>Second</w:t>
      </w:r>
      <w:r w:rsidRPr="003E7EE5">
        <w:rPr>
          <w:color w:val="101010"/>
        </w:rPr>
        <w:t>, we divided companies in</w:t>
      </w:r>
      <w:r w:rsidR="00D11F7E">
        <w:rPr>
          <w:color w:val="101010"/>
        </w:rPr>
        <w:t>to</w:t>
      </w:r>
      <w:r w:rsidRPr="003E7EE5">
        <w:rPr>
          <w:color w:val="101010"/>
        </w:rPr>
        <w:t xml:space="preserve"> two groups based on their </w:t>
      </w:r>
      <w:r w:rsidR="001F5270" w:rsidRPr="003E7EE5">
        <w:rPr>
          <w:color w:val="101010"/>
        </w:rPr>
        <w:t>GMS</w:t>
      </w:r>
      <w:r w:rsidR="00991F25" w:rsidRPr="003E7EE5">
        <w:rPr>
          <w:color w:val="101010"/>
        </w:rPr>
        <w:t xml:space="preserve"> scores</w:t>
      </w:r>
      <w:r w:rsidR="00D11F7E">
        <w:rPr>
          <w:color w:val="101010"/>
        </w:rPr>
        <w:t>:</w:t>
      </w:r>
      <w:r w:rsidRPr="003E7EE5">
        <w:rPr>
          <w:color w:val="101010"/>
        </w:rPr>
        <w:t xml:space="preserve"> companies poorly engaged in a GMS </w:t>
      </w:r>
      <w:r w:rsidR="00D11F7E">
        <w:rPr>
          <w:color w:val="101010"/>
        </w:rPr>
        <w:lastRenderedPageBreak/>
        <w:t>(</w:t>
      </w:r>
      <w:r w:rsidRPr="003E7EE5">
        <w:rPr>
          <w:color w:val="101010"/>
        </w:rPr>
        <w:t xml:space="preserve">scores lower </w:t>
      </w:r>
      <w:r w:rsidR="00D11F7E">
        <w:rPr>
          <w:color w:val="101010"/>
        </w:rPr>
        <w:t xml:space="preserve">than </w:t>
      </w:r>
      <w:r w:rsidRPr="003E7EE5">
        <w:rPr>
          <w:color w:val="101010"/>
        </w:rPr>
        <w:t xml:space="preserve">or equal to 4 </w:t>
      </w:r>
      <w:r w:rsidR="00D11F7E">
        <w:rPr>
          <w:color w:val="101010"/>
        </w:rPr>
        <w:t xml:space="preserve">on </w:t>
      </w:r>
      <w:r w:rsidRPr="003E7EE5">
        <w:rPr>
          <w:color w:val="101010"/>
        </w:rPr>
        <w:t>the seven-point scale</w:t>
      </w:r>
      <w:r w:rsidR="00D11F7E">
        <w:rPr>
          <w:color w:val="101010"/>
        </w:rPr>
        <w:t>:</w:t>
      </w:r>
      <w:r w:rsidRPr="003E7EE5">
        <w:rPr>
          <w:color w:val="101010"/>
        </w:rPr>
        <w:t xml:space="preserve"> N</w:t>
      </w:r>
      <w:r w:rsidR="00D11F7E">
        <w:rPr>
          <w:color w:val="101010"/>
        </w:rPr>
        <w:t xml:space="preserve"> </w:t>
      </w:r>
      <w:r w:rsidRPr="003E7EE5">
        <w:rPr>
          <w:color w:val="101010"/>
        </w:rPr>
        <w:t>=</w:t>
      </w:r>
      <w:r w:rsidR="00D11F7E">
        <w:rPr>
          <w:color w:val="101010"/>
        </w:rPr>
        <w:t xml:space="preserve"> </w:t>
      </w:r>
      <w:r w:rsidRPr="003E7EE5">
        <w:rPr>
          <w:color w:val="101010"/>
        </w:rPr>
        <w:t>116</w:t>
      </w:r>
      <w:r w:rsidR="00D11F7E">
        <w:rPr>
          <w:color w:val="101010"/>
        </w:rPr>
        <w:t>)</w:t>
      </w:r>
      <w:r w:rsidRPr="003E7EE5">
        <w:rPr>
          <w:color w:val="101010"/>
        </w:rPr>
        <w:t xml:space="preserve"> and companies h</w:t>
      </w:r>
      <w:r w:rsidR="00BE1328">
        <w:rPr>
          <w:color w:val="101010"/>
        </w:rPr>
        <w:t>i</w:t>
      </w:r>
      <w:r w:rsidRPr="003E7EE5">
        <w:rPr>
          <w:color w:val="101010"/>
        </w:rPr>
        <w:t xml:space="preserve">ghly engaged in such a strategy </w:t>
      </w:r>
      <w:r w:rsidR="00D11F7E">
        <w:rPr>
          <w:color w:val="101010"/>
        </w:rPr>
        <w:t>(</w:t>
      </w:r>
      <w:r w:rsidRPr="003E7EE5">
        <w:rPr>
          <w:color w:val="101010"/>
        </w:rPr>
        <w:t>scores above 4</w:t>
      </w:r>
      <w:r w:rsidR="00D11F7E">
        <w:rPr>
          <w:color w:val="101010"/>
        </w:rPr>
        <w:t>;</w:t>
      </w:r>
      <w:r w:rsidRPr="003E7EE5">
        <w:rPr>
          <w:color w:val="101010"/>
        </w:rPr>
        <w:t xml:space="preserve"> N</w:t>
      </w:r>
      <w:r w:rsidR="00D11F7E">
        <w:rPr>
          <w:color w:val="101010"/>
        </w:rPr>
        <w:t xml:space="preserve"> </w:t>
      </w:r>
      <w:r w:rsidRPr="003E7EE5">
        <w:rPr>
          <w:color w:val="101010"/>
        </w:rPr>
        <w:t>=</w:t>
      </w:r>
      <w:r w:rsidR="00D11F7E">
        <w:rPr>
          <w:color w:val="101010"/>
        </w:rPr>
        <w:t xml:space="preserve"> </w:t>
      </w:r>
      <w:r w:rsidRPr="003E7EE5">
        <w:rPr>
          <w:color w:val="101010"/>
        </w:rPr>
        <w:t xml:space="preserve">129). </w:t>
      </w:r>
      <w:r w:rsidR="00C339D2">
        <w:rPr>
          <w:color w:val="101010"/>
        </w:rPr>
        <w:t>With</w:t>
      </w:r>
      <w:r w:rsidRPr="003E7EE5">
        <w:rPr>
          <w:color w:val="101010"/>
        </w:rPr>
        <w:t xml:space="preserve"> each company’s score on the GMS and GMR scales, we created a </w:t>
      </w:r>
      <w:r w:rsidR="00D11F7E">
        <w:rPr>
          <w:color w:val="101010"/>
        </w:rPr>
        <w:t>2 × 3</w:t>
      </w:r>
      <w:r w:rsidRPr="003E7EE5">
        <w:rPr>
          <w:color w:val="101010"/>
        </w:rPr>
        <w:t xml:space="preserve"> matrix. </w:t>
      </w:r>
      <w:r w:rsidR="00D11F7E">
        <w:rPr>
          <w:color w:val="101010"/>
        </w:rPr>
        <w:t xml:space="preserve">This </w:t>
      </w:r>
      <w:r w:rsidRPr="003E7EE5">
        <w:rPr>
          <w:color w:val="101010"/>
        </w:rPr>
        <w:t>process</w:t>
      </w:r>
      <w:r w:rsidR="00D11F7E">
        <w:rPr>
          <w:color w:val="101010"/>
        </w:rPr>
        <w:t xml:space="preserve"> </w:t>
      </w:r>
      <w:r w:rsidR="007F60A8">
        <w:rPr>
          <w:color w:val="101010"/>
        </w:rPr>
        <w:t>produced</w:t>
      </w:r>
      <w:r w:rsidRPr="003E7EE5">
        <w:rPr>
          <w:color w:val="101010"/>
        </w:rPr>
        <w:t xml:space="preserve"> six groups of companies based on the level of GMS adoption and </w:t>
      </w:r>
      <w:r w:rsidR="00D11F7E">
        <w:rPr>
          <w:color w:val="101010"/>
        </w:rPr>
        <w:t xml:space="preserve">the </w:t>
      </w:r>
      <w:r w:rsidRPr="003E7EE5">
        <w:rPr>
          <w:color w:val="101010"/>
        </w:rPr>
        <w:t xml:space="preserve">availability of </w:t>
      </w:r>
      <w:r w:rsidR="00C11EB9">
        <w:rPr>
          <w:color w:val="101010"/>
        </w:rPr>
        <w:t>GMR</w:t>
      </w:r>
      <w:r w:rsidRPr="003E7EE5">
        <w:rPr>
          <w:color w:val="101010"/>
        </w:rPr>
        <w:t xml:space="preserve">s during </w:t>
      </w:r>
      <w:r w:rsidR="00991F25" w:rsidRPr="003E7EE5">
        <w:rPr>
          <w:color w:val="101010"/>
        </w:rPr>
        <w:t xml:space="preserve">the </w:t>
      </w:r>
      <w:r w:rsidRPr="003E7EE5">
        <w:rPr>
          <w:color w:val="101010"/>
        </w:rPr>
        <w:t xml:space="preserve">recession compared </w:t>
      </w:r>
      <w:r w:rsidR="00D11F7E">
        <w:rPr>
          <w:color w:val="101010"/>
        </w:rPr>
        <w:t>with</w:t>
      </w:r>
      <w:r w:rsidRPr="003E7EE5">
        <w:rPr>
          <w:color w:val="101010"/>
        </w:rPr>
        <w:t xml:space="preserve"> the pre-crisis period. </w:t>
      </w:r>
      <w:r w:rsidR="00B07384" w:rsidRPr="003E7EE5">
        <w:rPr>
          <w:color w:val="101010"/>
        </w:rPr>
        <w:t>As Figure 3</w:t>
      </w:r>
      <w:r w:rsidR="007F60A8">
        <w:rPr>
          <w:color w:val="101010"/>
        </w:rPr>
        <w:t xml:space="preserve"> shows</w:t>
      </w:r>
      <w:r w:rsidR="00B07384" w:rsidRPr="003E7EE5">
        <w:rPr>
          <w:color w:val="101010"/>
        </w:rPr>
        <w:t xml:space="preserve">, </w:t>
      </w:r>
      <w:r w:rsidR="007F60A8">
        <w:rPr>
          <w:color w:val="101010"/>
        </w:rPr>
        <w:t xml:space="preserve">we labeled </w:t>
      </w:r>
      <w:r w:rsidR="00B07384" w:rsidRPr="003E7EE5">
        <w:rPr>
          <w:color w:val="101010"/>
        </w:rPr>
        <w:t>the six groups “</w:t>
      </w:r>
      <w:r w:rsidR="007F60A8">
        <w:rPr>
          <w:color w:val="101010"/>
        </w:rPr>
        <w:t>s</w:t>
      </w:r>
      <w:r w:rsidR="00B07384" w:rsidRPr="005E1791">
        <w:rPr>
          <w:color w:val="101010"/>
        </w:rPr>
        <w:t>trategic green investors</w:t>
      </w:r>
      <w:r w:rsidR="00B07384" w:rsidRPr="007F60A8">
        <w:rPr>
          <w:color w:val="101010"/>
        </w:rPr>
        <w:t xml:space="preserve">” (i.e., companies that are highly engaged in a GMS and </w:t>
      </w:r>
      <w:r w:rsidR="007F60A8">
        <w:rPr>
          <w:color w:val="101010"/>
        </w:rPr>
        <w:t xml:space="preserve">have </w:t>
      </w:r>
      <w:r w:rsidR="00B07384" w:rsidRPr="007F60A8">
        <w:rPr>
          <w:color w:val="101010"/>
        </w:rPr>
        <w:t>high availability of resources for green investment even during the recession), “</w:t>
      </w:r>
      <w:r w:rsidR="007F60A8">
        <w:rPr>
          <w:color w:val="101010"/>
        </w:rPr>
        <w:t>c</w:t>
      </w:r>
      <w:r w:rsidR="00B07384" w:rsidRPr="005E1791">
        <w:rPr>
          <w:color w:val="101010"/>
        </w:rPr>
        <w:t>autious green investors</w:t>
      </w:r>
      <w:r w:rsidR="00B07384" w:rsidRPr="007F60A8">
        <w:rPr>
          <w:color w:val="101010"/>
        </w:rPr>
        <w:t xml:space="preserve">” (i.e., companies that are highly engaged in a GMS </w:t>
      </w:r>
      <w:r w:rsidR="007F60A8">
        <w:rPr>
          <w:color w:val="101010"/>
        </w:rPr>
        <w:t>and</w:t>
      </w:r>
      <w:r w:rsidR="00B07384" w:rsidRPr="007F60A8">
        <w:rPr>
          <w:color w:val="101010"/>
        </w:rPr>
        <w:t xml:space="preserve"> </w:t>
      </w:r>
      <w:r w:rsidR="007F60A8">
        <w:rPr>
          <w:color w:val="101010"/>
        </w:rPr>
        <w:t xml:space="preserve">had </w:t>
      </w:r>
      <w:r w:rsidR="00B07384" w:rsidRPr="007F60A8">
        <w:rPr>
          <w:color w:val="101010"/>
        </w:rPr>
        <w:t>a stable availability of resources</w:t>
      </w:r>
      <w:r w:rsidR="007F60A8" w:rsidRPr="007F60A8">
        <w:rPr>
          <w:color w:val="101010"/>
        </w:rPr>
        <w:t xml:space="preserve"> </w:t>
      </w:r>
      <w:r w:rsidR="007F60A8">
        <w:rPr>
          <w:color w:val="101010"/>
        </w:rPr>
        <w:t xml:space="preserve">for </w:t>
      </w:r>
      <w:r w:rsidR="007F60A8" w:rsidRPr="003E7EE5">
        <w:rPr>
          <w:color w:val="101010"/>
        </w:rPr>
        <w:t>such activit</w:t>
      </w:r>
      <w:r w:rsidR="007F60A8">
        <w:rPr>
          <w:color w:val="101010"/>
        </w:rPr>
        <w:t>y</w:t>
      </w:r>
      <w:r w:rsidR="00B07384" w:rsidRPr="007F60A8">
        <w:rPr>
          <w:color w:val="101010"/>
        </w:rPr>
        <w:t>), “</w:t>
      </w:r>
      <w:r w:rsidR="007F60A8">
        <w:rPr>
          <w:color w:val="101010"/>
        </w:rPr>
        <w:t>g</w:t>
      </w:r>
      <w:r w:rsidR="00B07384" w:rsidRPr="007F60A8">
        <w:rPr>
          <w:color w:val="101010"/>
        </w:rPr>
        <w:t xml:space="preserve">reen </w:t>
      </w:r>
      <w:proofErr w:type="spellStart"/>
      <w:r w:rsidR="007F60A8">
        <w:rPr>
          <w:color w:val="101010"/>
        </w:rPr>
        <w:t>d</w:t>
      </w:r>
      <w:r w:rsidR="00B07384" w:rsidRPr="005E1791">
        <w:rPr>
          <w:color w:val="101010"/>
        </w:rPr>
        <w:t>isinvestors</w:t>
      </w:r>
      <w:proofErr w:type="spellEnd"/>
      <w:r w:rsidR="00B07384" w:rsidRPr="007F60A8">
        <w:rPr>
          <w:color w:val="101010"/>
        </w:rPr>
        <w:t xml:space="preserve">” (i.e., companies that </w:t>
      </w:r>
      <w:r w:rsidR="007F60A8">
        <w:rPr>
          <w:color w:val="101010"/>
        </w:rPr>
        <w:t xml:space="preserve">are </w:t>
      </w:r>
      <w:r w:rsidR="00B07384" w:rsidRPr="007F60A8">
        <w:rPr>
          <w:color w:val="101010"/>
        </w:rPr>
        <w:t>highly engaged in a GMS</w:t>
      </w:r>
      <w:r w:rsidR="007F60A8">
        <w:rPr>
          <w:color w:val="101010"/>
        </w:rPr>
        <w:t xml:space="preserve"> but</w:t>
      </w:r>
      <w:r w:rsidR="00B07384" w:rsidRPr="007F60A8">
        <w:rPr>
          <w:color w:val="101010"/>
        </w:rPr>
        <w:t xml:space="preserve"> divest</w:t>
      </w:r>
      <w:r w:rsidR="007F60A8">
        <w:rPr>
          <w:color w:val="101010"/>
        </w:rPr>
        <w:t>ed</w:t>
      </w:r>
      <w:r w:rsidR="00B07384" w:rsidRPr="007F60A8">
        <w:rPr>
          <w:color w:val="101010"/>
        </w:rPr>
        <w:t xml:space="preserve"> resources </w:t>
      </w:r>
      <w:r w:rsidR="007F60A8">
        <w:rPr>
          <w:color w:val="101010"/>
        </w:rPr>
        <w:t>to</w:t>
      </w:r>
      <w:r w:rsidR="00B07384" w:rsidRPr="007F60A8">
        <w:rPr>
          <w:color w:val="101010"/>
        </w:rPr>
        <w:t xml:space="preserve"> relevant investment activities during the crisis), “</w:t>
      </w:r>
      <w:r w:rsidR="007F60A8">
        <w:rPr>
          <w:color w:val="101010"/>
        </w:rPr>
        <w:t>o</w:t>
      </w:r>
      <w:r w:rsidR="00B07384" w:rsidRPr="005E1791">
        <w:rPr>
          <w:color w:val="101010"/>
        </w:rPr>
        <w:t>pportunistic</w:t>
      </w:r>
      <w:r w:rsidR="00B07384" w:rsidRPr="007F60A8">
        <w:rPr>
          <w:color w:val="101010"/>
        </w:rPr>
        <w:t xml:space="preserve"> </w:t>
      </w:r>
      <w:r w:rsidR="007F60A8">
        <w:rPr>
          <w:color w:val="101010"/>
        </w:rPr>
        <w:t>g</w:t>
      </w:r>
      <w:r w:rsidR="00B07384" w:rsidRPr="007F60A8">
        <w:rPr>
          <w:color w:val="101010"/>
        </w:rPr>
        <w:t xml:space="preserve">reen </w:t>
      </w:r>
      <w:r w:rsidR="007F60A8">
        <w:rPr>
          <w:color w:val="101010"/>
        </w:rPr>
        <w:t>i</w:t>
      </w:r>
      <w:r w:rsidR="00B07384" w:rsidRPr="005E1791">
        <w:rPr>
          <w:color w:val="101010"/>
        </w:rPr>
        <w:t>nvestors</w:t>
      </w:r>
      <w:r w:rsidR="00B07384" w:rsidRPr="007F60A8">
        <w:rPr>
          <w:color w:val="101010"/>
        </w:rPr>
        <w:t xml:space="preserve">” (i.e., companies that </w:t>
      </w:r>
      <w:r w:rsidR="007F60A8">
        <w:rPr>
          <w:color w:val="101010"/>
        </w:rPr>
        <w:t xml:space="preserve">are </w:t>
      </w:r>
      <w:r w:rsidR="00B07384" w:rsidRPr="007F60A8">
        <w:rPr>
          <w:color w:val="101010"/>
        </w:rPr>
        <w:t>not highly engaged in GMS</w:t>
      </w:r>
      <w:r w:rsidR="007F60A8">
        <w:rPr>
          <w:color w:val="101010"/>
        </w:rPr>
        <w:t xml:space="preserve"> but</w:t>
      </w:r>
      <w:r w:rsidR="00B07384" w:rsidRPr="007F60A8">
        <w:rPr>
          <w:color w:val="101010"/>
        </w:rPr>
        <w:t xml:space="preserve"> view</w:t>
      </w:r>
      <w:r w:rsidR="007F60A8">
        <w:rPr>
          <w:color w:val="101010"/>
        </w:rPr>
        <w:t>ed</w:t>
      </w:r>
      <w:r w:rsidR="00B07384" w:rsidRPr="007F60A8">
        <w:rPr>
          <w:color w:val="101010"/>
        </w:rPr>
        <w:t xml:space="preserve"> the recession as an opportunity to dedicate resources for </w:t>
      </w:r>
      <w:r w:rsidR="007F60A8" w:rsidRPr="003E7EE5">
        <w:rPr>
          <w:color w:val="101010"/>
        </w:rPr>
        <w:t>such activit</w:t>
      </w:r>
      <w:r w:rsidR="007F60A8">
        <w:rPr>
          <w:color w:val="101010"/>
        </w:rPr>
        <w:t>y</w:t>
      </w:r>
      <w:r w:rsidR="00B07384" w:rsidRPr="007F60A8">
        <w:rPr>
          <w:color w:val="101010"/>
        </w:rPr>
        <w:t>), “</w:t>
      </w:r>
      <w:r w:rsidR="007F60A8">
        <w:rPr>
          <w:color w:val="101010"/>
        </w:rPr>
        <w:t>g</w:t>
      </w:r>
      <w:r w:rsidR="00B07384" w:rsidRPr="007F60A8">
        <w:rPr>
          <w:color w:val="101010"/>
        </w:rPr>
        <w:t xml:space="preserve">reen </w:t>
      </w:r>
      <w:r w:rsidR="007F60A8">
        <w:rPr>
          <w:color w:val="101010"/>
        </w:rPr>
        <w:t>r</w:t>
      </w:r>
      <w:r w:rsidR="00B07384" w:rsidRPr="005E1791">
        <w:rPr>
          <w:color w:val="101010"/>
        </w:rPr>
        <w:t>eluctants</w:t>
      </w:r>
      <w:r w:rsidR="00B07384" w:rsidRPr="007F60A8">
        <w:rPr>
          <w:color w:val="101010"/>
        </w:rPr>
        <w:t xml:space="preserve">” (i.e., companies that are poorly engaged in a GMS but tried to keep a stable availability of resources for </w:t>
      </w:r>
      <w:r w:rsidR="007F60A8" w:rsidRPr="003E7EE5">
        <w:rPr>
          <w:color w:val="101010"/>
        </w:rPr>
        <w:t>such activit</w:t>
      </w:r>
      <w:r w:rsidR="007F60A8">
        <w:rPr>
          <w:color w:val="101010"/>
        </w:rPr>
        <w:t>y</w:t>
      </w:r>
      <w:r w:rsidR="00B07384" w:rsidRPr="007F60A8">
        <w:rPr>
          <w:color w:val="101010"/>
        </w:rPr>
        <w:t>), and “</w:t>
      </w:r>
      <w:r w:rsidR="007F60A8">
        <w:rPr>
          <w:color w:val="101010"/>
        </w:rPr>
        <w:t>g</w:t>
      </w:r>
      <w:r w:rsidR="00B07384" w:rsidRPr="007F60A8">
        <w:rPr>
          <w:color w:val="101010"/>
        </w:rPr>
        <w:t xml:space="preserve">reen </w:t>
      </w:r>
      <w:r w:rsidR="007F60A8">
        <w:rPr>
          <w:color w:val="101010"/>
        </w:rPr>
        <w:t>n</w:t>
      </w:r>
      <w:r w:rsidR="00B07384" w:rsidRPr="005E1791">
        <w:rPr>
          <w:color w:val="101010"/>
        </w:rPr>
        <w:t>on-believers</w:t>
      </w:r>
      <w:r w:rsidR="00B07384" w:rsidRPr="007F60A8">
        <w:rPr>
          <w:color w:val="101010"/>
        </w:rPr>
        <w:t>” (i.e., companies that are neither engaged</w:t>
      </w:r>
      <w:r w:rsidR="00B07384" w:rsidRPr="003E7EE5">
        <w:rPr>
          <w:color w:val="101010"/>
        </w:rPr>
        <w:t xml:space="preserve"> in GMS nor dedicated resources </w:t>
      </w:r>
      <w:r w:rsidR="007F60A8">
        <w:rPr>
          <w:color w:val="101010"/>
        </w:rPr>
        <w:t>to</w:t>
      </w:r>
      <w:r w:rsidR="00B07384" w:rsidRPr="003E7EE5">
        <w:rPr>
          <w:color w:val="101010"/>
        </w:rPr>
        <w:t xml:space="preserve"> such activit</w:t>
      </w:r>
      <w:r w:rsidR="007F60A8">
        <w:rPr>
          <w:color w:val="101010"/>
        </w:rPr>
        <w:t>y</w:t>
      </w:r>
      <w:r w:rsidR="00B07384" w:rsidRPr="003E7EE5">
        <w:rPr>
          <w:color w:val="101010"/>
        </w:rPr>
        <w:t>).</w:t>
      </w:r>
    </w:p>
    <w:p w14:paraId="15E91E0D" w14:textId="27A805E9" w:rsidR="00297E46" w:rsidRPr="003E7EE5" w:rsidRDefault="00297E46" w:rsidP="00617A5D">
      <w:pPr>
        <w:widowControl w:val="0"/>
        <w:autoSpaceDE w:val="0"/>
        <w:autoSpaceDN w:val="0"/>
        <w:adjustRightInd w:val="0"/>
        <w:spacing w:line="480" w:lineRule="auto"/>
        <w:jc w:val="center"/>
        <w:rPr>
          <w:i/>
          <w:iCs/>
          <w:color w:val="101010"/>
        </w:rPr>
      </w:pPr>
      <w:r w:rsidRPr="003E7EE5">
        <w:rPr>
          <w:i/>
          <w:iCs/>
          <w:color w:val="101010"/>
        </w:rPr>
        <w:t>Figure 3 here</w:t>
      </w:r>
    </w:p>
    <w:p w14:paraId="2AF1C8D8" w14:textId="333297AD" w:rsidR="007F4253" w:rsidRPr="003E7EE5" w:rsidRDefault="007F4253" w:rsidP="005E1791">
      <w:pPr>
        <w:widowControl w:val="0"/>
        <w:autoSpaceDE w:val="0"/>
        <w:autoSpaceDN w:val="0"/>
        <w:adjustRightInd w:val="0"/>
        <w:spacing w:line="480" w:lineRule="auto"/>
        <w:ind w:firstLine="720"/>
        <w:rPr>
          <w:color w:val="000000" w:themeColor="text1"/>
        </w:rPr>
      </w:pPr>
      <w:r w:rsidRPr="003E7EE5">
        <w:rPr>
          <w:color w:val="101010"/>
        </w:rPr>
        <w:t xml:space="preserve">To empirically test the conceptual typology, we also conducted a k-means cluster analysis to generate an empirical “green” membership based on the same variables (GMS and GMR). </w:t>
      </w:r>
      <w:r w:rsidR="00825A69">
        <w:rPr>
          <w:color w:val="101010"/>
        </w:rPr>
        <w:t>W</w:t>
      </w:r>
      <w:r w:rsidR="00825A69" w:rsidRPr="003E7EE5">
        <w:rPr>
          <w:color w:val="101010"/>
        </w:rPr>
        <w:t xml:space="preserve">e examined </w:t>
      </w:r>
      <w:r w:rsidR="00825A69">
        <w:rPr>
          <w:color w:val="101010"/>
        </w:rPr>
        <w:t>c</w:t>
      </w:r>
      <w:r w:rsidRPr="003E7EE5">
        <w:rPr>
          <w:color w:val="101010"/>
        </w:rPr>
        <w:t xml:space="preserve">luster </w:t>
      </w:r>
      <w:r w:rsidR="00BF23FA" w:rsidRPr="003E7EE5">
        <w:rPr>
          <w:color w:val="101010"/>
        </w:rPr>
        <w:t xml:space="preserve">solutions </w:t>
      </w:r>
      <w:r w:rsidRPr="003E7EE5">
        <w:rPr>
          <w:color w:val="101010"/>
        </w:rPr>
        <w:t xml:space="preserve">with two </w:t>
      </w:r>
      <w:r w:rsidR="00825A69">
        <w:rPr>
          <w:color w:val="101010"/>
        </w:rPr>
        <w:t xml:space="preserve">to </w:t>
      </w:r>
      <w:r w:rsidRPr="003E7EE5">
        <w:rPr>
          <w:color w:val="101010"/>
        </w:rPr>
        <w:t>six groups. We chose the six</w:t>
      </w:r>
      <w:r w:rsidR="00825A69">
        <w:rPr>
          <w:color w:val="101010"/>
        </w:rPr>
        <w:t>-</w:t>
      </w:r>
      <w:r w:rsidRPr="003E7EE5">
        <w:rPr>
          <w:color w:val="101010"/>
        </w:rPr>
        <w:t>group cluster analysis solution for three reasons (</w:t>
      </w:r>
      <w:proofErr w:type="spellStart"/>
      <w:r w:rsidRPr="003E7EE5">
        <w:rPr>
          <w:color w:val="101010"/>
        </w:rPr>
        <w:t>Calantone</w:t>
      </w:r>
      <w:proofErr w:type="spellEnd"/>
      <w:r w:rsidRPr="003E7EE5">
        <w:rPr>
          <w:color w:val="101010"/>
        </w:rPr>
        <w:t xml:space="preserve"> </w:t>
      </w:r>
      <w:r w:rsidR="007E71B6" w:rsidRPr="003E7EE5">
        <w:rPr>
          <w:color w:val="101010"/>
        </w:rPr>
        <w:t>and</w:t>
      </w:r>
      <w:r w:rsidRPr="003E7EE5">
        <w:rPr>
          <w:color w:val="101010"/>
        </w:rPr>
        <w:t xml:space="preserve"> Sawyer, 1978; Punj </w:t>
      </w:r>
      <w:r w:rsidR="007E71B6" w:rsidRPr="003E7EE5">
        <w:rPr>
          <w:color w:val="101010"/>
        </w:rPr>
        <w:t>and</w:t>
      </w:r>
      <w:r w:rsidRPr="003E7EE5">
        <w:rPr>
          <w:color w:val="101010"/>
        </w:rPr>
        <w:t xml:space="preserve"> Steward, 1983). First, it </w:t>
      </w:r>
      <w:r w:rsidR="00991F25" w:rsidRPr="003E7EE5">
        <w:rPr>
          <w:color w:val="101010"/>
        </w:rPr>
        <w:t xml:space="preserve">showed </w:t>
      </w:r>
      <w:r w:rsidRPr="003E7EE5">
        <w:rPr>
          <w:color w:val="101010"/>
        </w:rPr>
        <w:t>the smallest average distance of cases from the</w:t>
      </w:r>
      <w:r w:rsidR="00825A69">
        <w:rPr>
          <w:color w:val="101010"/>
        </w:rPr>
        <w:t>se groups’</w:t>
      </w:r>
      <w:r w:rsidRPr="003E7EE5">
        <w:rPr>
          <w:color w:val="101010"/>
        </w:rPr>
        <w:t xml:space="preserve"> classification cluster center (</w:t>
      </w:r>
      <w:r w:rsidR="00825A69">
        <w:rPr>
          <w:color w:val="101010"/>
        </w:rPr>
        <w:t xml:space="preserve">M </w:t>
      </w:r>
      <w:r w:rsidRPr="003E7EE5">
        <w:rPr>
          <w:color w:val="101010"/>
        </w:rPr>
        <w:t>=</w:t>
      </w:r>
      <w:r w:rsidR="00825A69">
        <w:rPr>
          <w:color w:val="101010"/>
        </w:rPr>
        <w:t xml:space="preserve"> </w:t>
      </w:r>
      <w:r w:rsidRPr="003E7EE5">
        <w:rPr>
          <w:color w:val="101010"/>
        </w:rPr>
        <w:t>0.8). Second, the solution emerge</w:t>
      </w:r>
      <w:r w:rsidR="00991F25" w:rsidRPr="003E7EE5">
        <w:rPr>
          <w:color w:val="101010"/>
        </w:rPr>
        <w:t>d</w:t>
      </w:r>
      <w:r w:rsidRPr="003E7EE5">
        <w:rPr>
          <w:color w:val="101010"/>
        </w:rPr>
        <w:t xml:space="preserve"> after a minimum number of iterations (i.e., six </w:t>
      </w:r>
      <w:r w:rsidR="00825A69">
        <w:rPr>
          <w:color w:val="101010"/>
        </w:rPr>
        <w:t xml:space="preserve">vs. </w:t>
      </w:r>
      <w:r w:rsidRPr="003E7EE5">
        <w:rPr>
          <w:color w:val="101010"/>
        </w:rPr>
        <w:t xml:space="preserve">seven or more </w:t>
      </w:r>
      <w:r w:rsidR="00825A69" w:rsidRPr="003E7EE5">
        <w:rPr>
          <w:color w:val="101010"/>
        </w:rPr>
        <w:t xml:space="preserve">iterations </w:t>
      </w:r>
      <w:r w:rsidRPr="003E7EE5">
        <w:rPr>
          <w:color w:val="101010"/>
        </w:rPr>
        <w:t xml:space="preserve">in other solutions). </w:t>
      </w:r>
      <w:r w:rsidR="00825A69">
        <w:rPr>
          <w:color w:val="101010"/>
        </w:rPr>
        <w:t>Third</w:t>
      </w:r>
      <w:r w:rsidRPr="003E7EE5">
        <w:rPr>
          <w:color w:val="101010"/>
        </w:rPr>
        <w:t>, the</w:t>
      </w:r>
      <w:r w:rsidR="00991F25" w:rsidRPr="003E7EE5">
        <w:rPr>
          <w:color w:val="101010"/>
        </w:rPr>
        <w:t xml:space="preserve"> means of the</w:t>
      </w:r>
      <w:r w:rsidRPr="003E7EE5">
        <w:rPr>
          <w:color w:val="101010"/>
        </w:rPr>
        <w:t xml:space="preserve"> variables used in the analysis </w:t>
      </w:r>
      <w:r w:rsidR="00991F25" w:rsidRPr="003E7EE5">
        <w:rPr>
          <w:color w:val="101010"/>
        </w:rPr>
        <w:t xml:space="preserve">were </w:t>
      </w:r>
      <w:r w:rsidR="00BE1328" w:rsidRPr="003E7EE5">
        <w:rPr>
          <w:color w:val="101010"/>
        </w:rPr>
        <w:t>statistically</w:t>
      </w:r>
      <w:r w:rsidRPr="003E7EE5">
        <w:rPr>
          <w:color w:val="101010"/>
        </w:rPr>
        <w:t xml:space="preserve"> different between clusters (</w:t>
      </w:r>
      <w:r w:rsidRPr="005E1791">
        <w:rPr>
          <w:i/>
          <w:iCs/>
          <w:color w:val="101010"/>
        </w:rPr>
        <w:t>p</w:t>
      </w:r>
      <w:r w:rsidR="00825A69">
        <w:rPr>
          <w:color w:val="101010"/>
        </w:rPr>
        <w:t xml:space="preserve"> </w:t>
      </w:r>
      <w:r w:rsidRPr="003E7EE5">
        <w:rPr>
          <w:color w:val="101010"/>
        </w:rPr>
        <w:t>&lt;</w:t>
      </w:r>
      <w:r w:rsidR="00825A69">
        <w:rPr>
          <w:color w:val="101010"/>
        </w:rPr>
        <w:t xml:space="preserve"> </w:t>
      </w:r>
      <w:r w:rsidRPr="003E7EE5">
        <w:rPr>
          <w:color w:val="101010"/>
        </w:rPr>
        <w:t xml:space="preserve">0.001). </w:t>
      </w:r>
      <w:r w:rsidR="00825A69">
        <w:rPr>
          <w:color w:val="101010"/>
        </w:rPr>
        <w:t xml:space="preserve">An </w:t>
      </w:r>
      <w:r w:rsidR="00D93B42" w:rsidRPr="003E7EE5">
        <w:rPr>
          <w:color w:val="101010"/>
        </w:rPr>
        <w:t>additional test</w:t>
      </w:r>
      <w:r w:rsidR="00825A69">
        <w:rPr>
          <w:color w:val="101010"/>
        </w:rPr>
        <w:t xml:space="preserve"> found that</w:t>
      </w:r>
      <w:r w:rsidR="00D93B42" w:rsidRPr="003E7EE5">
        <w:rPr>
          <w:color w:val="101010"/>
        </w:rPr>
        <w:t xml:space="preserve"> the six</w:t>
      </w:r>
      <w:r w:rsidR="00825A69">
        <w:rPr>
          <w:color w:val="101010"/>
        </w:rPr>
        <w:t>-</w:t>
      </w:r>
      <w:r w:rsidR="00D93B42" w:rsidRPr="003E7EE5">
        <w:rPr>
          <w:color w:val="101010"/>
        </w:rPr>
        <w:t xml:space="preserve">group cluster solution was the only meaningful solution </w:t>
      </w:r>
      <w:r w:rsidR="00D93B42" w:rsidRPr="003E7EE5">
        <w:t xml:space="preserve">with a “good” </w:t>
      </w:r>
      <w:r w:rsidR="00D93B42" w:rsidRPr="003E7EE5">
        <w:lastRenderedPageBreak/>
        <w:t xml:space="preserve">cluster quality based on the silhouette measure (above 0.5). </w:t>
      </w:r>
      <w:r w:rsidRPr="003E7EE5">
        <w:rPr>
          <w:color w:val="101010"/>
        </w:rPr>
        <w:t xml:space="preserve">Table </w:t>
      </w:r>
      <w:r w:rsidR="00EB16A4" w:rsidRPr="003E7EE5">
        <w:rPr>
          <w:color w:val="101010"/>
        </w:rPr>
        <w:t>5</w:t>
      </w:r>
      <w:r w:rsidRPr="003E7EE5">
        <w:rPr>
          <w:color w:val="101010"/>
        </w:rPr>
        <w:t xml:space="preserve"> presents the profile of each cluster regarding the “green” variables used in the analysis. As the table</w:t>
      </w:r>
      <w:r w:rsidR="00825A69">
        <w:rPr>
          <w:color w:val="101010"/>
        </w:rPr>
        <w:t xml:space="preserve"> shows</w:t>
      </w:r>
      <w:r w:rsidRPr="003E7EE5">
        <w:rPr>
          <w:color w:val="101010"/>
        </w:rPr>
        <w:t xml:space="preserve">, the empirical membership obtained through cluster analysis is </w:t>
      </w:r>
      <w:proofErr w:type="gramStart"/>
      <w:r w:rsidRPr="003E7EE5">
        <w:rPr>
          <w:color w:val="101010"/>
        </w:rPr>
        <w:t>similar to</w:t>
      </w:r>
      <w:proofErr w:type="gramEnd"/>
      <w:r w:rsidRPr="003E7EE5">
        <w:rPr>
          <w:color w:val="101010"/>
        </w:rPr>
        <w:t xml:space="preserve"> the resul</w:t>
      </w:r>
      <w:r w:rsidR="00BE1328">
        <w:rPr>
          <w:color w:val="101010"/>
        </w:rPr>
        <w:t>t</w:t>
      </w:r>
      <w:r w:rsidRPr="003E7EE5">
        <w:rPr>
          <w:color w:val="101010"/>
        </w:rPr>
        <w:t xml:space="preserve">s of our conceptual classification. As a </w:t>
      </w:r>
      <w:r w:rsidR="00825A69">
        <w:rPr>
          <w:color w:val="101010"/>
        </w:rPr>
        <w:t>final</w:t>
      </w:r>
      <w:r w:rsidRPr="003E7EE5">
        <w:rPr>
          <w:color w:val="101010"/>
        </w:rPr>
        <w:t xml:space="preserve"> test of the relationship between our conceptual and empirical typolog</w:t>
      </w:r>
      <w:r w:rsidR="00825A69">
        <w:rPr>
          <w:color w:val="101010"/>
        </w:rPr>
        <w:t>ies</w:t>
      </w:r>
      <w:r w:rsidRPr="003E7EE5">
        <w:rPr>
          <w:color w:val="101010"/>
        </w:rPr>
        <w:t>, we conducted a cross</w:t>
      </w:r>
      <w:r w:rsidR="00825A69">
        <w:rPr>
          <w:color w:val="101010"/>
        </w:rPr>
        <w:t>-</w:t>
      </w:r>
      <w:r w:rsidRPr="003E7EE5">
        <w:rPr>
          <w:color w:val="101010"/>
        </w:rPr>
        <w:t xml:space="preserve">tabulation analysis. </w:t>
      </w:r>
      <w:r w:rsidR="00991F25" w:rsidRPr="003E7EE5">
        <w:rPr>
          <w:color w:val="101010"/>
        </w:rPr>
        <w:t>The r</w:t>
      </w:r>
      <w:r w:rsidRPr="003E7EE5">
        <w:rPr>
          <w:color w:val="101010"/>
        </w:rPr>
        <w:t xml:space="preserve">esults confirm that the two classifications </w:t>
      </w:r>
      <w:r w:rsidR="00646469" w:rsidRPr="003E7EE5">
        <w:rPr>
          <w:color w:val="101010"/>
        </w:rPr>
        <w:t>highly overlap</w:t>
      </w:r>
      <w:r w:rsidRPr="003E7EE5">
        <w:rPr>
          <w:color w:val="101010"/>
        </w:rPr>
        <w:t xml:space="preserve"> given the significance of the chi-square coefficient </w:t>
      </w:r>
      <w:r w:rsidRPr="003E7EE5">
        <w:rPr>
          <w:bCs/>
          <w:color w:val="0E0E0E"/>
          <w:szCs w:val="26"/>
        </w:rPr>
        <w:t xml:space="preserve">(Pearson </w:t>
      </w:r>
      <w:r w:rsidR="00825A69">
        <w:rPr>
          <w:bCs/>
          <w:color w:val="0E0E0E"/>
          <w:szCs w:val="26"/>
        </w:rPr>
        <w:t>χ</w:t>
      </w:r>
      <w:r w:rsidR="00825A69" w:rsidRPr="005E1791">
        <w:rPr>
          <w:bCs/>
          <w:color w:val="0E0E0E"/>
          <w:szCs w:val="26"/>
          <w:vertAlign w:val="superscript"/>
        </w:rPr>
        <w:t>2</w:t>
      </w:r>
      <w:r w:rsidR="00825A69">
        <w:rPr>
          <w:bCs/>
          <w:color w:val="0E0E0E"/>
          <w:szCs w:val="26"/>
        </w:rPr>
        <w:t xml:space="preserve"> </w:t>
      </w:r>
      <w:r w:rsidRPr="003E7EE5">
        <w:rPr>
          <w:bCs/>
          <w:color w:val="0E0E0E"/>
          <w:szCs w:val="26"/>
        </w:rPr>
        <w:t>=</w:t>
      </w:r>
      <w:r w:rsidR="00825A69">
        <w:rPr>
          <w:bCs/>
          <w:color w:val="0E0E0E"/>
          <w:szCs w:val="26"/>
        </w:rPr>
        <w:t xml:space="preserve"> </w:t>
      </w:r>
      <w:r w:rsidRPr="003E7EE5">
        <w:rPr>
          <w:bCs/>
          <w:color w:val="0E0E0E"/>
          <w:szCs w:val="26"/>
        </w:rPr>
        <w:t xml:space="preserve">589.006, </w:t>
      </w:r>
      <w:r w:rsidRPr="005E1791">
        <w:rPr>
          <w:bCs/>
          <w:i/>
          <w:iCs/>
          <w:color w:val="0E0E0E"/>
          <w:szCs w:val="26"/>
        </w:rPr>
        <w:t>p</w:t>
      </w:r>
      <w:r w:rsidR="00825A69">
        <w:rPr>
          <w:bCs/>
          <w:color w:val="0E0E0E"/>
          <w:szCs w:val="26"/>
        </w:rPr>
        <w:t xml:space="preserve"> </w:t>
      </w:r>
      <w:r w:rsidRPr="003E7EE5">
        <w:rPr>
          <w:bCs/>
          <w:color w:val="0E0E0E"/>
          <w:szCs w:val="26"/>
        </w:rPr>
        <w:t>&lt;</w:t>
      </w:r>
      <w:r w:rsidR="00825A69">
        <w:rPr>
          <w:bCs/>
          <w:color w:val="0E0E0E"/>
          <w:szCs w:val="26"/>
        </w:rPr>
        <w:t xml:space="preserve"> </w:t>
      </w:r>
      <w:r w:rsidRPr="003E7EE5">
        <w:rPr>
          <w:bCs/>
          <w:color w:val="0E0E0E"/>
          <w:szCs w:val="26"/>
        </w:rPr>
        <w:t>0.001</w:t>
      </w:r>
      <w:r w:rsidR="00825A69">
        <w:rPr>
          <w:bCs/>
          <w:color w:val="0E0E0E"/>
          <w:szCs w:val="26"/>
        </w:rPr>
        <w:t>;</w:t>
      </w:r>
      <w:r w:rsidRPr="003E7EE5">
        <w:rPr>
          <w:bCs/>
          <w:color w:val="0E0E0E"/>
          <w:szCs w:val="26"/>
        </w:rPr>
        <w:t xml:space="preserve"> Cramer’s V</w:t>
      </w:r>
      <w:r w:rsidR="00825A69">
        <w:rPr>
          <w:bCs/>
          <w:color w:val="0E0E0E"/>
          <w:szCs w:val="26"/>
        </w:rPr>
        <w:t xml:space="preserve"> </w:t>
      </w:r>
      <w:r w:rsidRPr="003E7EE5">
        <w:rPr>
          <w:bCs/>
          <w:color w:val="0E0E0E"/>
          <w:szCs w:val="26"/>
        </w:rPr>
        <w:t>=</w:t>
      </w:r>
      <w:r w:rsidR="00825A69">
        <w:rPr>
          <w:bCs/>
          <w:color w:val="0E0E0E"/>
          <w:szCs w:val="26"/>
        </w:rPr>
        <w:t xml:space="preserve"> </w:t>
      </w:r>
      <w:r w:rsidRPr="003E7EE5">
        <w:rPr>
          <w:bCs/>
          <w:color w:val="0E0E0E"/>
          <w:szCs w:val="26"/>
        </w:rPr>
        <w:t xml:space="preserve">0.693, </w:t>
      </w:r>
      <w:r w:rsidRPr="005E1791">
        <w:rPr>
          <w:bCs/>
          <w:i/>
          <w:iCs/>
          <w:color w:val="0E0E0E"/>
          <w:szCs w:val="26"/>
        </w:rPr>
        <w:t>p</w:t>
      </w:r>
      <w:r w:rsidR="00825A69">
        <w:rPr>
          <w:bCs/>
          <w:color w:val="0E0E0E"/>
          <w:szCs w:val="26"/>
        </w:rPr>
        <w:t xml:space="preserve"> </w:t>
      </w:r>
      <w:r w:rsidRPr="003E7EE5">
        <w:rPr>
          <w:bCs/>
          <w:color w:val="0E0E0E"/>
          <w:szCs w:val="26"/>
        </w:rPr>
        <w:t>&lt;</w:t>
      </w:r>
      <w:r w:rsidR="00825A69">
        <w:rPr>
          <w:bCs/>
          <w:color w:val="0E0E0E"/>
          <w:szCs w:val="26"/>
        </w:rPr>
        <w:t xml:space="preserve"> </w:t>
      </w:r>
      <w:r w:rsidRPr="003E7EE5">
        <w:rPr>
          <w:bCs/>
          <w:color w:val="0E0E0E"/>
          <w:szCs w:val="26"/>
        </w:rPr>
        <w:t xml:space="preserve">0.001) </w:t>
      </w:r>
      <w:r w:rsidRPr="003E7EE5">
        <w:rPr>
          <w:color w:val="101010"/>
        </w:rPr>
        <w:t xml:space="preserve">and the magnitude of the diagonal </w:t>
      </w:r>
      <w:r w:rsidRPr="003E7EE5">
        <w:rPr>
          <w:color w:val="000000" w:themeColor="text1"/>
        </w:rPr>
        <w:t xml:space="preserve">frequencies (see Appendix </w:t>
      </w:r>
      <w:r w:rsidR="00EB61AB" w:rsidRPr="003E7EE5">
        <w:rPr>
          <w:color w:val="000000" w:themeColor="text1"/>
        </w:rPr>
        <w:t>A</w:t>
      </w:r>
      <w:r w:rsidR="00D93B42" w:rsidRPr="003E7EE5">
        <w:rPr>
          <w:color w:val="000000" w:themeColor="text1"/>
        </w:rPr>
        <w:t>7</w:t>
      </w:r>
      <w:r w:rsidRPr="003E7EE5">
        <w:rPr>
          <w:color w:val="000000" w:themeColor="text1"/>
        </w:rPr>
        <w:t xml:space="preserve"> for details).</w:t>
      </w:r>
    </w:p>
    <w:p w14:paraId="22A16B2D" w14:textId="1FC8D363" w:rsidR="00297E46" w:rsidRPr="003E7EE5" w:rsidRDefault="00297E46" w:rsidP="005E1791">
      <w:pPr>
        <w:widowControl w:val="0"/>
        <w:autoSpaceDE w:val="0"/>
        <w:autoSpaceDN w:val="0"/>
        <w:adjustRightInd w:val="0"/>
        <w:spacing w:line="480" w:lineRule="auto"/>
        <w:jc w:val="center"/>
        <w:rPr>
          <w:i/>
          <w:iCs/>
          <w:color w:val="000000" w:themeColor="text1"/>
        </w:rPr>
      </w:pPr>
      <w:r w:rsidRPr="003E7EE5">
        <w:rPr>
          <w:i/>
          <w:iCs/>
          <w:color w:val="000000" w:themeColor="text1"/>
        </w:rPr>
        <w:t>Table 5 here</w:t>
      </w:r>
    </w:p>
    <w:p w14:paraId="51D7C990" w14:textId="4DAD7505" w:rsidR="002A4A52" w:rsidRPr="003E7EE5" w:rsidRDefault="007F4253" w:rsidP="005E1791">
      <w:pPr>
        <w:widowControl w:val="0"/>
        <w:autoSpaceDE w:val="0"/>
        <w:autoSpaceDN w:val="0"/>
        <w:adjustRightInd w:val="0"/>
        <w:spacing w:line="480" w:lineRule="auto"/>
        <w:ind w:firstLine="720"/>
        <w:rPr>
          <w:color w:val="242424"/>
          <w:shd w:val="clear" w:color="auto" w:fill="FFFFFF"/>
        </w:rPr>
      </w:pPr>
      <w:r w:rsidRPr="003E7EE5">
        <w:rPr>
          <w:color w:val="101010"/>
        </w:rPr>
        <w:t xml:space="preserve">We also performed one-way analyses of variance with FR and OR as the dependent variables and our “green” classification </w:t>
      </w:r>
      <w:r w:rsidR="00646469" w:rsidRPr="003E7EE5">
        <w:rPr>
          <w:color w:val="101010"/>
        </w:rPr>
        <w:t xml:space="preserve">membership </w:t>
      </w:r>
      <w:r w:rsidRPr="003E7EE5">
        <w:rPr>
          <w:color w:val="101010"/>
        </w:rPr>
        <w:t xml:space="preserve">as the group variable. </w:t>
      </w:r>
      <w:r w:rsidR="00825A69">
        <w:rPr>
          <w:color w:val="101010"/>
        </w:rPr>
        <w:t>The r</w:t>
      </w:r>
      <w:r w:rsidRPr="003E7EE5">
        <w:rPr>
          <w:color w:val="101010"/>
        </w:rPr>
        <w:t xml:space="preserve">esults reveal a significant effect of “green” </w:t>
      </w:r>
      <w:r w:rsidR="00C72EE9">
        <w:rPr>
          <w:color w:val="101010"/>
        </w:rPr>
        <w:t xml:space="preserve">strategy </w:t>
      </w:r>
      <w:r w:rsidR="00C21245" w:rsidRPr="003E7EE5">
        <w:rPr>
          <w:color w:val="101010"/>
        </w:rPr>
        <w:t xml:space="preserve">types </w:t>
      </w:r>
      <w:r w:rsidRPr="003E7EE5">
        <w:rPr>
          <w:color w:val="101010"/>
        </w:rPr>
        <w:t xml:space="preserve">on both resilience measures, suggesting that performance outcomes vary significantly across company groups. Table </w:t>
      </w:r>
      <w:r w:rsidR="00EB16A4" w:rsidRPr="003E7EE5">
        <w:rPr>
          <w:color w:val="101010"/>
        </w:rPr>
        <w:t>6</w:t>
      </w:r>
      <w:r w:rsidRPr="003E7EE5">
        <w:rPr>
          <w:color w:val="101010"/>
        </w:rPr>
        <w:t xml:space="preserve"> presents the relevant results for both the conceptual and empirical typolog</w:t>
      </w:r>
      <w:r w:rsidR="00825A69">
        <w:rPr>
          <w:color w:val="101010"/>
        </w:rPr>
        <w:t>ies</w:t>
      </w:r>
      <w:r w:rsidRPr="003E7EE5">
        <w:rPr>
          <w:color w:val="101010"/>
        </w:rPr>
        <w:t xml:space="preserve">. </w:t>
      </w:r>
      <w:r w:rsidR="00B07384" w:rsidRPr="003E7EE5">
        <w:rPr>
          <w:color w:val="101010"/>
        </w:rPr>
        <w:t xml:space="preserve">Comparisons of mean FR and OR scores across </w:t>
      </w:r>
      <w:r w:rsidR="00C21245" w:rsidRPr="003E7EE5">
        <w:rPr>
          <w:color w:val="101010"/>
        </w:rPr>
        <w:t xml:space="preserve">types </w:t>
      </w:r>
      <w:r w:rsidR="00B07384" w:rsidRPr="003E7EE5">
        <w:rPr>
          <w:color w:val="101010"/>
        </w:rPr>
        <w:t>show that resilience is signifi</w:t>
      </w:r>
      <w:r w:rsidR="00C339D2">
        <w:rPr>
          <w:color w:val="101010"/>
        </w:rPr>
        <w:t>cantly</w:t>
      </w:r>
      <w:r w:rsidR="00B07384" w:rsidRPr="003E7EE5">
        <w:rPr>
          <w:color w:val="101010"/>
        </w:rPr>
        <w:t xml:space="preserve"> higher for “</w:t>
      </w:r>
      <w:r w:rsidR="00825A69">
        <w:rPr>
          <w:color w:val="101010"/>
        </w:rPr>
        <w:t>s</w:t>
      </w:r>
      <w:r w:rsidR="00B07384" w:rsidRPr="003E7EE5">
        <w:rPr>
          <w:color w:val="101010"/>
        </w:rPr>
        <w:t>trategic green investors” than</w:t>
      </w:r>
      <w:r w:rsidR="009178BB">
        <w:rPr>
          <w:color w:val="101010"/>
        </w:rPr>
        <w:t xml:space="preserve"> ‘’green non-believers’’ and</w:t>
      </w:r>
      <w:r w:rsidR="00B07384" w:rsidRPr="003E7EE5">
        <w:rPr>
          <w:color w:val="101010"/>
        </w:rPr>
        <w:t xml:space="preserve"> “</w:t>
      </w:r>
      <w:r w:rsidR="00C339D2">
        <w:rPr>
          <w:color w:val="101010"/>
        </w:rPr>
        <w:t>g</w:t>
      </w:r>
      <w:r w:rsidR="00B07384" w:rsidRPr="003E7EE5">
        <w:rPr>
          <w:color w:val="101010"/>
        </w:rPr>
        <w:t xml:space="preserve">reen </w:t>
      </w:r>
      <w:proofErr w:type="spellStart"/>
      <w:r w:rsidR="00B07384" w:rsidRPr="003E7EE5">
        <w:rPr>
          <w:color w:val="101010"/>
        </w:rPr>
        <w:t>disinvestors</w:t>
      </w:r>
      <w:proofErr w:type="spellEnd"/>
      <w:r w:rsidR="00B07384" w:rsidRPr="003E7EE5">
        <w:rPr>
          <w:color w:val="101010"/>
        </w:rPr>
        <w:t>”.</w:t>
      </w:r>
      <w:r w:rsidR="00C339D2">
        <w:rPr>
          <w:color w:val="101010"/>
        </w:rPr>
        <w:t>”</w:t>
      </w:r>
      <w:r w:rsidR="00B07384" w:rsidRPr="003E7EE5">
        <w:rPr>
          <w:color w:val="101010"/>
        </w:rPr>
        <w:t xml:space="preserve"> </w:t>
      </w:r>
      <w:r w:rsidR="00C339D2">
        <w:rPr>
          <w:color w:val="101010"/>
        </w:rPr>
        <w:t xml:space="preserve">In addition, </w:t>
      </w:r>
      <w:r w:rsidR="00B07384" w:rsidRPr="003E7EE5">
        <w:rPr>
          <w:color w:val="101010"/>
        </w:rPr>
        <w:t>in most comparisons, “</w:t>
      </w:r>
      <w:r w:rsidR="00C339D2">
        <w:rPr>
          <w:color w:val="101010"/>
        </w:rPr>
        <w:t>o</w:t>
      </w:r>
      <w:r w:rsidR="00B07384" w:rsidRPr="003E7EE5">
        <w:rPr>
          <w:color w:val="101010"/>
        </w:rPr>
        <w:t xml:space="preserve">pportunistic green </w:t>
      </w:r>
      <w:proofErr w:type="gramStart"/>
      <w:r w:rsidR="00B07384" w:rsidRPr="003E7EE5">
        <w:rPr>
          <w:color w:val="101010"/>
        </w:rPr>
        <w:t xml:space="preserve">investors” </w:t>
      </w:r>
      <w:r w:rsidR="009178BB">
        <w:rPr>
          <w:color w:val="101010"/>
        </w:rPr>
        <w:t xml:space="preserve"> and</w:t>
      </w:r>
      <w:proofErr w:type="gramEnd"/>
      <w:r w:rsidR="009178BB">
        <w:rPr>
          <w:color w:val="101010"/>
        </w:rPr>
        <w:t xml:space="preserve"> ‘’cautious green investors’’ </w:t>
      </w:r>
      <w:r w:rsidR="00B07384" w:rsidRPr="003E7EE5">
        <w:rPr>
          <w:color w:val="101010"/>
        </w:rPr>
        <w:t xml:space="preserve">seem to perform worse than </w:t>
      </w:r>
      <w:r w:rsidR="00C339D2">
        <w:rPr>
          <w:color w:val="101010"/>
        </w:rPr>
        <w:t>“</w:t>
      </w:r>
      <w:r w:rsidR="00B07384" w:rsidRPr="003E7EE5">
        <w:rPr>
          <w:color w:val="101010"/>
        </w:rPr>
        <w:t>strategic green investors</w:t>
      </w:r>
      <w:r w:rsidR="00C339D2">
        <w:rPr>
          <w:color w:val="101010"/>
        </w:rPr>
        <w:t>”</w:t>
      </w:r>
      <w:r w:rsidR="00B07384" w:rsidRPr="003E7EE5">
        <w:rPr>
          <w:color w:val="101010"/>
        </w:rPr>
        <w:t xml:space="preserve"> but better than </w:t>
      </w:r>
      <w:r w:rsidR="00646469" w:rsidRPr="003E7EE5">
        <w:rPr>
          <w:color w:val="101010"/>
        </w:rPr>
        <w:t>“</w:t>
      </w:r>
      <w:r w:rsidR="00C339D2">
        <w:rPr>
          <w:color w:val="101010"/>
        </w:rPr>
        <w:t>g</w:t>
      </w:r>
      <w:r w:rsidR="00B07384" w:rsidRPr="003E7EE5">
        <w:rPr>
          <w:color w:val="101010"/>
        </w:rPr>
        <w:t>reen reluctants</w:t>
      </w:r>
      <w:r w:rsidR="00646469" w:rsidRPr="003E7EE5">
        <w:rPr>
          <w:color w:val="101010"/>
        </w:rPr>
        <w:t>”</w:t>
      </w:r>
      <w:r w:rsidR="00B07384" w:rsidRPr="003E7EE5">
        <w:rPr>
          <w:color w:val="101010"/>
        </w:rPr>
        <w:t xml:space="preserve"> and </w:t>
      </w:r>
      <w:r w:rsidR="00646469" w:rsidRPr="003E7EE5">
        <w:rPr>
          <w:color w:val="101010"/>
        </w:rPr>
        <w:t>“</w:t>
      </w:r>
      <w:r w:rsidR="00C339D2">
        <w:rPr>
          <w:color w:val="101010"/>
        </w:rPr>
        <w:t>g</w:t>
      </w:r>
      <w:r w:rsidR="00646469" w:rsidRPr="003E7EE5">
        <w:rPr>
          <w:color w:val="101010"/>
        </w:rPr>
        <w:t xml:space="preserve">reen </w:t>
      </w:r>
      <w:r w:rsidR="00B07384" w:rsidRPr="003E7EE5">
        <w:rPr>
          <w:color w:val="101010"/>
        </w:rPr>
        <w:t>non-believers</w:t>
      </w:r>
      <w:r w:rsidR="00C339D2">
        <w:rPr>
          <w:color w:val="101010"/>
        </w:rPr>
        <w:t>.</w:t>
      </w:r>
      <w:r w:rsidR="00646469" w:rsidRPr="003E7EE5">
        <w:rPr>
          <w:color w:val="101010"/>
        </w:rPr>
        <w:t>”</w:t>
      </w:r>
      <w:r w:rsidR="00B07384" w:rsidRPr="003E7EE5">
        <w:rPr>
          <w:color w:val="101010"/>
        </w:rPr>
        <w:t xml:space="preserve"> </w:t>
      </w:r>
      <w:r w:rsidR="002A4A52" w:rsidRPr="003E7EE5">
        <w:rPr>
          <w:color w:val="242424"/>
          <w:shd w:val="clear" w:color="auto" w:fill="FFFFFF"/>
        </w:rPr>
        <w:t>In sum</w:t>
      </w:r>
      <w:r w:rsidR="00C339D2">
        <w:rPr>
          <w:color w:val="242424"/>
          <w:shd w:val="clear" w:color="auto" w:fill="FFFFFF"/>
        </w:rPr>
        <w:t>mary</w:t>
      </w:r>
      <w:r w:rsidR="002A4A52" w:rsidRPr="003E7EE5">
        <w:rPr>
          <w:color w:val="242424"/>
          <w:shd w:val="clear" w:color="auto" w:fill="FFFFFF"/>
        </w:rPr>
        <w:t xml:space="preserve">, the groups that seem to consistently differentiate on the key measures are only those </w:t>
      </w:r>
      <w:r w:rsidR="00C339D2">
        <w:rPr>
          <w:color w:val="242424"/>
          <w:shd w:val="clear" w:color="auto" w:fill="FFFFFF"/>
        </w:rPr>
        <w:t xml:space="preserve">with </w:t>
      </w:r>
      <w:r w:rsidR="002A4A52" w:rsidRPr="003E7EE5">
        <w:rPr>
          <w:color w:val="242424"/>
          <w:shd w:val="clear" w:color="auto" w:fill="FFFFFF"/>
        </w:rPr>
        <w:t>high GMS/GMR (</w:t>
      </w:r>
      <w:r w:rsidR="00C339D2">
        <w:rPr>
          <w:color w:val="242424"/>
          <w:shd w:val="clear" w:color="auto" w:fill="FFFFFF"/>
        </w:rPr>
        <w:t>“s</w:t>
      </w:r>
      <w:r w:rsidR="002A4A52" w:rsidRPr="003E7EE5">
        <w:rPr>
          <w:color w:val="242424"/>
          <w:shd w:val="clear" w:color="auto" w:fill="FFFFFF"/>
        </w:rPr>
        <w:t>trategic green investors</w:t>
      </w:r>
      <w:r w:rsidR="00C339D2">
        <w:rPr>
          <w:color w:val="242424"/>
          <w:shd w:val="clear" w:color="auto" w:fill="FFFFFF"/>
        </w:rPr>
        <w:t>”</w:t>
      </w:r>
      <w:r w:rsidR="002A4A52" w:rsidRPr="003E7EE5">
        <w:rPr>
          <w:color w:val="242424"/>
          <w:shd w:val="clear" w:color="auto" w:fill="FFFFFF"/>
        </w:rPr>
        <w:t>) and low GMS/GMR (</w:t>
      </w:r>
      <w:r w:rsidR="00C339D2">
        <w:rPr>
          <w:color w:val="242424"/>
          <w:shd w:val="clear" w:color="auto" w:fill="FFFFFF"/>
        </w:rPr>
        <w:t>“g</w:t>
      </w:r>
      <w:r w:rsidR="002A4A52" w:rsidRPr="003E7EE5">
        <w:rPr>
          <w:color w:val="242424"/>
          <w:shd w:val="clear" w:color="auto" w:fill="FFFFFF"/>
        </w:rPr>
        <w:t>reen non-believers</w:t>
      </w:r>
      <w:r w:rsidR="00C339D2">
        <w:rPr>
          <w:color w:val="242424"/>
          <w:shd w:val="clear" w:color="auto" w:fill="FFFFFF"/>
        </w:rPr>
        <w:t>”</w:t>
      </w:r>
      <w:r w:rsidR="002A4A52" w:rsidRPr="003E7EE5">
        <w:rPr>
          <w:color w:val="242424"/>
          <w:shd w:val="clear" w:color="auto" w:fill="FFFFFF"/>
        </w:rPr>
        <w:t>). The remaining four groups appear rather similar in most key variables</w:t>
      </w:r>
      <w:r w:rsidR="00C339D2">
        <w:rPr>
          <w:color w:val="242424"/>
          <w:shd w:val="clear" w:color="auto" w:fill="FFFFFF"/>
        </w:rPr>
        <w:t>,</w:t>
      </w:r>
      <w:r w:rsidR="002A4A52" w:rsidRPr="003E7EE5">
        <w:rPr>
          <w:color w:val="242424"/>
          <w:shd w:val="clear" w:color="auto" w:fill="FFFFFF"/>
        </w:rPr>
        <w:t xml:space="preserve"> which further corroborates our expectation that </w:t>
      </w:r>
      <w:r w:rsidR="00C339D2">
        <w:rPr>
          <w:color w:val="242424"/>
          <w:shd w:val="clear" w:color="auto" w:fill="FFFFFF"/>
        </w:rPr>
        <w:t xml:space="preserve">a </w:t>
      </w:r>
      <w:r w:rsidR="006D0D47" w:rsidRPr="003E7EE5">
        <w:rPr>
          <w:color w:val="242424"/>
          <w:shd w:val="clear" w:color="auto" w:fill="FFFFFF"/>
        </w:rPr>
        <w:t>GMS</w:t>
      </w:r>
      <w:r w:rsidR="002A4A52" w:rsidRPr="003E7EE5">
        <w:rPr>
          <w:color w:val="242424"/>
          <w:shd w:val="clear" w:color="auto" w:fill="FFFFFF"/>
        </w:rPr>
        <w:t xml:space="preserve"> should be paired with significant green investments to pay off in the long run. </w:t>
      </w:r>
    </w:p>
    <w:p w14:paraId="59B9E1C9" w14:textId="50DB4150" w:rsidR="00D33967" w:rsidRPr="003E7EE5" w:rsidRDefault="007F4253" w:rsidP="002A4A52">
      <w:pPr>
        <w:widowControl w:val="0"/>
        <w:autoSpaceDE w:val="0"/>
        <w:autoSpaceDN w:val="0"/>
        <w:adjustRightInd w:val="0"/>
        <w:spacing w:line="480" w:lineRule="auto"/>
        <w:ind w:firstLine="720"/>
        <w:rPr>
          <w:color w:val="101010"/>
        </w:rPr>
      </w:pPr>
      <w:r w:rsidRPr="003E7EE5">
        <w:rPr>
          <w:color w:val="101010"/>
        </w:rPr>
        <w:t xml:space="preserve">Finally, we tested the company profile (e.g., size, industry) of the four groups </w:t>
      </w:r>
      <w:r w:rsidR="00C339D2">
        <w:rPr>
          <w:color w:val="101010"/>
        </w:rPr>
        <w:t xml:space="preserve">using </w:t>
      </w:r>
      <w:r w:rsidRPr="003E7EE5">
        <w:rPr>
          <w:color w:val="101010"/>
        </w:rPr>
        <w:t>both conceptual and empirical membership</w:t>
      </w:r>
      <w:r w:rsidR="00C339D2">
        <w:rPr>
          <w:color w:val="101010"/>
        </w:rPr>
        <w:t>s</w:t>
      </w:r>
      <w:r w:rsidRPr="003E7EE5">
        <w:rPr>
          <w:color w:val="101010"/>
        </w:rPr>
        <w:t xml:space="preserve">. In almost all analyses, we found no significant </w:t>
      </w:r>
      <w:r w:rsidRPr="003E7EE5">
        <w:rPr>
          <w:color w:val="101010"/>
        </w:rPr>
        <w:lastRenderedPageBreak/>
        <w:t xml:space="preserve">differences between </w:t>
      </w:r>
      <w:r w:rsidRPr="003E7EE5">
        <w:rPr>
          <w:color w:val="000000" w:themeColor="text1"/>
        </w:rPr>
        <w:t xml:space="preserve">the characteristics of each group, suggesting that “green” behavior is not only for large companies or companies operating in a particular sector (see Appendix </w:t>
      </w:r>
      <w:r w:rsidR="00EB61AB" w:rsidRPr="003E7EE5">
        <w:rPr>
          <w:color w:val="000000" w:themeColor="text1"/>
        </w:rPr>
        <w:t>A</w:t>
      </w:r>
      <w:r w:rsidR="00D93B42" w:rsidRPr="003E7EE5">
        <w:rPr>
          <w:color w:val="000000" w:themeColor="text1"/>
        </w:rPr>
        <w:t>8</w:t>
      </w:r>
      <w:r w:rsidRPr="003E7EE5">
        <w:rPr>
          <w:color w:val="000000" w:themeColor="text1"/>
        </w:rPr>
        <w:t xml:space="preserve">). </w:t>
      </w:r>
      <w:r w:rsidR="00C339D2">
        <w:rPr>
          <w:color w:val="000000" w:themeColor="text1"/>
        </w:rPr>
        <w:t>We found s</w:t>
      </w:r>
      <w:r w:rsidRPr="003E7EE5">
        <w:rPr>
          <w:color w:val="101010"/>
        </w:rPr>
        <w:t>ignificant differences only between domestic and multinational companies, given that “</w:t>
      </w:r>
      <w:r w:rsidR="00C339D2">
        <w:rPr>
          <w:color w:val="101010"/>
        </w:rPr>
        <w:t>g</w:t>
      </w:r>
      <w:r w:rsidRPr="003E7EE5">
        <w:rPr>
          <w:color w:val="101010"/>
        </w:rPr>
        <w:t xml:space="preserve">reen </w:t>
      </w:r>
      <w:proofErr w:type="spellStart"/>
      <w:r w:rsidRPr="003E7EE5">
        <w:rPr>
          <w:color w:val="101010"/>
        </w:rPr>
        <w:t>disinvestors</w:t>
      </w:r>
      <w:proofErr w:type="spellEnd"/>
      <w:r w:rsidRPr="003E7EE5">
        <w:rPr>
          <w:color w:val="101010"/>
        </w:rPr>
        <w:t xml:space="preserve">” </w:t>
      </w:r>
      <w:r w:rsidR="00C339D2">
        <w:rPr>
          <w:color w:val="101010"/>
        </w:rPr>
        <w:t xml:space="preserve">and </w:t>
      </w:r>
      <w:r w:rsidR="00C339D2" w:rsidRPr="003E7EE5">
        <w:rPr>
          <w:color w:val="101010"/>
        </w:rPr>
        <w:t>“</w:t>
      </w:r>
      <w:r w:rsidR="00C339D2">
        <w:rPr>
          <w:color w:val="101010"/>
        </w:rPr>
        <w:t>g</w:t>
      </w:r>
      <w:r w:rsidR="00C339D2" w:rsidRPr="003E7EE5">
        <w:rPr>
          <w:color w:val="101010"/>
        </w:rPr>
        <w:t xml:space="preserve">reen non-believers” </w:t>
      </w:r>
      <w:r w:rsidRPr="003E7EE5">
        <w:rPr>
          <w:color w:val="101010"/>
        </w:rPr>
        <w:t xml:space="preserve">seem to </w:t>
      </w:r>
      <w:r w:rsidR="00C339D2">
        <w:rPr>
          <w:color w:val="101010"/>
        </w:rPr>
        <w:t>be</w:t>
      </w:r>
      <w:r w:rsidRPr="003E7EE5">
        <w:rPr>
          <w:color w:val="101010"/>
        </w:rPr>
        <w:t xml:space="preserve"> mostly domestic companies.</w:t>
      </w:r>
    </w:p>
    <w:p w14:paraId="6959BE3F" w14:textId="06656E70" w:rsidR="008C1931" w:rsidRPr="003E7EE5" w:rsidRDefault="00297E46" w:rsidP="005E1791">
      <w:pPr>
        <w:widowControl w:val="0"/>
        <w:autoSpaceDE w:val="0"/>
        <w:autoSpaceDN w:val="0"/>
        <w:adjustRightInd w:val="0"/>
        <w:spacing w:line="480" w:lineRule="auto"/>
        <w:jc w:val="center"/>
        <w:rPr>
          <w:i/>
          <w:iCs/>
          <w:color w:val="101010"/>
        </w:rPr>
      </w:pPr>
      <w:r w:rsidRPr="003E7EE5">
        <w:rPr>
          <w:i/>
          <w:iCs/>
          <w:color w:val="101010"/>
        </w:rPr>
        <w:t>Table 6 here</w:t>
      </w:r>
    </w:p>
    <w:p w14:paraId="075F5753" w14:textId="7C4A6007" w:rsidR="00B63F18" w:rsidRPr="003E7EE5" w:rsidRDefault="00B63F18" w:rsidP="00B63F18">
      <w:pPr>
        <w:spacing w:line="480" w:lineRule="auto"/>
        <w:rPr>
          <w:i/>
          <w:iCs/>
        </w:rPr>
      </w:pPr>
      <w:r w:rsidRPr="003E7EE5">
        <w:rPr>
          <w:i/>
          <w:iCs/>
        </w:rPr>
        <w:t xml:space="preserve">Long-term effects of GMS on objective performance across </w:t>
      </w:r>
      <w:r w:rsidR="00233B97">
        <w:rPr>
          <w:i/>
          <w:iCs/>
        </w:rPr>
        <w:t xml:space="preserve">the </w:t>
      </w:r>
      <w:r w:rsidRPr="003E7EE5">
        <w:rPr>
          <w:i/>
          <w:iCs/>
        </w:rPr>
        <w:t>“green</w:t>
      </w:r>
      <w:r w:rsidR="00954146">
        <w:rPr>
          <w:i/>
          <w:iCs/>
        </w:rPr>
        <w:t>”</w:t>
      </w:r>
      <w:r w:rsidRPr="003E7EE5">
        <w:rPr>
          <w:i/>
          <w:iCs/>
        </w:rPr>
        <w:t xml:space="preserve"> strategy types</w:t>
      </w:r>
    </w:p>
    <w:p w14:paraId="6FA5B243" w14:textId="68452227" w:rsidR="00B63F18" w:rsidRPr="003E7EE5" w:rsidRDefault="00B63F18" w:rsidP="00B63F18">
      <w:pPr>
        <w:spacing w:line="480" w:lineRule="auto"/>
      </w:pPr>
      <w:r w:rsidRPr="003E7EE5">
        <w:t xml:space="preserve">The previous analyses identified positive effects of </w:t>
      </w:r>
      <w:r w:rsidR="00CB5B79" w:rsidRPr="003E7EE5">
        <w:t>GMS</w:t>
      </w:r>
      <w:r w:rsidRPr="003E7EE5">
        <w:t xml:space="preserve"> on </w:t>
      </w:r>
      <w:r w:rsidR="001046F7" w:rsidRPr="003E7EE5">
        <w:t>OR</w:t>
      </w:r>
      <w:r w:rsidRPr="003E7EE5">
        <w:t xml:space="preserve"> </w:t>
      </w:r>
      <w:r w:rsidR="001046F7" w:rsidRPr="003E7EE5">
        <w:t xml:space="preserve">and FR </w:t>
      </w:r>
      <w:r w:rsidRPr="003E7EE5">
        <w:rPr>
          <w:i/>
          <w:iCs/>
        </w:rPr>
        <w:t>during</w:t>
      </w:r>
      <w:r w:rsidRPr="003E7EE5">
        <w:t xml:space="preserve"> </w:t>
      </w:r>
      <w:r w:rsidR="00233B97">
        <w:t xml:space="preserve">a </w:t>
      </w:r>
      <w:r w:rsidRPr="003E7EE5">
        <w:t xml:space="preserve">crisis and validated a typology </w:t>
      </w:r>
      <w:r w:rsidR="00233B97">
        <w:t>that</w:t>
      </w:r>
      <w:r w:rsidRPr="003E7EE5">
        <w:t xml:space="preserve"> explains variance in resilience, as subjectively perceived by the survey informants. However, these </w:t>
      </w:r>
      <w:r w:rsidR="00233B97">
        <w:t>findings</w:t>
      </w:r>
      <w:r w:rsidRPr="003E7EE5">
        <w:t xml:space="preserve"> cannot offer conclusions about the impact of </w:t>
      </w:r>
      <w:r w:rsidR="00CB5B79" w:rsidRPr="003E7EE5">
        <w:t>GMS</w:t>
      </w:r>
      <w:r w:rsidRPr="003E7EE5">
        <w:t xml:space="preserve"> on </w:t>
      </w:r>
      <w:r w:rsidRPr="003E7EE5">
        <w:rPr>
          <w:i/>
          <w:iCs/>
        </w:rPr>
        <w:t>objective</w:t>
      </w:r>
      <w:r w:rsidRPr="003E7EE5">
        <w:t xml:space="preserve">, </w:t>
      </w:r>
      <w:r w:rsidRPr="003E7EE5">
        <w:rPr>
          <w:i/>
          <w:iCs/>
        </w:rPr>
        <w:t>post-crisis</w:t>
      </w:r>
      <w:r w:rsidRPr="003E7EE5">
        <w:t xml:space="preserve">, </w:t>
      </w:r>
      <w:r w:rsidRPr="003E7EE5">
        <w:rPr>
          <w:i/>
          <w:iCs/>
        </w:rPr>
        <w:t>long-term</w:t>
      </w:r>
      <w:r w:rsidRPr="003E7EE5">
        <w:t xml:space="preserve"> performance (i.e., whether pursuing or </w:t>
      </w:r>
      <w:r w:rsidR="00233B97">
        <w:t xml:space="preserve">further </w:t>
      </w:r>
      <w:r w:rsidRPr="003E7EE5">
        <w:t xml:space="preserve">investing in </w:t>
      </w:r>
      <w:r w:rsidR="001F5270" w:rsidRPr="003E7EE5">
        <w:t>GMS</w:t>
      </w:r>
      <w:r w:rsidRPr="003E7EE5">
        <w:t xml:space="preserve"> during times </w:t>
      </w:r>
      <w:r w:rsidR="00233B97">
        <w:t xml:space="preserve">of </w:t>
      </w:r>
      <w:r w:rsidR="00233B97" w:rsidRPr="003E7EE5">
        <w:t>cris</w:t>
      </w:r>
      <w:r w:rsidR="00233B97">
        <w:t>e</w:t>
      </w:r>
      <w:r w:rsidR="00233B97" w:rsidRPr="003E7EE5">
        <w:t xml:space="preserve">s </w:t>
      </w:r>
      <w:r w:rsidRPr="003E7EE5">
        <w:t>help</w:t>
      </w:r>
      <w:r w:rsidR="00646469" w:rsidRPr="003E7EE5">
        <w:t>s</w:t>
      </w:r>
      <w:r w:rsidRPr="003E7EE5">
        <w:t xml:space="preserve"> companies perform objectively better after the crisis has passed). To address this issue, we collected objective performance data </w:t>
      </w:r>
      <w:r w:rsidR="00233B97">
        <w:t>from</w:t>
      </w:r>
      <w:r w:rsidRPr="003E7EE5">
        <w:t xml:space="preserve"> a subset of companies in our dataset (110 of 245)</w:t>
      </w:r>
      <w:r w:rsidR="00233B97">
        <w:t>.</w:t>
      </w:r>
      <w:r w:rsidRPr="003E7EE5">
        <w:rPr>
          <w:rStyle w:val="FootnoteReference"/>
        </w:rPr>
        <w:footnoteReference w:id="1"/>
      </w:r>
      <w:r w:rsidRPr="003E7EE5">
        <w:t xml:space="preserve"> Specifically, we collected data on two metrics</w:t>
      </w:r>
      <w:r w:rsidR="00233B97">
        <w:t xml:space="preserve"> that are </w:t>
      </w:r>
      <w:r w:rsidRPr="003E7EE5">
        <w:t xml:space="preserve">important performance indicators in strategy research (Katsikeas </w:t>
      </w:r>
      <w:r w:rsidR="007E71B6" w:rsidRPr="003E7EE5">
        <w:rPr>
          <w:i/>
        </w:rPr>
        <w:t>et al.</w:t>
      </w:r>
      <w:r w:rsidR="00F21054" w:rsidRPr="003E7EE5">
        <w:t>,</w:t>
      </w:r>
      <w:r w:rsidRPr="003E7EE5">
        <w:t xml:space="preserve"> 2016)</w:t>
      </w:r>
      <w:r w:rsidR="00233B97">
        <w:t xml:space="preserve">: </w:t>
      </w:r>
      <w:r w:rsidR="00233B97" w:rsidRPr="003E7EE5">
        <w:t>ROE and EBIDTA</w:t>
      </w:r>
      <w:r w:rsidRPr="003E7EE5">
        <w:t>. For each company, we r</w:t>
      </w:r>
      <w:r w:rsidR="00EC550C" w:rsidRPr="003E7EE5">
        <w:t>ecorded these metrics (</w:t>
      </w:r>
      <w:r w:rsidR="00233B97">
        <w:t>1</w:t>
      </w:r>
      <w:r w:rsidR="00EC550C" w:rsidRPr="003E7EE5">
        <w:t xml:space="preserve">) four </w:t>
      </w:r>
      <w:r w:rsidRPr="003E7EE5">
        <w:t>years after the survey data collection (i.e., 2019) – to be used as dependent variable</w:t>
      </w:r>
      <w:r w:rsidR="0007516C" w:rsidRPr="003E7EE5">
        <w:t>s</w:t>
      </w:r>
      <w:r w:rsidRPr="003E7EE5">
        <w:t xml:space="preserve"> – and (</w:t>
      </w:r>
      <w:r w:rsidR="00233B97">
        <w:t>2</w:t>
      </w:r>
      <w:r w:rsidRPr="003E7EE5">
        <w:t>) three years before the survey (i.e., 2012) – to be used as</w:t>
      </w:r>
      <w:r w:rsidR="00617A5D" w:rsidRPr="003E7EE5">
        <w:t xml:space="preserve"> </w:t>
      </w:r>
      <w:r w:rsidRPr="003E7EE5">
        <w:t>control</w:t>
      </w:r>
      <w:r w:rsidR="0007516C" w:rsidRPr="003E7EE5">
        <w:t>s</w:t>
      </w:r>
      <w:r w:rsidRPr="003E7EE5">
        <w:t xml:space="preserve"> for pre-crisis performance. Importantly, this analysis not only allows us to test </w:t>
      </w:r>
      <w:r w:rsidR="00233B97">
        <w:t xml:space="preserve">the </w:t>
      </w:r>
      <w:r w:rsidRPr="003E7EE5">
        <w:t xml:space="preserve">long-term effects of </w:t>
      </w:r>
      <w:r w:rsidR="00CB5B79" w:rsidRPr="003E7EE5">
        <w:t>GMS</w:t>
      </w:r>
      <w:r w:rsidRPr="003E7EE5">
        <w:t xml:space="preserve"> but also resolves issues related to endogeneity, common method bias, subjective measurement of performance</w:t>
      </w:r>
      <w:r w:rsidR="00233B97">
        <w:t>,</w:t>
      </w:r>
      <w:r w:rsidRPr="003E7EE5">
        <w:t xml:space="preserve"> and single</w:t>
      </w:r>
      <w:r w:rsidR="00233B97">
        <w:t>-</w:t>
      </w:r>
      <w:r w:rsidRPr="003E7EE5">
        <w:t>informant bias associated with cross-sectional survey research.</w:t>
      </w:r>
    </w:p>
    <w:p w14:paraId="42B4AD80" w14:textId="0DA7E514" w:rsidR="00B63F18" w:rsidRPr="003E7EE5" w:rsidRDefault="00233B97" w:rsidP="005E1791">
      <w:pPr>
        <w:spacing w:line="480" w:lineRule="auto"/>
        <w:ind w:firstLine="567"/>
      </w:pPr>
      <w:r>
        <w:t>To</w:t>
      </w:r>
      <w:r w:rsidR="00B63F18" w:rsidRPr="003E7EE5">
        <w:t xml:space="preserve"> this end, we estimated our original model by substituting subjective resilience measures with (standardized) ROE and EBIDTA values in financial year 2019 as the dependent variable and adding the respective 2012 figures as an additional control (the </w:t>
      </w:r>
      <w:r w:rsidR="00B63F18" w:rsidRPr="003E7EE5">
        <w:lastRenderedPageBreak/>
        <w:t xml:space="preserve">remaining model specification was the same as in the previous analysis). To test our typology, we estimated the model using multi-group </w:t>
      </w:r>
      <w:r w:rsidR="00646469" w:rsidRPr="003E7EE5">
        <w:t xml:space="preserve">moderation </w:t>
      </w:r>
      <w:r w:rsidR="00B63F18" w:rsidRPr="003E7EE5">
        <w:t xml:space="preserve">analysis with green </w:t>
      </w:r>
      <w:r w:rsidR="00BE1328">
        <w:t>strategy</w:t>
      </w:r>
      <w:r w:rsidR="00C72EE9">
        <w:t xml:space="preserve"> </w:t>
      </w:r>
      <w:r w:rsidR="00B63F18" w:rsidRPr="003E7EE5">
        <w:t>types as the grouping variable</w:t>
      </w:r>
      <w:r w:rsidR="00C72EE9">
        <w:t>.</w:t>
      </w:r>
      <w:r w:rsidR="00566B5D" w:rsidRPr="003E7EE5">
        <w:rPr>
          <w:rStyle w:val="FootnoteReference"/>
        </w:rPr>
        <w:footnoteReference w:id="2"/>
      </w:r>
      <w:r w:rsidR="00B63F18" w:rsidRPr="003E7EE5">
        <w:t xml:space="preserve"> Similar to the previous analysis, we formed three groups using the </w:t>
      </w:r>
      <w:r w:rsidR="00C72EE9">
        <w:t>seven</w:t>
      </w:r>
      <w:r w:rsidR="00B63F18" w:rsidRPr="003E7EE5">
        <w:t xml:space="preserve">-point </w:t>
      </w:r>
      <w:r w:rsidR="00794377" w:rsidRPr="003E7EE5">
        <w:t>GMR</w:t>
      </w:r>
      <w:r w:rsidR="00B63F18" w:rsidRPr="003E7EE5">
        <w:t xml:space="preserve"> scale</w:t>
      </w:r>
      <w:r w:rsidR="00C72EE9">
        <w:t>:</w:t>
      </w:r>
      <w:r w:rsidR="00B63F18" w:rsidRPr="003E7EE5">
        <w:t xml:space="preserve"> “investors</w:t>
      </w:r>
      <w:r w:rsidR="00C72EE9">
        <w:t>,</w:t>
      </w:r>
      <w:r w:rsidR="00B63F18" w:rsidRPr="003E7EE5">
        <w:t xml:space="preserve">” </w:t>
      </w:r>
      <w:r w:rsidR="00C72EE9">
        <w:t xml:space="preserve">or </w:t>
      </w:r>
      <w:r w:rsidR="00B63F18" w:rsidRPr="003E7EE5">
        <w:t xml:space="preserve">those </w:t>
      </w:r>
      <w:r w:rsidR="00C72EE9">
        <w:t>that</w:t>
      </w:r>
      <w:r w:rsidR="00B63F18" w:rsidRPr="003E7EE5">
        <w:t xml:space="preserve"> increased investments in </w:t>
      </w:r>
      <w:r w:rsidR="00794377" w:rsidRPr="003E7EE5">
        <w:t>GMS</w:t>
      </w:r>
      <w:r w:rsidR="00B63F18" w:rsidRPr="003E7EE5">
        <w:t xml:space="preserve"> during </w:t>
      </w:r>
      <w:r w:rsidR="00C72EE9">
        <w:t xml:space="preserve">the </w:t>
      </w:r>
      <w:r w:rsidR="00B63F18" w:rsidRPr="003E7EE5">
        <w:t>crisis (scale response: 5</w:t>
      </w:r>
      <w:r w:rsidR="00C72EE9">
        <w:t>–</w:t>
      </w:r>
      <w:r w:rsidR="00B63F18" w:rsidRPr="003E7EE5">
        <w:t>7); “stable</w:t>
      </w:r>
      <w:r w:rsidR="00C72EE9">
        <w:t>s,</w:t>
      </w:r>
      <w:r w:rsidR="00B63F18" w:rsidRPr="003E7EE5">
        <w:t xml:space="preserve">” </w:t>
      </w:r>
      <w:r w:rsidR="00C72EE9">
        <w:t>or</w:t>
      </w:r>
      <w:r w:rsidR="00B63F18" w:rsidRPr="003E7EE5">
        <w:t xml:space="preserve"> those </w:t>
      </w:r>
      <w:r w:rsidR="00C72EE9">
        <w:t>that</w:t>
      </w:r>
      <w:r w:rsidR="00B63F18" w:rsidRPr="003E7EE5">
        <w:t xml:space="preserve"> </w:t>
      </w:r>
      <w:r w:rsidR="00C72EE9">
        <w:t>kept</w:t>
      </w:r>
      <w:r w:rsidR="00B63F18" w:rsidRPr="003E7EE5">
        <w:t xml:space="preserve"> their green marketing investments stable during </w:t>
      </w:r>
      <w:r w:rsidR="00C72EE9">
        <w:t xml:space="preserve">the </w:t>
      </w:r>
      <w:r w:rsidR="00B63F18" w:rsidRPr="003E7EE5">
        <w:t>crisis (scale response: 4); and “</w:t>
      </w:r>
      <w:proofErr w:type="spellStart"/>
      <w:r w:rsidR="00B63F18" w:rsidRPr="003E7EE5">
        <w:t>disinvestors</w:t>
      </w:r>
      <w:proofErr w:type="spellEnd"/>
      <w:r w:rsidR="00C72EE9">
        <w:t>,</w:t>
      </w:r>
      <w:r w:rsidR="00B63F18" w:rsidRPr="003E7EE5">
        <w:t xml:space="preserve">” </w:t>
      </w:r>
      <w:r w:rsidR="00C72EE9">
        <w:t>or</w:t>
      </w:r>
      <w:r w:rsidR="00B63F18" w:rsidRPr="003E7EE5">
        <w:t xml:space="preserve"> those </w:t>
      </w:r>
      <w:r w:rsidR="00C72EE9">
        <w:t>that</w:t>
      </w:r>
      <w:r w:rsidR="00B63F18" w:rsidRPr="003E7EE5">
        <w:t xml:space="preserve"> decreased green marketing investments during </w:t>
      </w:r>
      <w:r w:rsidR="00C72EE9">
        <w:t xml:space="preserve">the </w:t>
      </w:r>
      <w:r w:rsidR="00B63F18" w:rsidRPr="003E7EE5">
        <w:t>crisis (scale response: 1</w:t>
      </w:r>
      <w:r w:rsidR="00C72EE9">
        <w:t>–</w:t>
      </w:r>
      <w:r w:rsidR="00B63F18" w:rsidRPr="003E7EE5">
        <w:t>3</w:t>
      </w:r>
      <w:r w:rsidR="00561B4C" w:rsidRPr="003E7EE5">
        <w:t>)</w:t>
      </w:r>
      <w:r w:rsidR="00B63F18" w:rsidRPr="003E7EE5">
        <w:t>. Specifically, we estimated an unconstrained model (</w:t>
      </w:r>
      <w:r w:rsidR="00C72EE9">
        <w:t>in which</w:t>
      </w:r>
      <w:r w:rsidR="00B63F18" w:rsidRPr="003E7EE5">
        <w:t xml:space="preserve"> all model paths were freely estimated for all three groups) and a constrained model (</w:t>
      </w:r>
      <w:r w:rsidR="00C72EE9">
        <w:t>in which</w:t>
      </w:r>
      <w:r w:rsidR="00C72EE9" w:rsidRPr="003E7EE5">
        <w:t xml:space="preserve"> </w:t>
      </w:r>
      <w:r w:rsidR="00B63F18" w:rsidRPr="003E7EE5">
        <w:t xml:space="preserve">only the path from GMS to the respective performance metric was set equal for all three groups) and conducted formal </w:t>
      </w:r>
      <w:r w:rsidR="00C72EE9">
        <w:t>chi-square</w:t>
      </w:r>
      <w:r w:rsidR="00B63F18" w:rsidRPr="003E7EE5">
        <w:rPr>
          <w:vertAlign w:val="superscript"/>
        </w:rPr>
        <w:t xml:space="preserve"> </w:t>
      </w:r>
      <w:r w:rsidR="00B63F18" w:rsidRPr="003E7EE5">
        <w:t>comparisons between the models. If the model fit difference between the two models is</w:t>
      </w:r>
      <w:r w:rsidR="00667DF0" w:rsidRPr="003E7EE5">
        <w:t xml:space="preserve"> </w:t>
      </w:r>
      <w:r w:rsidR="00B63F18" w:rsidRPr="003E7EE5">
        <w:t xml:space="preserve">statistically significant, </w:t>
      </w:r>
      <w:r w:rsidR="00C72EE9">
        <w:t>we</w:t>
      </w:r>
      <w:r w:rsidR="00B63F18" w:rsidRPr="003E7EE5">
        <w:t xml:space="preserve"> can conclude that the effect of GMS on long-term objective performance varies significantly across different company types.</w:t>
      </w:r>
    </w:p>
    <w:p w14:paraId="3B4F3CC5" w14:textId="7F02A6F9" w:rsidR="001073B7" w:rsidRPr="003E7EE5" w:rsidRDefault="00B63F18" w:rsidP="005E1791">
      <w:pPr>
        <w:spacing w:line="480" w:lineRule="auto"/>
        <w:ind w:firstLine="567"/>
      </w:pPr>
      <w:r w:rsidRPr="003E7EE5">
        <w:t xml:space="preserve">The ROE multi-group estimation results </w:t>
      </w:r>
      <w:r w:rsidR="00C72EE9">
        <w:t>show</w:t>
      </w:r>
      <w:r w:rsidRPr="003E7EE5">
        <w:t xml:space="preserve"> that the unconstrained model fits the data marginally better than the constrained model (χ</w:t>
      </w:r>
      <w:r w:rsidRPr="003E7EE5">
        <w:rPr>
          <w:vertAlign w:val="superscript"/>
        </w:rPr>
        <w:t>2</w:t>
      </w:r>
      <w:r w:rsidRPr="003E7EE5">
        <w:rPr>
          <w:vertAlign w:val="subscript"/>
        </w:rPr>
        <w:t>unconstrained</w:t>
      </w:r>
      <w:r w:rsidRPr="003E7EE5">
        <w:t xml:space="preserve"> = 32.13, </w:t>
      </w:r>
      <w:r w:rsidRPr="005E1791">
        <w:rPr>
          <w:i/>
          <w:iCs/>
        </w:rPr>
        <w:t>df</w:t>
      </w:r>
      <w:r w:rsidRPr="003E7EE5">
        <w:t xml:space="preserve"> = 27</w:t>
      </w:r>
      <w:r w:rsidR="00C72EE9">
        <w:t>;</w:t>
      </w:r>
      <w:r w:rsidRPr="003E7EE5">
        <w:t xml:space="preserve"> χ</w:t>
      </w:r>
      <w:r w:rsidRPr="003E7EE5">
        <w:rPr>
          <w:vertAlign w:val="superscript"/>
        </w:rPr>
        <w:t>2</w:t>
      </w:r>
      <w:r w:rsidRPr="003E7EE5">
        <w:rPr>
          <w:vertAlign w:val="subscript"/>
        </w:rPr>
        <w:t>constrained</w:t>
      </w:r>
      <w:r w:rsidRPr="003E7EE5">
        <w:t xml:space="preserve"> = 37.51, </w:t>
      </w:r>
      <w:r w:rsidRPr="005E1791">
        <w:rPr>
          <w:i/>
          <w:iCs/>
        </w:rPr>
        <w:t>df</w:t>
      </w:r>
      <w:r w:rsidRPr="003E7EE5">
        <w:t xml:space="preserve"> = 29; Δ(χ</w:t>
      </w:r>
      <w:r w:rsidRPr="003E7EE5">
        <w:rPr>
          <w:vertAlign w:val="superscript"/>
        </w:rPr>
        <w:t>2</w:t>
      </w:r>
      <w:r w:rsidRPr="003E7EE5">
        <w:t xml:space="preserve">) = 5.38, Δ(df) = 2, </w:t>
      </w:r>
      <w:r w:rsidRPr="005E1791">
        <w:rPr>
          <w:i/>
          <w:iCs/>
        </w:rPr>
        <w:t>p</w:t>
      </w:r>
      <w:r w:rsidRPr="003E7EE5">
        <w:t xml:space="preserve"> = .068). </w:t>
      </w:r>
      <w:r w:rsidR="00C72EE9">
        <w:t xml:space="preserve">For </w:t>
      </w:r>
      <w:r w:rsidRPr="003E7EE5">
        <w:t>the GMS</w:t>
      </w:r>
      <w:r w:rsidR="00C72EE9">
        <w:t xml:space="preserve"> </w:t>
      </w:r>
      <w:r w:rsidRPr="003E7EE5">
        <w:t>→</w:t>
      </w:r>
      <w:r w:rsidR="00C72EE9">
        <w:t xml:space="preserve"> </w:t>
      </w:r>
      <w:r w:rsidRPr="003E7EE5">
        <w:t>ROE path estimates across groups, we find that while for “stable</w:t>
      </w:r>
      <w:r w:rsidR="00C72EE9">
        <w:t>s</w:t>
      </w:r>
      <w:r w:rsidRPr="003E7EE5">
        <w:t>” and “</w:t>
      </w:r>
      <w:proofErr w:type="spellStart"/>
      <w:r w:rsidRPr="003E7EE5">
        <w:t>disinvestors</w:t>
      </w:r>
      <w:proofErr w:type="spellEnd"/>
      <w:r w:rsidRPr="003E7EE5">
        <w:t>” the effect of GMS on post-crisis ROE is not significant (β</w:t>
      </w:r>
      <w:r w:rsidRPr="003E7EE5">
        <w:rPr>
          <w:vertAlign w:val="subscript"/>
        </w:rPr>
        <w:t>stable</w:t>
      </w:r>
      <w:r w:rsidR="00C72EE9">
        <w:rPr>
          <w:vertAlign w:val="subscript"/>
        </w:rPr>
        <w:t>s</w:t>
      </w:r>
      <w:r w:rsidRPr="003E7EE5">
        <w:t xml:space="preserve"> = </w:t>
      </w:r>
      <w:r w:rsidR="00C72EE9">
        <w:t>–</w:t>
      </w:r>
      <w:r w:rsidRPr="003E7EE5">
        <w:t xml:space="preserve">.082, </w:t>
      </w:r>
      <w:r w:rsidRPr="005E1791">
        <w:rPr>
          <w:i/>
          <w:iCs/>
        </w:rPr>
        <w:t>p</w:t>
      </w:r>
      <w:r w:rsidRPr="003E7EE5">
        <w:t xml:space="preserve"> = .490; β</w:t>
      </w:r>
      <w:proofErr w:type="spellStart"/>
      <w:r w:rsidRPr="003E7EE5">
        <w:rPr>
          <w:vertAlign w:val="subscript"/>
        </w:rPr>
        <w:t>disinvestors</w:t>
      </w:r>
      <w:proofErr w:type="spellEnd"/>
      <w:r w:rsidRPr="003E7EE5">
        <w:t xml:space="preserve"> = </w:t>
      </w:r>
      <w:r w:rsidR="00C72EE9">
        <w:t>–</w:t>
      </w:r>
      <w:r w:rsidRPr="003E7EE5">
        <w:t xml:space="preserve">.077, </w:t>
      </w:r>
      <w:r w:rsidRPr="005E1791">
        <w:rPr>
          <w:i/>
          <w:iCs/>
        </w:rPr>
        <w:t>p</w:t>
      </w:r>
      <w:r w:rsidRPr="003E7EE5">
        <w:t xml:space="preserve"> = .662), for “investors</w:t>
      </w:r>
      <w:r w:rsidR="00C72EE9">
        <w:t>,</w:t>
      </w:r>
      <w:r w:rsidRPr="003E7EE5">
        <w:t>” the effect is positive and significant (β</w:t>
      </w:r>
      <w:r w:rsidRPr="003E7EE5">
        <w:rPr>
          <w:vertAlign w:val="subscript"/>
        </w:rPr>
        <w:t>investors</w:t>
      </w:r>
      <w:r w:rsidRPr="003E7EE5">
        <w:t xml:space="preserve"> = .354, </w:t>
      </w:r>
      <w:r w:rsidRPr="005E1791">
        <w:rPr>
          <w:i/>
          <w:iCs/>
        </w:rPr>
        <w:t>p</w:t>
      </w:r>
      <w:r w:rsidRPr="003E7EE5">
        <w:t xml:space="preserve"> = .015). The same picture emerges </w:t>
      </w:r>
      <w:r w:rsidR="00C72EE9">
        <w:t>when</w:t>
      </w:r>
      <w:r w:rsidRPr="003E7EE5">
        <w:t xml:space="preserve"> using EBIDTA as the dependent variable. The unconstrained model fit is marginally better than the constrained model one (χ</w:t>
      </w:r>
      <w:r w:rsidRPr="003E7EE5">
        <w:rPr>
          <w:vertAlign w:val="superscript"/>
        </w:rPr>
        <w:t>2</w:t>
      </w:r>
      <w:r w:rsidRPr="003E7EE5">
        <w:rPr>
          <w:vertAlign w:val="subscript"/>
        </w:rPr>
        <w:t>unconstrained</w:t>
      </w:r>
      <w:r w:rsidRPr="003E7EE5">
        <w:t xml:space="preserve"> = 27.54, </w:t>
      </w:r>
      <w:r w:rsidRPr="005E1791">
        <w:rPr>
          <w:i/>
          <w:iCs/>
        </w:rPr>
        <w:t>df</w:t>
      </w:r>
      <w:r w:rsidRPr="003E7EE5">
        <w:t xml:space="preserve"> = 27</w:t>
      </w:r>
      <w:r w:rsidR="00C72EE9">
        <w:t>;</w:t>
      </w:r>
      <w:r w:rsidRPr="003E7EE5">
        <w:t xml:space="preserve"> χ</w:t>
      </w:r>
      <w:r w:rsidRPr="003E7EE5">
        <w:rPr>
          <w:vertAlign w:val="superscript"/>
        </w:rPr>
        <w:t>2</w:t>
      </w:r>
      <w:r w:rsidRPr="003E7EE5">
        <w:rPr>
          <w:vertAlign w:val="subscript"/>
        </w:rPr>
        <w:t>constrained</w:t>
      </w:r>
      <w:r w:rsidRPr="003E7EE5">
        <w:t xml:space="preserve"> = 32.28, </w:t>
      </w:r>
      <w:r w:rsidRPr="005E1791">
        <w:rPr>
          <w:i/>
          <w:iCs/>
        </w:rPr>
        <w:t>df</w:t>
      </w:r>
      <w:r w:rsidRPr="003E7EE5">
        <w:t xml:space="preserve"> = 29; Δ(χ</w:t>
      </w:r>
      <w:r w:rsidRPr="003E7EE5">
        <w:rPr>
          <w:vertAlign w:val="superscript"/>
        </w:rPr>
        <w:t>2</w:t>
      </w:r>
      <w:r w:rsidRPr="003E7EE5">
        <w:t xml:space="preserve">) = 4.74, Δ(df) = 2, </w:t>
      </w:r>
      <w:r w:rsidRPr="005E1791">
        <w:rPr>
          <w:i/>
          <w:iCs/>
        </w:rPr>
        <w:t>p</w:t>
      </w:r>
      <w:r w:rsidRPr="003E7EE5">
        <w:t xml:space="preserve"> = .093). </w:t>
      </w:r>
      <w:proofErr w:type="gramStart"/>
      <w:r w:rsidRPr="003E7EE5">
        <w:t>Similar to</w:t>
      </w:r>
      <w:proofErr w:type="gramEnd"/>
      <w:r w:rsidRPr="003E7EE5">
        <w:t xml:space="preserve"> the ROE model, the GMS</w:t>
      </w:r>
      <w:r w:rsidR="00C72EE9">
        <w:t xml:space="preserve"> </w:t>
      </w:r>
      <w:r w:rsidRPr="003E7EE5">
        <w:t>→</w:t>
      </w:r>
      <w:r w:rsidR="00C72EE9">
        <w:t xml:space="preserve"> </w:t>
      </w:r>
      <w:r w:rsidRPr="003E7EE5">
        <w:t>EBIDTA path is not significant for “stable</w:t>
      </w:r>
      <w:r w:rsidR="00C72EE9">
        <w:t>s</w:t>
      </w:r>
      <w:r w:rsidRPr="003E7EE5">
        <w:t xml:space="preserve">” </w:t>
      </w:r>
      <w:r w:rsidR="00C72EE9">
        <w:t>or</w:t>
      </w:r>
      <w:r w:rsidRPr="003E7EE5">
        <w:t xml:space="preserve"> “</w:t>
      </w:r>
      <w:proofErr w:type="spellStart"/>
      <w:r w:rsidRPr="003E7EE5">
        <w:t>disinvestors</w:t>
      </w:r>
      <w:proofErr w:type="spellEnd"/>
      <w:r w:rsidRPr="003E7EE5">
        <w:t>” (β</w:t>
      </w:r>
      <w:r w:rsidRPr="003E7EE5">
        <w:rPr>
          <w:vertAlign w:val="subscript"/>
        </w:rPr>
        <w:t>stable</w:t>
      </w:r>
      <w:r w:rsidR="00B74AEA">
        <w:rPr>
          <w:vertAlign w:val="subscript"/>
        </w:rPr>
        <w:t>s</w:t>
      </w:r>
      <w:r w:rsidRPr="003E7EE5">
        <w:t xml:space="preserve"> = </w:t>
      </w:r>
      <w:r w:rsidR="00C72EE9">
        <w:t>–</w:t>
      </w:r>
      <w:r w:rsidRPr="003E7EE5">
        <w:t xml:space="preserve">.030, </w:t>
      </w:r>
      <w:r w:rsidRPr="005E1791">
        <w:rPr>
          <w:i/>
          <w:iCs/>
        </w:rPr>
        <w:t>p</w:t>
      </w:r>
      <w:r w:rsidRPr="003E7EE5">
        <w:t xml:space="preserve"> = .505; β</w:t>
      </w:r>
      <w:proofErr w:type="spellStart"/>
      <w:r w:rsidRPr="003E7EE5">
        <w:rPr>
          <w:vertAlign w:val="subscript"/>
        </w:rPr>
        <w:t>disinvestors</w:t>
      </w:r>
      <w:proofErr w:type="spellEnd"/>
      <w:r w:rsidRPr="003E7EE5">
        <w:t xml:space="preserve"> = </w:t>
      </w:r>
      <w:r w:rsidR="00C72EE9">
        <w:t>–</w:t>
      </w:r>
      <w:r w:rsidRPr="003E7EE5">
        <w:t xml:space="preserve">.028, </w:t>
      </w:r>
      <w:r w:rsidRPr="005E1791">
        <w:rPr>
          <w:i/>
          <w:iCs/>
        </w:rPr>
        <w:t>p</w:t>
      </w:r>
      <w:r w:rsidRPr="003E7EE5">
        <w:t xml:space="preserve"> </w:t>
      </w:r>
      <w:r w:rsidRPr="003E7EE5">
        <w:lastRenderedPageBreak/>
        <w:t>= .634) but is positive and significant for “investors” (β</w:t>
      </w:r>
      <w:r w:rsidRPr="003E7EE5">
        <w:rPr>
          <w:vertAlign w:val="subscript"/>
        </w:rPr>
        <w:t>investors</w:t>
      </w:r>
      <w:r w:rsidRPr="003E7EE5">
        <w:t xml:space="preserve"> = .085, </w:t>
      </w:r>
      <w:r w:rsidRPr="005E1791">
        <w:rPr>
          <w:i/>
          <w:iCs/>
        </w:rPr>
        <w:t>p</w:t>
      </w:r>
      <w:r w:rsidRPr="003E7EE5">
        <w:t xml:space="preserve"> = .018). These results collectively imply that </w:t>
      </w:r>
      <w:r w:rsidR="00CB5B79" w:rsidRPr="003E7EE5">
        <w:t>GMS</w:t>
      </w:r>
      <w:r w:rsidR="00B74AEA">
        <w:t>s</w:t>
      </w:r>
      <w:r w:rsidRPr="003E7EE5">
        <w:t xml:space="preserve"> during </w:t>
      </w:r>
      <w:r w:rsidR="00B74AEA">
        <w:t xml:space="preserve">a </w:t>
      </w:r>
      <w:r w:rsidRPr="003E7EE5">
        <w:t xml:space="preserve">crisis </w:t>
      </w:r>
      <w:r w:rsidR="00B74AEA">
        <w:t>have</w:t>
      </w:r>
      <w:r w:rsidRPr="003E7EE5">
        <w:t xml:space="preserve"> a positive impact on post-crisis performance but only for companies that increased investments in green marketing activities.</w:t>
      </w:r>
    </w:p>
    <w:p w14:paraId="02015BCC" w14:textId="77777777" w:rsidR="008C1931" w:rsidRPr="003E7EE5" w:rsidRDefault="008C1931" w:rsidP="004A7959">
      <w:pPr>
        <w:spacing w:line="480" w:lineRule="auto"/>
      </w:pPr>
    </w:p>
    <w:p w14:paraId="28122332" w14:textId="72E10160" w:rsidR="004F5D58" w:rsidRPr="003E7EE5" w:rsidRDefault="00CA35D5" w:rsidP="005E1791">
      <w:pPr>
        <w:spacing w:line="480" w:lineRule="auto"/>
        <w:outlineLvl w:val="0"/>
        <w:rPr>
          <w:b/>
        </w:rPr>
      </w:pPr>
      <w:r w:rsidRPr="003E7EE5">
        <w:rPr>
          <w:b/>
        </w:rPr>
        <w:t>Discussion</w:t>
      </w:r>
    </w:p>
    <w:p w14:paraId="087F9DE9" w14:textId="1C02DCB6" w:rsidR="00FE30D3" w:rsidRDefault="001319FE" w:rsidP="00BB3C9C">
      <w:pPr>
        <w:pStyle w:val="NormalWeb"/>
        <w:tabs>
          <w:tab w:val="left" w:pos="284"/>
        </w:tabs>
        <w:spacing w:before="0" w:beforeAutospacing="0" w:after="0" w:afterAutospacing="0" w:line="480" w:lineRule="auto"/>
        <w:contextualSpacing/>
        <w:jc w:val="both"/>
      </w:pPr>
      <w:r w:rsidRPr="003E7EE5">
        <w:rPr>
          <w:color w:val="000000" w:themeColor="text1"/>
        </w:rPr>
        <w:t>Managers</w:t>
      </w:r>
      <w:r w:rsidR="00F846A1" w:rsidRPr="003E7EE5">
        <w:rPr>
          <w:color w:val="000000" w:themeColor="text1"/>
        </w:rPr>
        <w:t xml:space="preserve"> fac</w:t>
      </w:r>
      <w:r w:rsidR="00E448A1" w:rsidRPr="003E7EE5">
        <w:rPr>
          <w:color w:val="000000" w:themeColor="text1"/>
        </w:rPr>
        <w:t>ing</w:t>
      </w:r>
      <w:r w:rsidR="00F846A1" w:rsidRPr="003E7EE5">
        <w:rPr>
          <w:color w:val="000000" w:themeColor="text1"/>
        </w:rPr>
        <w:t xml:space="preserve"> </w:t>
      </w:r>
      <w:r w:rsidR="00DB476C" w:rsidRPr="003E7EE5">
        <w:rPr>
          <w:color w:val="000000" w:themeColor="text1"/>
        </w:rPr>
        <w:t xml:space="preserve">resource </w:t>
      </w:r>
      <w:r w:rsidR="00BF040A" w:rsidRPr="003E7EE5">
        <w:rPr>
          <w:color w:val="000000" w:themeColor="text1"/>
        </w:rPr>
        <w:t>shortag</w:t>
      </w:r>
      <w:r w:rsidR="00DB476C" w:rsidRPr="003E7EE5">
        <w:rPr>
          <w:color w:val="000000" w:themeColor="text1"/>
        </w:rPr>
        <w:t>es</w:t>
      </w:r>
      <w:r w:rsidR="00BF040A" w:rsidRPr="003E7EE5">
        <w:rPr>
          <w:color w:val="000000" w:themeColor="text1"/>
        </w:rPr>
        <w:t xml:space="preserve"> </w:t>
      </w:r>
      <w:r w:rsidR="001D08D0" w:rsidRPr="003E7EE5">
        <w:rPr>
          <w:color w:val="000000" w:themeColor="text1"/>
        </w:rPr>
        <w:t xml:space="preserve">during a recession tend </w:t>
      </w:r>
      <w:r w:rsidR="00F846A1" w:rsidRPr="003E7EE5">
        <w:rPr>
          <w:color w:val="000000" w:themeColor="text1"/>
        </w:rPr>
        <w:t xml:space="preserve">to cut </w:t>
      </w:r>
      <w:r w:rsidR="00F53475">
        <w:rPr>
          <w:color w:val="000000" w:themeColor="text1"/>
        </w:rPr>
        <w:t xml:space="preserve">their </w:t>
      </w:r>
      <w:r w:rsidR="001D08D0" w:rsidRPr="003E7EE5">
        <w:rPr>
          <w:color w:val="000000" w:themeColor="text1"/>
        </w:rPr>
        <w:t>marketing and sustainability budget</w:t>
      </w:r>
      <w:r w:rsidR="00DB476C" w:rsidRPr="003E7EE5">
        <w:rPr>
          <w:color w:val="000000" w:themeColor="text1"/>
        </w:rPr>
        <w:t>s</w:t>
      </w:r>
      <w:r w:rsidR="001D08D0" w:rsidRPr="003E7EE5">
        <w:rPr>
          <w:color w:val="000000" w:themeColor="text1"/>
        </w:rPr>
        <w:t xml:space="preserve"> </w:t>
      </w:r>
      <w:r w:rsidR="00DB476C" w:rsidRPr="003E7EE5">
        <w:rPr>
          <w:color w:val="000000" w:themeColor="text1"/>
        </w:rPr>
        <w:t>for cost-saving purposes</w:t>
      </w:r>
      <w:r w:rsidR="00F846A1" w:rsidRPr="003E7EE5">
        <w:rPr>
          <w:color w:val="000000" w:themeColor="text1"/>
        </w:rPr>
        <w:t xml:space="preserve"> (</w:t>
      </w:r>
      <w:r w:rsidR="001D08D0" w:rsidRPr="003E7EE5">
        <w:rPr>
          <w:color w:val="000000" w:themeColor="text1"/>
        </w:rPr>
        <w:t xml:space="preserve">Ioannou and </w:t>
      </w:r>
      <w:proofErr w:type="spellStart"/>
      <w:r w:rsidR="001D08D0" w:rsidRPr="003E7EE5">
        <w:rPr>
          <w:color w:val="000000" w:themeColor="text1"/>
        </w:rPr>
        <w:t>Serafeim</w:t>
      </w:r>
      <w:proofErr w:type="spellEnd"/>
      <w:r w:rsidR="001D08D0" w:rsidRPr="003E7EE5">
        <w:rPr>
          <w:color w:val="000000" w:themeColor="text1"/>
        </w:rPr>
        <w:t xml:space="preserve">, 2019; </w:t>
      </w:r>
      <w:proofErr w:type="spellStart"/>
      <w:r w:rsidR="001D08D0" w:rsidRPr="003E7EE5">
        <w:rPr>
          <w:color w:val="000000" w:themeColor="text1"/>
        </w:rPr>
        <w:t>Lamey</w:t>
      </w:r>
      <w:proofErr w:type="spellEnd"/>
      <w:r w:rsidR="001D08D0" w:rsidRPr="003E7EE5">
        <w:rPr>
          <w:color w:val="000000" w:themeColor="text1"/>
        </w:rPr>
        <w:t xml:space="preserve"> </w:t>
      </w:r>
      <w:r w:rsidR="001D08D0" w:rsidRPr="005E1791">
        <w:rPr>
          <w:i/>
          <w:iCs/>
          <w:color w:val="000000" w:themeColor="text1"/>
        </w:rPr>
        <w:t>et al.</w:t>
      </w:r>
      <w:r w:rsidR="001D08D0" w:rsidRPr="003E7EE5">
        <w:rPr>
          <w:color w:val="000000" w:themeColor="text1"/>
        </w:rPr>
        <w:t>, 2007</w:t>
      </w:r>
      <w:r w:rsidR="00F846A1" w:rsidRPr="003E7EE5">
        <w:rPr>
          <w:color w:val="000000" w:themeColor="text1"/>
        </w:rPr>
        <w:t xml:space="preserve">). </w:t>
      </w:r>
      <w:r w:rsidR="00BB3C9C">
        <w:rPr>
          <w:color w:val="000000" w:themeColor="text1"/>
        </w:rPr>
        <w:t>Recent studies that</w:t>
      </w:r>
      <w:r w:rsidR="00BF040A" w:rsidRPr="003E7EE5">
        <w:rPr>
          <w:color w:val="000000" w:themeColor="text1"/>
        </w:rPr>
        <w:t xml:space="preserve"> </w:t>
      </w:r>
      <w:r w:rsidR="00F53475">
        <w:rPr>
          <w:color w:val="000000" w:themeColor="text1"/>
        </w:rPr>
        <w:t xml:space="preserve">have </w:t>
      </w:r>
      <w:r w:rsidR="00BF040A" w:rsidRPr="003E7EE5">
        <w:rPr>
          <w:color w:val="000000" w:themeColor="text1"/>
        </w:rPr>
        <w:t>investigate</w:t>
      </w:r>
      <w:r w:rsidR="00F53475">
        <w:rPr>
          <w:color w:val="000000" w:themeColor="text1"/>
        </w:rPr>
        <w:t>d</w:t>
      </w:r>
      <w:r w:rsidR="00BF040A" w:rsidRPr="003E7EE5">
        <w:rPr>
          <w:color w:val="000000" w:themeColor="text1"/>
        </w:rPr>
        <w:t xml:space="preserve"> the relationship </w:t>
      </w:r>
      <w:r w:rsidR="00F53475">
        <w:rPr>
          <w:color w:val="000000" w:themeColor="text1"/>
        </w:rPr>
        <w:t>among</w:t>
      </w:r>
      <w:r w:rsidR="00BF040A" w:rsidRPr="003E7EE5">
        <w:rPr>
          <w:color w:val="000000" w:themeColor="text1"/>
        </w:rPr>
        <w:t xml:space="preserve"> CSR, marketing spending</w:t>
      </w:r>
      <w:r w:rsidR="00F53475">
        <w:rPr>
          <w:color w:val="000000" w:themeColor="text1"/>
        </w:rPr>
        <w:t>,</w:t>
      </w:r>
      <w:r w:rsidR="00BF040A" w:rsidRPr="003E7EE5">
        <w:rPr>
          <w:color w:val="000000" w:themeColor="text1"/>
        </w:rPr>
        <w:t xml:space="preserve"> and firm performance during a financial shock</w:t>
      </w:r>
      <w:r w:rsidR="008D0744" w:rsidRPr="003E7EE5">
        <w:rPr>
          <w:color w:val="000000" w:themeColor="text1"/>
        </w:rPr>
        <w:t xml:space="preserve"> (</w:t>
      </w:r>
      <w:r w:rsidR="00E448A1" w:rsidRPr="003E7EE5">
        <w:rPr>
          <w:color w:val="000000" w:themeColor="text1"/>
        </w:rPr>
        <w:t xml:space="preserve">Bhattacharya </w:t>
      </w:r>
      <w:r w:rsidR="00E448A1" w:rsidRPr="003E7EE5">
        <w:rPr>
          <w:i/>
          <w:iCs/>
          <w:color w:val="000000" w:themeColor="text1"/>
        </w:rPr>
        <w:t>et al.</w:t>
      </w:r>
      <w:r w:rsidR="00E448A1" w:rsidRPr="003E7EE5">
        <w:rPr>
          <w:color w:val="000000" w:themeColor="text1"/>
        </w:rPr>
        <w:t xml:space="preserve">, 2020; Rollins </w:t>
      </w:r>
      <w:r w:rsidR="00E448A1" w:rsidRPr="003E7EE5">
        <w:rPr>
          <w:i/>
          <w:iCs/>
          <w:color w:val="000000" w:themeColor="text1"/>
        </w:rPr>
        <w:t>et al.</w:t>
      </w:r>
      <w:r w:rsidR="00E448A1" w:rsidRPr="003E7EE5">
        <w:rPr>
          <w:color w:val="000000" w:themeColor="text1"/>
        </w:rPr>
        <w:t>, 2014</w:t>
      </w:r>
      <w:r w:rsidR="008D0744" w:rsidRPr="003E7EE5">
        <w:rPr>
          <w:color w:val="000000" w:themeColor="text1"/>
        </w:rPr>
        <w:t>)</w:t>
      </w:r>
      <w:r w:rsidR="00BB3C9C">
        <w:rPr>
          <w:color w:val="000000" w:themeColor="text1"/>
        </w:rPr>
        <w:t xml:space="preserve">. </w:t>
      </w:r>
      <w:r w:rsidR="00A52681">
        <w:rPr>
          <w:color w:val="000000" w:themeColor="text1"/>
        </w:rPr>
        <w:t xml:space="preserve">Our study extends the current knowledge in </w:t>
      </w:r>
      <w:r w:rsidR="00A52681" w:rsidRPr="001D621D">
        <w:rPr>
          <w:color w:val="000000" w:themeColor="text1"/>
        </w:rPr>
        <w:t>this field by</w:t>
      </w:r>
      <w:r w:rsidR="009B58C4" w:rsidRPr="001D621D">
        <w:rPr>
          <w:color w:val="000000" w:themeColor="text1"/>
        </w:rPr>
        <w:t xml:space="preserve"> </w:t>
      </w:r>
      <w:r w:rsidR="00F53475" w:rsidRPr="001D621D">
        <w:rPr>
          <w:color w:val="000000" w:themeColor="text1"/>
        </w:rPr>
        <w:t>assess</w:t>
      </w:r>
      <w:r w:rsidR="00A52681" w:rsidRPr="001D621D">
        <w:rPr>
          <w:color w:val="000000" w:themeColor="text1"/>
        </w:rPr>
        <w:t>ing</w:t>
      </w:r>
      <w:r w:rsidR="009B58C4" w:rsidRPr="001D621D">
        <w:rPr>
          <w:color w:val="000000" w:themeColor="text1"/>
        </w:rPr>
        <w:t xml:space="preserve"> the </w:t>
      </w:r>
      <w:r w:rsidR="00F53475" w:rsidRPr="001D621D">
        <w:rPr>
          <w:color w:val="000000" w:themeColor="text1"/>
        </w:rPr>
        <w:t xml:space="preserve">effect of the </w:t>
      </w:r>
      <w:r w:rsidR="009B58C4" w:rsidRPr="001D621D">
        <w:rPr>
          <w:color w:val="000000" w:themeColor="text1"/>
        </w:rPr>
        <w:t xml:space="preserve">interplay </w:t>
      </w:r>
      <w:r w:rsidR="00F53475" w:rsidRPr="001D621D">
        <w:rPr>
          <w:color w:val="000000" w:themeColor="text1"/>
        </w:rPr>
        <w:t>between</w:t>
      </w:r>
      <w:r w:rsidR="009B58C4" w:rsidRPr="001D621D">
        <w:rPr>
          <w:color w:val="000000" w:themeColor="text1"/>
        </w:rPr>
        <w:t xml:space="preserve"> </w:t>
      </w:r>
      <w:r w:rsidR="001F5270" w:rsidRPr="001D621D">
        <w:rPr>
          <w:color w:val="000000" w:themeColor="text1"/>
        </w:rPr>
        <w:t>GMS</w:t>
      </w:r>
      <w:r w:rsidR="0051301E" w:rsidRPr="001D621D">
        <w:rPr>
          <w:color w:val="000000" w:themeColor="text1"/>
        </w:rPr>
        <w:t xml:space="preserve"> </w:t>
      </w:r>
      <w:r w:rsidR="009B58C4" w:rsidRPr="001D621D">
        <w:rPr>
          <w:color w:val="000000" w:themeColor="text1"/>
        </w:rPr>
        <w:t xml:space="preserve">and </w:t>
      </w:r>
      <w:r w:rsidR="0051301E" w:rsidRPr="001D621D">
        <w:rPr>
          <w:color w:val="000000" w:themeColor="text1"/>
        </w:rPr>
        <w:t xml:space="preserve">the firm’s decision to invest </w:t>
      </w:r>
      <w:r w:rsidR="007550C7" w:rsidRPr="001D621D">
        <w:rPr>
          <w:color w:val="000000" w:themeColor="text1"/>
        </w:rPr>
        <w:t xml:space="preserve">in </w:t>
      </w:r>
      <w:r w:rsidR="008D0744" w:rsidRPr="001D621D">
        <w:rPr>
          <w:color w:val="000000" w:themeColor="text1"/>
        </w:rPr>
        <w:t xml:space="preserve">or divest </w:t>
      </w:r>
      <w:r w:rsidR="007550C7" w:rsidRPr="001D621D">
        <w:rPr>
          <w:color w:val="000000" w:themeColor="text1"/>
        </w:rPr>
        <w:t xml:space="preserve">from </w:t>
      </w:r>
      <w:r w:rsidR="00C11EB9" w:rsidRPr="001D621D">
        <w:rPr>
          <w:color w:val="000000" w:themeColor="text1"/>
        </w:rPr>
        <w:t>GMR</w:t>
      </w:r>
      <w:r w:rsidR="008D0744" w:rsidRPr="001D621D">
        <w:rPr>
          <w:color w:val="000000" w:themeColor="text1"/>
        </w:rPr>
        <w:t xml:space="preserve"> on </w:t>
      </w:r>
      <w:r w:rsidR="0051301E" w:rsidRPr="001D621D">
        <w:rPr>
          <w:color w:val="000000" w:themeColor="text1"/>
        </w:rPr>
        <w:t xml:space="preserve">resilience and post-crisis </w:t>
      </w:r>
      <w:r w:rsidR="009B58C4" w:rsidRPr="001D621D">
        <w:rPr>
          <w:color w:val="000000" w:themeColor="text1"/>
        </w:rPr>
        <w:t>performa</w:t>
      </w:r>
      <w:r w:rsidR="00B36A7C" w:rsidRPr="001D621D">
        <w:rPr>
          <w:color w:val="000000" w:themeColor="text1"/>
        </w:rPr>
        <w:t xml:space="preserve">nce </w:t>
      </w:r>
      <w:r w:rsidR="00432B3D" w:rsidRPr="001D621D">
        <w:rPr>
          <w:color w:val="000000" w:themeColor="text1"/>
        </w:rPr>
        <w:t>during a period of uncertainty.</w:t>
      </w:r>
      <w:r w:rsidR="00BB3C9C" w:rsidRPr="001D621D">
        <w:rPr>
          <w:color w:val="000000" w:themeColor="text1"/>
        </w:rPr>
        <w:t xml:space="preserve"> Collectively, </w:t>
      </w:r>
      <w:r w:rsidR="00A52681" w:rsidRPr="001D621D">
        <w:rPr>
          <w:color w:val="000000" w:themeColor="text1"/>
        </w:rPr>
        <w:t xml:space="preserve">the </w:t>
      </w:r>
      <w:r w:rsidR="00BB3C9C" w:rsidRPr="001D621D">
        <w:rPr>
          <w:color w:val="000000" w:themeColor="text1"/>
        </w:rPr>
        <w:t>contribution</w:t>
      </w:r>
      <w:r w:rsidR="00A52681" w:rsidRPr="001D621D">
        <w:rPr>
          <w:color w:val="000000" w:themeColor="text1"/>
        </w:rPr>
        <w:t xml:space="preserve"> of our study</w:t>
      </w:r>
      <w:r w:rsidR="00BB3C9C" w:rsidRPr="001D621D">
        <w:rPr>
          <w:color w:val="000000" w:themeColor="text1"/>
        </w:rPr>
        <w:t xml:space="preserve"> is four-fold: our findings reveal that </w:t>
      </w:r>
      <w:r w:rsidR="00A52681" w:rsidRPr="001D621D">
        <w:rPr>
          <w:color w:val="000000" w:themeColor="text1"/>
        </w:rPr>
        <w:t xml:space="preserve">a) </w:t>
      </w:r>
      <w:r w:rsidR="00BB3C9C" w:rsidRPr="001D621D">
        <w:t xml:space="preserve">GMS is a dynamic capability which helps firms build resilience during periods of crises; b) GMSs have two pre-requisites to yield positive crisis outcomes: commitment and resources; c) firms develop GMSs when they are intrinsically committed to be sustainable corporate citizens and extrinsically motivated to satisfy stakeholder sustainability pressures, and d) the positive effects of </w:t>
      </w:r>
      <w:r w:rsidR="00A52681" w:rsidRPr="001D621D">
        <w:t>GMSs</w:t>
      </w:r>
      <w:r w:rsidR="00BB3C9C" w:rsidRPr="001D621D">
        <w:t xml:space="preserve"> during times of crises are materialized only if the strategy is consistently financed with increased resources during crises periods.</w:t>
      </w:r>
      <w:r w:rsidR="00BB3C9C" w:rsidRPr="00E24DDB">
        <w:t xml:space="preserve"> </w:t>
      </w:r>
    </w:p>
    <w:p w14:paraId="5FE4B1D9" w14:textId="77777777" w:rsidR="00BB3C9C" w:rsidRPr="003E7EE5" w:rsidRDefault="00BB3C9C" w:rsidP="00BB3C9C">
      <w:pPr>
        <w:pStyle w:val="NormalWeb"/>
        <w:tabs>
          <w:tab w:val="left" w:pos="284"/>
        </w:tabs>
        <w:spacing w:before="0" w:beforeAutospacing="0" w:after="0" w:afterAutospacing="0" w:line="360" w:lineRule="auto"/>
        <w:contextualSpacing/>
        <w:jc w:val="both"/>
      </w:pPr>
    </w:p>
    <w:p w14:paraId="785215E7" w14:textId="6533C635" w:rsidR="008320B1" w:rsidRPr="003E7EE5" w:rsidRDefault="008320B1" w:rsidP="00FE30D3">
      <w:pPr>
        <w:spacing w:after="120" w:line="360" w:lineRule="auto"/>
        <w:outlineLvl w:val="0"/>
        <w:rPr>
          <w:color w:val="000000" w:themeColor="text1"/>
        </w:rPr>
      </w:pPr>
      <w:r w:rsidRPr="003E7EE5">
        <w:rPr>
          <w:i/>
          <w:iCs/>
        </w:rPr>
        <w:t xml:space="preserve">Theoretical </w:t>
      </w:r>
      <w:r w:rsidR="00B90360" w:rsidRPr="003E7EE5">
        <w:rPr>
          <w:i/>
          <w:iCs/>
        </w:rPr>
        <w:t>I</w:t>
      </w:r>
      <w:r w:rsidRPr="003E7EE5">
        <w:rPr>
          <w:i/>
          <w:iCs/>
        </w:rPr>
        <w:t>mplications</w:t>
      </w:r>
    </w:p>
    <w:p w14:paraId="1EDEC8BD" w14:textId="78B988F1" w:rsidR="00FF1AF8" w:rsidRPr="003E7EE5" w:rsidRDefault="00C865C4" w:rsidP="005E1791">
      <w:pPr>
        <w:spacing w:line="480" w:lineRule="auto"/>
        <w:outlineLvl w:val="0"/>
        <w:rPr>
          <w:color w:val="000000" w:themeColor="text1"/>
        </w:rPr>
      </w:pPr>
      <w:r w:rsidRPr="003E7EE5">
        <w:rPr>
          <w:color w:val="000000" w:themeColor="text1"/>
        </w:rPr>
        <w:t xml:space="preserve">First, </w:t>
      </w:r>
      <w:r w:rsidR="00F53475">
        <w:rPr>
          <w:color w:val="000000" w:themeColor="text1"/>
        </w:rPr>
        <w:t xml:space="preserve">this </w:t>
      </w:r>
      <w:r w:rsidR="00E737E1" w:rsidRPr="003E7EE5">
        <w:rPr>
          <w:color w:val="000000" w:themeColor="text1"/>
        </w:rPr>
        <w:t xml:space="preserve">study contributes to the field of environmental/green marketing by responding to recent calls for research </w:t>
      </w:r>
      <w:r w:rsidR="00F53475">
        <w:rPr>
          <w:color w:val="000000" w:themeColor="text1"/>
        </w:rPr>
        <w:t>on</w:t>
      </w:r>
      <w:r w:rsidR="00E737E1" w:rsidRPr="003E7EE5">
        <w:rPr>
          <w:color w:val="000000" w:themeColor="text1"/>
        </w:rPr>
        <w:t xml:space="preserve"> responsible marketing </w:t>
      </w:r>
      <w:r w:rsidRPr="003E7EE5">
        <w:rPr>
          <w:color w:val="000000" w:themeColor="text1"/>
        </w:rPr>
        <w:t>and</w:t>
      </w:r>
      <w:r w:rsidR="00E737E1" w:rsidRPr="003E7EE5">
        <w:rPr>
          <w:color w:val="000000" w:themeColor="text1"/>
        </w:rPr>
        <w:t xml:space="preserve"> resilience in a</w:t>
      </w:r>
      <w:r w:rsidRPr="003E7EE5">
        <w:rPr>
          <w:color w:val="000000" w:themeColor="text1"/>
        </w:rPr>
        <w:t>n</w:t>
      </w:r>
      <w:r w:rsidR="00E737E1" w:rsidRPr="003E7EE5">
        <w:rPr>
          <w:color w:val="000000" w:themeColor="text1"/>
        </w:rPr>
        <w:t xml:space="preserve"> era of</w:t>
      </w:r>
      <w:r w:rsidRPr="003E7EE5">
        <w:rPr>
          <w:color w:val="000000" w:themeColor="text1"/>
        </w:rPr>
        <w:t xml:space="preserve"> continuous</w:t>
      </w:r>
      <w:r w:rsidR="00E737E1" w:rsidRPr="003E7EE5">
        <w:rPr>
          <w:color w:val="000000" w:themeColor="text1"/>
        </w:rPr>
        <w:t xml:space="preserve"> uncertainty (e.g., </w:t>
      </w:r>
      <w:r w:rsidR="00C27C47">
        <w:rPr>
          <w:color w:val="000000" w:themeColor="text1"/>
        </w:rPr>
        <w:t>d</w:t>
      </w:r>
      <w:r w:rsidR="00F53475">
        <w:rPr>
          <w:color w:val="000000" w:themeColor="text1"/>
        </w:rPr>
        <w:t>e</w:t>
      </w:r>
      <w:r w:rsidR="00E737E1" w:rsidRPr="003E7EE5">
        <w:rPr>
          <w:color w:val="000000" w:themeColor="text1"/>
        </w:rPr>
        <w:t xml:space="preserve"> Ruyter </w:t>
      </w:r>
      <w:r w:rsidR="00E737E1" w:rsidRPr="003E7EE5">
        <w:rPr>
          <w:i/>
          <w:iCs/>
          <w:color w:val="000000" w:themeColor="text1"/>
        </w:rPr>
        <w:t>et al.</w:t>
      </w:r>
      <w:r w:rsidR="00E737E1" w:rsidRPr="003E7EE5">
        <w:rPr>
          <w:color w:val="000000" w:themeColor="text1"/>
        </w:rPr>
        <w:t xml:space="preserve">, </w:t>
      </w:r>
      <w:r w:rsidR="00057B57">
        <w:rPr>
          <w:color w:val="000000" w:themeColor="text1"/>
        </w:rPr>
        <w:t>2022</w:t>
      </w:r>
      <w:r w:rsidR="00E737E1" w:rsidRPr="003E7EE5">
        <w:rPr>
          <w:color w:val="000000" w:themeColor="text1"/>
        </w:rPr>
        <w:t>)</w:t>
      </w:r>
      <w:r w:rsidRPr="003E7EE5">
        <w:rPr>
          <w:color w:val="000000" w:themeColor="text1"/>
        </w:rPr>
        <w:t>.</w:t>
      </w:r>
      <w:r w:rsidR="00E737E1" w:rsidRPr="003E7EE5">
        <w:rPr>
          <w:color w:val="000000" w:themeColor="text1"/>
        </w:rPr>
        <w:t xml:space="preserve"> </w:t>
      </w:r>
      <w:r w:rsidRPr="003E7EE5">
        <w:rPr>
          <w:color w:val="000000" w:themeColor="text1"/>
        </w:rPr>
        <w:t>D</w:t>
      </w:r>
      <w:r w:rsidR="00516893" w:rsidRPr="003E7EE5">
        <w:rPr>
          <w:color w:val="000000" w:themeColor="text1"/>
        </w:rPr>
        <w:t xml:space="preserve">rawing on NRBV theory (Hart, 1995) </w:t>
      </w:r>
      <w:r w:rsidRPr="003E7EE5">
        <w:rPr>
          <w:color w:val="000000" w:themeColor="text1"/>
        </w:rPr>
        <w:t>and contingency theory</w:t>
      </w:r>
      <w:r w:rsidR="001D062C" w:rsidRPr="003E7EE5">
        <w:rPr>
          <w:color w:val="000000" w:themeColor="text1"/>
        </w:rPr>
        <w:t xml:space="preserve"> </w:t>
      </w:r>
      <w:r w:rsidR="00516893" w:rsidRPr="003E7EE5">
        <w:rPr>
          <w:iCs/>
          <w:color w:val="000000" w:themeColor="text1"/>
          <w:szCs w:val="22"/>
        </w:rPr>
        <w:t>(Lawrence and Lorsch, 1969)</w:t>
      </w:r>
      <w:r w:rsidR="00516893" w:rsidRPr="003E7EE5">
        <w:rPr>
          <w:color w:val="000000" w:themeColor="text1"/>
        </w:rPr>
        <w:t xml:space="preserve">, </w:t>
      </w:r>
      <w:r w:rsidR="00E737E1" w:rsidRPr="003E7EE5">
        <w:rPr>
          <w:color w:val="000000" w:themeColor="text1"/>
        </w:rPr>
        <w:t>our study adopts</w:t>
      </w:r>
      <w:r w:rsidR="00342CF8" w:rsidRPr="003E7EE5">
        <w:rPr>
          <w:color w:val="000000" w:themeColor="text1"/>
        </w:rPr>
        <w:t xml:space="preserve"> a novel perspective to </w:t>
      </w:r>
      <w:r w:rsidR="00FD5BED" w:rsidRPr="003E7EE5">
        <w:rPr>
          <w:color w:val="000000" w:themeColor="text1"/>
        </w:rPr>
        <w:t>explain</w:t>
      </w:r>
      <w:r w:rsidR="00342CF8" w:rsidRPr="003E7EE5">
        <w:rPr>
          <w:color w:val="000000" w:themeColor="text1"/>
        </w:rPr>
        <w:t xml:space="preserve"> the GMS</w:t>
      </w:r>
      <w:r w:rsidR="00F53475">
        <w:rPr>
          <w:color w:val="000000" w:themeColor="text1"/>
        </w:rPr>
        <w:t>–</w:t>
      </w:r>
      <w:r w:rsidR="00342CF8" w:rsidRPr="003E7EE5">
        <w:rPr>
          <w:color w:val="000000" w:themeColor="text1"/>
        </w:rPr>
        <w:t xml:space="preserve">firm performance relationship during and after </w:t>
      </w:r>
      <w:r w:rsidR="00F53475">
        <w:rPr>
          <w:color w:val="000000" w:themeColor="text1"/>
        </w:rPr>
        <w:t xml:space="preserve">a </w:t>
      </w:r>
      <w:r w:rsidR="00342CF8" w:rsidRPr="003E7EE5">
        <w:rPr>
          <w:color w:val="000000" w:themeColor="text1"/>
        </w:rPr>
        <w:t>crisis</w:t>
      </w:r>
      <w:r w:rsidR="00516893" w:rsidRPr="003E7EE5">
        <w:rPr>
          <w:color w:val="000000" w:themeColor="text1"/>
        </w:rPr>
        <w:t xml:space="preserve">. </w:t>
      </w:r>
      <w:r w:rsidRPr="003E7EE5">
        <w:rPr>
          <w:color w:val="000000" w:themeColor="text1"/>
        </w:rPr>
        <w:t xml:space="preserve">Approaching green </w:t>
      </w:r>
      <w:r w:rsidRPr="003E7EE5">
        <w:rPr>
          <w:color w:val="000000" w:themeColor="text1"/>
        </w:rPr>
        <w:lastRenderedPageBreak/>
        <w:t xml:space="preserve">marketing </w:t>
      </w:r>
      <w:r w:rsidR="00833B7B" w:rsidRPr="003E7EE5">
        <w:rPr>
          <w:color w:val="000000" w:themeColor="text1"/>
        </w:rPr>
        <w:t>as a dynamic capability</w:t>
      </w:r>
      <w:r w:rsidR="00EF747A" w:rsidRPr="003E7EE5">
        <w:rPr>
          <w:color w:val="000000" w:themeColor="text1"/>
        </w:rPr>
        <w:t xml:space="preserve"> (</w:t>
      </w:r>
      <w:proofErr w:type="spellStart"/>
      <w:r w:rsidR="00E82610" w:rsidRPr="003E7EE5">
        <w:rPr>
          <w:color w:val="000000" w:themeColor="text1"/>
        </w:rPr>
        <w:t>Dan</w:t>
      </w:r>
      <w:r w:rsidR="006446A8" w:rsidRPr="003E7EE5">
        <w:rPr>
          <w:color w:val="000000" w:themeColor="text1"/>
        </w:rPr>
        <w:t>g</w:t>
      </w:r>
      <w:r w:rsidR="00E82610" w:rsidRPr="003E7EE5">
        <w:rPr>
          <w:color w:val="000000" w:themeColor="text1"/>
        </w:rPr>
        <w:t>elico</w:t>
      </w:r>
      <w:proofErr w:type="spellEnd"/>
      <w:r w:rsidR="00E82610" w:rsidRPr="003E7EE5">
        <w:rPr>
          <w:color w:val="000000" w:themeColor="text1"/>
        </w:rPr>
        <w:t xml:space="preserve"> and </w:t>
      </w:r>
      <w:proofErr w:type="spellStart"/>
      <w:r w:rsidR="00057B57" w:rsidRPr="00057B57">
        <w:rPr>
          <w:color w:val="000000" w:themeColor="text1"/>
        </w:rPr>
        <w:t>Vocalelli</w:t>
      </w:r>
      <w:proofErr w:type="spellEnd"/>
      <w:r w:rsidR="00F53475">
        <w:rPr>
          <w:color w:val="000000" w:themeColor="text1"/>
        </w:rPr>
        <w:t>,</w:t>
      </w:r>
      <w:r w:rsidR="00EF747A" w:rsidRPr="003E7EE5">
        <w:rPr>
          <w:color w:val="000000" w:themeColor="text1"/>
        </w:rPr>
        <w:t xml:space="preserve"> 2017),</w:t>
      </w:r>
      <w:r w:rsidR="00833B7B" w:rsidRPr="003E7EE5">
        <w:rPr>
          <w:color w:val="000000" w:themeColor="text1"/>
        </w:rPr>
        <w:t xml:space="preserve"> our study suggests that </w:t>
      </w:r>
      <w:r w:rsidR="00F53475" w:rsidRPr="003E7EE5">
        <w:rPr>
          <w:color w:val="000000" w:themeColor="text1"/>
        </w:rPr>
        <w:t>organization</w:t>
      </w:r>
      <w:r w:rsidR="00F53475">
        <w:rPr>
          <w:color w:val="000000" w:themeColor="text1"/>
        </w:rPr>
        <w:t>s</w:t>
      </w:r>
      <w:r w:rsidR="00F53475" w:rsidRPr="003E7EE5">
        <w:rPr>
          <w:color w:val="000000" w:themeColor="text1"/>
        </w:rPr>
        <w:t xml:space="preserve"> </w:t>
      </w:r>
      <w:r w:rsidRPr="003E7EE5">
        <w:rPr>
          <w:color w:val="000000" w:themeColor="text1"/>
        </w:rPr>
        <w:t xml:space="preserve">should financially support </w:t>
      </w:r>
      <w:r w:rsidR="00F53475" w:rsidRPr="003E7EE5">
        <w:rPr>
          <w:color w:val="000000" w:themeColor="text1"/>
        </w:rPr>
        <w:t xml:space="preserve">GMS </w:t>
      </w:r>
      <w:r w:rsidRPr="003E7EE5">
        <w:rPr>
          <w:color w:val="000000" w:themeColor="text1"/>
        </w:rPr>
        <w:t>during difficult economic times when</w:t>
      </w:r>
      <w:r w:rsidR="00395BDE" w:rsidRPr="003E7EE5">
        <w:rPr>
          <w:color w:val="000000" w:themeColor="text1"/>
        </w:rPr>
        <w:t xml:space="preserve"> </w:t>
      </w:r>
      <w:r w:rsidR="00FE26FE" w:rsidRPr="003E7EE5">
        <w:rPr>
          <w:color w:val="000000" w:themeColor="text1"/>
        </w:rPr>
        <w:t>dilem</w:t>
      </w:r>
      <w:r w:rsidR="00BE1328">
        <w:rPr>
          <w:color w:val="000000" w:themeColor="text1"/>
        </w:rPr>
        <w:t>m</w:t>
      </w:r>
      <w:r w:rsidR="00FE26FE" w:rsidRPr="003E7EE5">
        <w:rPr>
          <w:color w:val="000000" w:themeColor="text1"/>
        </w:rPr>
        <w:t xml:space="preserve">as </w:t>
      </w:r>
      <w:r w:rsidRPr="003E7EE5">
        <w:rPr>
          <w:color w:val="000000" w:themeColor="text1"/>
        </w:rPr>
        <w:t xml:space="preserve">about </w:t>
      </w:r>
      <w:r w:rsidR="002C46A3" w:rsidRPr="003E7EE5">
        <w:rPr>
          <w:color w:val="000000" w:themeColor="text1"/>
        </w:rPr>
        <w:t xml:space="preserve">whether </w:t>
      </w:r>
      <w:r w:rsidR="00F53475">
        <w:rPr>
          <w:color w:val="000000" w:themeColor="text1"/>
        </w:rPr>
        <w:t xml:space="preserve">they </w:t>
      </w:r>
      <w:r w:rsidR="002C46A3" w:rsidRPr="003E7EE5">
        <w:rPr>
          <w:color w:val="000000" w:themeColor="text1"/>
        </w:rPr>
        <w:t>should invest</w:t>
      </w:r>
      <w:r w:rsidR="00FE26FE" w:rsidRPr="003E7EE5">
        <w:rPr>
          <w:color w:val="000000" w:themeColor="text1"/>
        </w:rPr>
        <w:t xml:space="preserve"> </w:t>
      </w:r>
      <w:r w:rsidR="007550C7" w:rsidRPr="003E7EE5">
        <w:rPr>
          <w:color w:val="000000" w:themeColor="text1"/>
        </w:rPr>
        <w:t xml:space="preserve">in </w:t>
      </w:r>
      <w:r w:rsidR="00FE26FE" w:rsidRPr="003E7EE5">
        <w:rPr>
          <w:color w:val="000000" w:themeColor="text1"/>
        </w:rPr>
        <w:t xml:space="preserve">or </w:t>
      </w:r>
      <w:r w:rsidR="002C46A3" w:rsidRPr="003E7EE5">
        <w:rPr>
          <w:color w:val="000000" w:themeColor="text1"/>
        </w:rPr>
        <w:t xml:space="preserve">divest from environmental </w:t>
      </w:r>
      <w:r w:rsidR="00FE26FE" w:rsidRPr="003E7EE5">
        <w:rPr>
          <w:color w:val="000000" w:themeColor="text1"/>
        </w:rPr>
        <w:t>resurface</w:t>
      </w:r>
      <w:r w:rsidR="002C46A3" w:rsidRPr="003E7EE5">
        <w:rPr>
          <w:color w:val="000000" w:themeColor="text1"/>
        </w:rPr>
        <w:t>.</w:t>
      </w:r>
      <w:r w:rsidR="00FF1AF8" w:rsidRPr="003E7EE5">
        <w:rPr>
          <w:color w:val="000000" w:themeColor="text1"/>
        </w:rPr>
        <w:t xml:space="preserve"> </w:t>
      </w:r>
      <w:r w:rsidRPr="003E7EE5">
        <w:rPr>
          <w:color w:val="000000" w:themeColor="text1"/>
        </w:rPr>
        <w:t>Our findings contribute</w:t>
      </w:r>
      <w:r w:rsidR="007550C7" w:rsidRPr="003E7EE5">
        <w:rPr>
          <w:color w:val="000000" w:themeColor="text1"/>
        </w:rPr>
        <w:t xml:space="preserve"> </w:t>
      </w:r>
      <w:proofErr w:type="gramStart"/>
      <w:r w:rsidR="007550C7" w:rsidRPr="003E7EE5">
        <w:rPr>
          <w:color w:val="000000" w:themeColor="text1"/>
        </w:rPr>
        <w:t>in</w:t>
      </w:r>
      <w:proofErr w:type="gramEnd"/>
      <w:r w:rsidR="007550C7" w:rsidRPr="003E7EE5">
        <w:rPr>
          <w:color w:val="000000" w:themeColor="text1"/>
        </w:rPr>
        <w:t xml:space="preserve"> this area</w:t>
      </w:r>
      <w:r w:rsidRPr="003E7EE5">
        <w:rPr>
          <w:color w:val="000000" w:themeColor="text1"/>
        </w:rPr>
        <w:t xml:space="preserve"> by showing</w:t>
      </w:r>
      <w:r w:rsidR="00374B08" w:rsidRPr="003E7EE5">
        <w:rPr>
          <w:color w:val="000000" w:themeColor="text1"/>
        </w:rPr>
        <w:t xml:space="preserve"> </w:t>
      </w:r>
      <w:r w:rsidRPr="003E7EE5">
        <w:rPr>
          <w:color w:val="000000" w:themeColor="text1"/>
        </w:rPr>
        <w:t xml:space="preserve">that </w:t>
      </w:r>
      <w:r w:rsidR="00374B08" w:rsidRPr="003E7EE5">
        <w:rPr>
          <w:color w:val="000000" w:themeColor="text1"/>
        </w:rPr>
        <w:t xml:space="preserve">ongoing commitment to green marketing </w:t>
      </w:r>
      <w:r w:rsidR="00FE26FE" w:rsidRPr="003E7EE5">
        <w:rPr>
          <w:color w:val="000000" w:themeColor="text1"/>
        </w:rPr>
        <w:t xml:space="preserve">through </w:t>
      </w:r>
      <w:r w:rsidRPr="003E7EE5">
        <w:rPr>
          <w:color w:val="000000" w:themeColor="text1"/>
        </w:rPr>
        <w:t xml:space="preserve">the allocation of resources to </w:t>
      </w:r>
      <w:r w:rsidR="00374B08" w:rsidRPr="003E7EE5">
        <w:rPr>
          <w:color w:val="000000" w:themeColor="text1"/>
        </w:rPr>
        <w:t xml:space="preserve">GMS during </w:t>
      </w:r>
      <w:r w:rsidR="00F53475">
        <w:rPr>
          <w:color w:val="000000" w:themeColor="text1"/>
        </w:rPr>
        <w:t xml:space="preserve">a </w:t>
      </w:r>
      <w:r w:rsidR="00374B08" w:rsidRPr="003E7EE5">
        <w:rPr>
          <w:color w:val="000000" w:themeColor="text1"/>
        </w:rPr>
        <w:t>crisis does pay</w:t>
      </w:r>
      <w:r w:rsidR="00F53475">
        <w:rPr>
          <w:color w:val="000000" w:themeColor="text1"/>
        </w:rPr>
        <w:t xml:space="preserve"> </w:t>
      </w:r>
      <w:r w:rsidR="00374B08" w:rsidRPr="003E7EE5">
        <w:rPr>
          <w:color w:val="000000" w:themeColor="text1"/>
        </w:rPr>
        <w:t>off</w:t>
      </w:r>
      <w:r w:rsidRPr="003E7EE5">
        <w:rPr>
          <w:color w:val="000000" w:themeColor="text1"/>
        </w:rPr>
        <w:t xml:space="preserve"> </w:t>
      </w:r>
      <w:r w:rsidR="00374B08" w:rsidRPr="003E7EE5">
        <w:rPr>
          <w:color w:val="000000" w:themeColor="text1"/>
        </w:rPr>
        <w:t xml:space="preserve">in terms of </w:t>
      </w:r>
      <w:r w:rsidR="00F53475" w:rsidRPr="003E7EE5">
        <w:rPr>
          <w:color w:val="000000" w:themeColor="text1"/>
        </w:rPr>
        <w:t xml:space="preserve">both </w:t>
      </w:r>
      <w:r w:rsidRPr="003E7EE5">
        <w:rPr>
          <w:color w:val="000000" w:themeColor="text1"/>
        </w:rPr>
        <w:t>firm</w:t>
      </w:r>
      <w:r w:rsidR="00F53475">
        <w:rPr>
          <w:color w:val="000000" w:themeColor="text1"/>
        </w:rPr>
        <w:t>s</w:t>
      </w:r>
      <w:r w:rsidRPr="003E7EE5">
        <w:rPr>
          <w:color w:val="000000" w:themeColor="text1"/>
        </w:rPr>
        <w:t xml:space="preserve">’ ability to survive the crisis and </w:t>
      </w:r>
      <w:r w:rsidR="00F53475">
        <w:rPr>
          <w:color w:val="000000" w:themeColor="text1"/>
        </w:rPr>
        <w:t xml:space="preserve">their </w:t>
      </w:r>
      <w:r w:rsidRPr="003E7EE5">
        <w:rPr>
          <w:color w:val="000000" w:themeColor="text1"/>
        </w:rPr>
        <w:t xml:space="preserve">ability to remain profitable </w:t>
      </w:r>
      <w:r w:rsidR="00FE26FE" w:rsidRPr="003E7EE5">
        <w:rPr>
          <w:color w:val="000000" w:themeColor="text1"/>
        </w:rPr>
        <w:t xml:space="preserve">after </w:t>
      </w:r>
      <w:r w:rsidR="00B20321" w:rsidRPr="003E7EE5">
        <w:rPr>
          <w:color w:val="000000" w:themeColor="text1"/>
        </w:rPr>
        <w:t>the crisis</w:t>
      </w:r>
      <w:r w:rsidRPr="003E7EE5">
        <w:rPr>
          <w:color w:val="000000" w:themeColor="text1"/>
        </w:rPr>
        <w:t>.</w:t>
      </w:r>
      <w:r w:rsidR="00C52750" w:rsidRPr="003E7EE5">
        <w:rPr>
          <w:color w:val="000000" w:themeColor="text1"/>
        </w:rPr>
        <w:t xml:space="preserve"> </w:t>
      </w:r>
    </w:p>
    <w:p w14:paraId="7751F528" w14:textId="00C77A38" w:rsidR="0042712F" w:rsidRPr="003E7EE5" w:rsidRDefault="00492E7A" w:rsidP="005E1791">
      <w:pPr>
        <w:spacing w:line="480" w:lineRule="auto"/>
        <w:ind w:firstLine="720"/>
        <w:outlineLvl w:val="0"/>
        <w:rPr>
          <w:color w:val="000000" w:themeColor="text1"/>
        </w:rPr>
      </w:pPr>
      <w:r w:rsidRPr="003E7EE5">
        <w:rPr>
          <w:color w:val="000000" w:themeColor="text1"/>
        </w:rPr>
        <w:t>Second</w:t>
      </w:r>
      <w:r w:rsidR="00050968" w:rsidRPr="003E7EE5">
        <w:rPr>
          <w:color w:val="000000" w:themeColor="text1"/>
        </w:rPr>
        <w:t>, a</w:t>
      </w:r>
      <w:r w:rsidR="001D062C" w:rsidRPr="003E7EE5">
        <w:rPr>
          <w:color w:val="000000" w:themeColor="text1"/>
        </w:rPr>
        <w:t>lthough previous studies have examined the GMS</w:t>
      </w:r>
      <w:r w:rsidR="00F53475">
        <w:rPr>
          <w:color w:val="000000" w:themeColor="text1"/>
        </w:rPr>
        <w:t>–</w:t>
      </w:r>
      <w:r w:rsidR="001D062C" w:rsidRPr="003E7EE5">
        <w:rPr>
          <w:color w:val="000000" w:themeColor="text1"/>
        </w:rPr>
        <w:t>firm performance relationship under the prism of perceived uncertainty</w:t>
      </w:r>
      <w:r w:rsidR="002C46A3" w:rsidRPr="003E7EE5">
        <w:rPr>
          <w:color w:val="000000" w:themeColor="text1"/>
        </w:rPr>
        <w:t xml:space="preserve"> (e.g., Katsikeas </w:t>
      </w:r>
      <w:r w:rsidR="002C46A3" w:rsidRPr="003E7EE5">
        <w:rPr>
          <w:i/>
          <w:color w:val="000000" w:themeColor="text1"/>
        </w:rPr>
        <w:t>et al.</w:t>
      </w:r>
      <w:r w:rsidR="002C46A3" w:rsidRPr="003E7EE5">
        <w:rPr>
          <w:color w:val="000000" w:themeColor="text1"/>
        </w:rPr>
        <w:t>, 2016</w:t>
      </w:r>
      <w:r w:rsidR="00F53475">
        <w:rPr>
          <w:color w:val="000000" w:themeColor="text1"/>
        </w:rPr>
        <w:t>;</w:t>
      </w:r>
      <w:r w:rsidR="00F53475" w:rsidRPr="00F53475">
        <w:rPr>
          <w:color w:val="000000" w:themeColor="text1"/>
        </w:rPr>
        <w:t xml:space="preserve"> </w:t>
      </w:r>
      <w:r w:rsidR="00F53475" w:rsidRPr="003E7EE5">
        <w:rPr>
          <w:color w:val="000000" w:themeColor="text1"/>
        </w:rPr>
        <w:t xml:space="preserve">Ruenda-Manzanares </w:t>
      </w:r>
      <w:r w:rsidR="00F53475" w:rsidRPr="003E7EE5">
        <w:rPr>
          <w:i/>
        </w:rPr>
        <w:t>et al.</w:t>
      </w:r>
      <w:r w:rsidR="00F53475" w:rsidRPr="003E7EE5">
        <w:t>,</w:t>
      </w:r>
      <w:r w:rsidR="00F53475" w:rsidRPr="003E7EE5">
        <w:rPr>
          <w:color w:val="000000" w:themeColor="text1"/>
        </w:rPr>
        <w:t xml:space="preserve"> 2008</w:t>
      </w:r>
      <w:r w:rsidR="00030ED5" w:rsidRPr="003E7EE5">
        <w:rPr>
          <w:color w:val="000000" w:themeColor="text1"/>
        </w:rPr>
        <w:t xml:space="preserve">), </w:t>
      </w:r>
      <w:r w:rsidR="002C46A3" w:rsidRPr="003E7EE5">
        <w:rPr>
          <w:color w:val="000000" w:themeColor="text1"/>
        </w:rPr>
        <w:t xml:space="preserve">we </w:t>
      </w:r>
      <w:r w:rsidR="0030606F" w:rsidRPr="003E7EE5">
        <w:rPr>
          <w:color w:val="000000" w:themeColor="text1"/>
        </w:rPr>
        <w:t>deepen</w:t>
      </w:r>
      <w:r w:rsidR="002C46A3" w:rsidRPr="003E7EE5">
        <w:rPr>
          <w:color w:val="000000" w:themeColor="text1"/>
        </w:rPr>
        <w:t xml:space="preserve"> this knowledge by conducting a study </w:t>
      </w:r>
      <w:r w:rsidR="001D062C" w:rsidRPr="003E7EE5">
        <w:rPr>
          <w:color w:val="000000" w:themeColor="text1"/>
        </w:rPr>
        <w:t>in a natural context of uncertainty</w:t>
      </w:r>
      <w:r w:rsidR="002C46A3" w:rsidRPr="003E7EE5">
        <w:rPr>
          <w:color w:val="000000" w:themeColor="text1"/>
        </w:rPr>
        <w:t xml:space="preserve"> (i.e., economic recession) </w:t>
      </w:r>
      <w:r w:rsidR="0030606F" w:rsidRPr="003E7EE5">
        <w:rPr>
          <w:color w:val="000000" w:themeColor="text1"/>
        </w:rPr>
        <w:t>and</w:t>
      </w:r>
      <w:r w:rsidR="00395BDE" w:rsidRPr="003E7EE5">
        <w:rPr>
          <w:color w:val="000000" w:themeColor="text1"/>
        </w:rPr>
        <w:t xml:space="preserve"> </w:t>
      </w:r>
      <w:r w:rsidR="002C46A3" w:rsidRPr="003E7EE5">
        <w:rPr>
          <w:color w:val="000000" w:themeColor="text1"/>
        </w:rPr>
        <w:t xml:space="preserve">focusing on </w:t>
      </w:r>
      <w:r w:rsidR="00F53475" w:rsidRPr="003E7EE5">
        <w:rPr>
          <w:color w:val="000000" w:themeColor="text1"/>
        </w:rPr>
        <w:t xml:space="preserve">both </w:t>
      </w:r>
      <w:r w:rsidR="0030606F" w:rsidRPr="003E7EE5">
        <w:rPr>
          <w:color w:val="000000" w:themeColor="text1"/>
        </w:rPr>
        <w:t>short</w:t>
      </w:r>
      <w:r w:rsidR="002C46A3" w:rsidRPr="003E7EE5">
        <w:rPr>
          <w:color w:val="000000" w:themeColor="text1"/>
        </w:rPr>
        <w:t>- and long-term performance</w:t>
      </w:r>
      <w:r w:rsidR="00050968" w:rsidRPr="003E7EE5">
        <w:rPr>
          <w:color w:val="000000" w:themeColor="text1"/>
        </w:rPr>
        <w:t xml:space="preserve"> outcomes</w:t>
      </w:r>
      <w:r w:rsidR="002C46A3" w:rsidRPr="003E7EE5">
        <w:rPr>
          <w:color w:val="000000" w:themeColor="text1"/>
        </w:rPr>
        <w:t xml:space="preserve">. </w:t>
      </w:r>
      <w:r w:rsidR="00050968" w:rsidRPr="003E7EE5">
        <w:rPr>
          <w:color w:val="000000" w:themeColor="text1"/>
        </w:rPr>
        <w:t xml:space="preserve">Our </w:t>
      </w:r>
      <w:r w:rsidR="00C84ACC" w:rsidRPr="003E7EE5">
        <w:rPr>
          <w:color w:val="000000" w:themeColor="text1"/>
        </w:rPr>
        <w:t>study</w:t>
      </w:r>
      <w:r w:rsidR="00FD5BED" w:rsidRPr="003E7EE5">
        <w:rPr>
          <w:color w:val="000000" w:themeColor="text1"/>
        </w:rPr>
        <w:t xml:space="preserve"> also</w:t>
      </w:r>
      <w:r w:rsidR="00AC0C44" w:rsidRPr="003E7EE5">
        <w:rPr>
          <w:color w:val="000000" w:themeColor="text1"/>
        </w:rPr>
        <w:t xml:space="preserve"> corroborates</w:t>
      </w:r>
      <w:r w:rsidR="00C84ACC" w:rsidRPr="003E7EE5">
        <w:rPr>
          <w:color w:val="000000" w:themeColor="text1"/>
        </w:rPr>
        <w:t xml:space="preserve"> previous research </w:t>
      </w:r>
      <w:proofErr w:type="gramStart"/>
      <w:r w:rsidR="00AC0C44" w:rsidRPr="003E7EE5">
        <w:rPr>
          <w:color w:val="000000" w:themeColor="text1"/>
        </w:rPr>
        <w:t>with regard to</w:t>
      </w:r>
      <w:proofErr w:type="gramEnd"/>
      <w:r w:rsidR="00AC0C44" w:rsidRPr="003E7EE5">
        <w:rPr>
          <w:color w:val="000000" w:themeColor="text1"/>
        </w:rPr>
        <w:t xml:space="preserve"> the importance of commitment </w:t>
      </w:r>
      <w:r w:rsidR="00F53475">
        <w:rPr>
          <w:color w:val="000000" w:themeColor="text1"/>
        </w:rPr>
        <w:t>to</w:t>
      </w:r>
      <w:r w:rsidR="00AC0C44" w:rsidRPr="003E7EE5">
        <w:rPr>
          <w:color w:val="000000" w:themeColor="text1"/>
        </w:rPr>
        <w:t xml:space="preserve"> sustainable management practices</w:t>
      </w:r>
      <w:r w:rsidR="00617A5D" w:rsidRPr="003E7EE5">
        <w:rPr>
          <w:color w:val="000000" w:themeColor="text1"/>
        </w:rPr>
        <w:t xml:space="preserve"> </w:t>
      </w:r>
      <w:r w:rsidR="00AC0C44" w:rsidRPr="003E7EE5">
        <w:rPr>
          <w:color w:val="000000" w:themeColor="text1"/>
        </w:rPr>
        <w:t xml:space="preserve">(e.g., </w:t>
      </w:r>
      <w:r w:rsidR="00AC0C44" w:rsidRPr="003E7EE5">
        <w:rPr>
          <w:iCs/>
          <w:color w:val="000000" w:themeColor="text1"/>
          <w:szCs w:val="26"/>
        </w:rPr>
        <w:t xml:space="preserve">Gabler </w:t>
      </w:r>
      <w:r w:rsidR="00AC0C44" w:rsidRPr="003E7EE5">
        <w:rPr>
          <w:i/>
          <w:color w:val="000000" w:themeColor="text1"/>
          <w:szCs w:val="26"/>
        </w:rPr>
        <w:t>et al.</w:t>
      </w:r>
      <w:r w:rsidR="00AC0C44" w:rsidRPr="005E1791">
        <w:rPr>
          <w:iCs/>
          <w:color w:val="000000" w:themeColor="text1"/>
          <w:szCs w:val="26"/>
        </w:rPr>
        <w:t>,</w:t>
      </w:r>
      <w:r w:rsidR="00AC0C44" w:rsidRPr="003E7EE5">
        <w:rPr>
          <w:iCs/>
          <w:color w:val="000000" w:themeColor="text1"/>
          <w:szCs w:val="26"/>
        </w:rPr>
        <w:t xml:space="preserve"> </w:t>
      </w:r>
      <w:r w:rsidR="00F132C0" w:rsidRPr="003E7EE5">
        <w:rPr>
          <w:color w:val="000000" w:themeColor="text1"/>
          <w:shd w:val="clear" w:color="auto" w:fill="FFFFFF"/>
        </w:rPr>
        <w:t>2021</w:t>
      </w:r>
      <w:r w:rsidR="00AC0C44" w:rsidRPr="003E7EE5">
        <w:rPr>
          <w:color w:val="000000" w:themeColor="text1"/>
        </w:rPr>
        <w:t xml:space="preserve">; Sarkis </w:t>
      </w:r>
      <w:r w:rsidR="00AC0C44" w:rsidRPr="005E1791">
        <w:rPr>
          <w:i/>
          <w:iCs/>
          <w:color w:val="000000" w:themeColor="text1"/>
        </w:rPr>
        <w:t>et al.</w:t>
      </w:r>
      <w:r w:rsidR="00F53475">
        <w:rPr>
          <w:color w:val="000000" w:themeColor="text1"/>
        </w:rPr>
        <w:t>,</w:t>
      </w:r>
      <w:r w:rsidR="00AC0C44" w:rsidRPr="003E7EE5">
        <w:rPr>
          <w:color w:val="000000" w:themeColor="text1"/>
        </w:rPr>
        <w:t xml:space="preserve"> 2010) by extending findings in the green marketing field. </w:t>
      </w:r>
      <w:proofErr w:type="gramStart"/>
      <w:r w:rsidR="00FD5BED" w:rsidRPr="003E7EE5">
        <w:rPr>
          <w:color w:val="000000" w:themeColor="text1"/>
        </w:rPr>
        <w:t>In particular, our</w:t>
      </w:r>
      <w:proofErr w:type="gramEnd"/>
      <w:r w:rsidR="00FD5BED" w:rsidRPr="003E7EE5">
        <w:rPr>
          <w:color w:val="000000" w:themeColor="text1"/>
        </w:rPr>
        <w:t xml:space="preserve"> </w:t>
      </w:r>
      <w:r w:rsidR="00C84ACC" w:rsidRPr="003E7EE5">
        <w:rPr>
          <w:color w:val="000000" w:themeColor="text1"/>
        </w:rPr>
        <w:t>findings show</w:t>
      </w:r>
      <w:r w:rsidR="00833B7B" w:rsidRPr="003E7EE5">
        <w:rPr>
          <w:color w:val="000000" w:themeColor="text1"/>
        </w:rPr>
        <w:t xml:space="preserve"> that both intrinsic </w:t>
      </w:r>
      <w:r w:rsidR="00E03522" w:rsidRPr="003E7EE5">
        <w:rPr>
          <w:color w:val="000000" w:themeColor="text1"/>
        </w:rPr>
        <w:t xml:space="preserve">(i.e., </w:t>
      </w:r>
      <w:r w:rsidR="00C11EB9">
        <w:rPr>
          <w:color w:val="000000" w:themeColor="text1"/>
        </w:rPr>
        <w:t>c</w:t>
      </w:r>
      <w:r w:rsidR="00C11EB9" w:rsidRPr="00C11EB9">
        <w:rPr>
          <w:color w:val="000000" w:themeColor="text1"/>
        </w:rPr>
        <w:t xml:space="preserve">orporate </w:t>
      </w:r>
      <w:r w:rsidR="00C11EB9">
        <w:rPr>
          <w:color w:val="000000" w:themeColor="text1"/>
        </w:rPr>
        <w:t>s</w:t>
      </w:r>
      <w:r w:rsidR="00C11EB9" w:rsidRPr="00C11EB9">
        <w:rPr>
          <w:color w:val="000000" w:themeColor="text1"/>
        </w:rPr>
        <w:t>ustainability</w:t>
      </w:r>
      <w:r w:rsidR="00E03522" w:rsidRPr="003E7EE5">
        <w:rPr>
          <w:color w:val="000000" w:themeColor="text1"/>
        </w:rPr>
        <w:t xml:space="preserve">) </w:t>
      </w:r>
      <w:r w:rsidR="00833B7B" w:rsidRPr="003E7EE5">
        <w:rPr>
          <w:color w:val="000000" w:themeColor="text1"/>
        </w:rPr>
        <w:t xml:space="preserve">and extrinsic </w:t>
      </w:r>
      <w:r w:rsidR="00E03522" w:rsidRPr="003E7EE5">
        <w:rPr>
          <w:color w:val="000000" w:themeColor="text1"/>
        </w:rPr>
        <w:t xml:space="preserve">(i.e., </w:t>
      </w:r>
      <w:r w:rsidR="00F53475">
        <w:rPr>
          <w:color w:val="000000" w:themeColor="text1"/>
        </w:rPr>
        <w:t>s</w:t>
      </w:r>
      <w:r w:rsidR="00C11EB9" w:rsidRPr="00C11EB9">
        <w:rPr>
          <w:color w:val="000000" w:themeColor="text1"/>
        </w:rPr>
        <w:t xml:space="preserve">takeholders’ </w:t>
      </w:r>
      <w:r w:rsidR="00C11EB9">
        <w:rPr>
          <w:color w:val="000000" w:themeColor="text1"/>
        </w:rPr>
        <w:t>s</w:t>
      </w:r>
      <w:r w:rsidR="00C11EB9" w:rsidRPr="00C11EB9">
        <w:rPr>
          <w:color w:val="000000" w:themeColor="text1"/>
        </w:rPr>
        <w:t xml:space="preserve">ustainability </w:t>
      </w:r>
      <w:r w:rsidR="00C11EB9">
        <w:rPr>
          <w:color w:val="000000" w:themeColor="text1"/>
        </w:rPr>
        <w:t>p</w:t>
      </w:r>
      <w:r w:rsidR="00C11EB9" w:rsidRPr="00C11EB9">
        <w:rPr>
          <w:color w:val="000000" w:themeColor="text1"/>
        </w:rPr>
        <w:t>ressure</w:t>
      </w:r>
      <w:r w:rsidR="00C11EB9">
        <w:rPr>
          <w:color w:val="000000" w:themeColor="text1"/>
        </w:rPr>
        <w:t>s</w:t>
      </w:r>
      <w:r w:rsidR="00E03522" w:rsidRPr="003E7EE5">
        <w:rPr>
          <w:color w:val="000000" w:themeColor="text1"/>
        </w:rPr>
        <w:t xml:space="preserve">) </w:t>
      </w:r>
      <w:r w:rsidR="00F53475" w:rsidRPr="003E7EE5">
        <w:rPr>
          <w:color w:val="000000" w:themeColor="text1"/>
        </w:rPr>
        <w:t xml:space="preserve">commitment </w:t>
      </w:r>
      <w:r w:rsidR="00833B7B" w:rsidRPr="003E7EE5">
        <w:rPr>
          <w:color w:val="000000" w:themeColor="text1"/>
        </w:rPr>
        <w:t xml:space="preserve">are vital to GMS during and after </w:t>
      </w:r>
      <w:r w:rsidR="00F53475">
        <w:rPr>
          <w:color w:val="000000" w:themeColor="text1"/>
        </w:rPr>
        <w:t xml:space="preserve">a </w:t>
      </w:r>
      <w:r w:rsidR="00833B7B" w:rsidRPr="003E7EE5">
        <w:rPr>
          <w:color w:val="000000" w:themeColor="text1"/>
        </w:rPr>
        <w:t>crisis</w:t>
      </w:r>
      <w:r w:rsidR="00F53475">
        <w:rPr>
          <w:color w:val="000000" w:themeColor="text1"/>
        </w:rPr>
        <w:t>,</w:t>
      </w:r>
      <w:r w:rsidR="00833B7B" w:rsidRPr="003E7EE5">
        <w:rPr>
          <w:color w:val="000000" w:themeColor="text1"/>
        </w:rPr>
        <w:t xml:space="preserve"> as organizations need to </w:t>
      </w:r>
      <w:r w:rsidR="00833B7B" w:rsidRPr="003E7EE5">
        <w:rPr>
          <w:iCs/>
          <w:color w:val="000000" w:themeColor="text1"/>
        </w:rPr>
        <w:t>improve their social legitimacy in the eyes of stakeholders</w:t>
      </w:r>
      <w:r w:rsidR="00E03522" w:rsidRPr="003E7EE5">
        <w:rPr>
          <w:iCs/>
          <w:color w:val="000000" w:themeColor="text1"/>
        </w:rPr>
        <w:t xml:space="preserve">. In the context of an economic recession, these findings </w:t>
      </w:r>
      <w:r w:rsidR="00F53475">
        <w:rPr>
          <w:iCs/>
          <w:color w:val="000000" w:themeColor="text1"/>
        </w:rPr>
        <w:t>indicate</w:t>
      </w:r>
      <w:r w:rsidR="00E03522" w:rsidRPr="003E7EE5">
        <w:rPr>
          <w:iCs/>
          <w:color w:val="000000" w:themeColor="text1"/>
        </w:rPr>
        <w:t xml:space="preserve"> that </w:t>
      </w:r>
      <w:r w:rsidR="0030606F" w:rsidRPr="003E7EE5">
        <w:rPr>
          <w:iCs/>
          <w:color w:val="000000" w:themeColor="text1"/>
        </w:rPr>
        <w:t xml:space="preserve">firms that have developed a strong commitment to </w:t>
      </w:r>
      <w:r w:rsidR="006D0D47" w:rsidRPr="003E7EE5">
        <w:rPr>
          <w:iCs/>
          <w:color w:val="000000" w:themeColor="text1"/>
        </w:rPr>
        <w:t>GMS</w:t>
      </w:r>
      <w:r w:rsidR="0030606F" w:rsidRPr="003E7EE5">
        <w:rPr>
          <w:iCs/>
          <w:color w:val="000000" w:themeColor="text1"/>
        </w:rPr>
        <w:t xml:space="preserve"> before a crisis are better poised to go through </w:t>
      </w:r>
      <w:r w:rsidR="00536B7D" w:rsidRPr="003E7EE5">
        <w:rPr>
          <w:iCs/>
          <w:color w:val="000000" w:themeColor="text1"/>
        </w:rPr>
        <w:t>future</w:t>
      </w:r>
      <w:r w:rsidR="0030606F" w:rsidRPr="003E7EE5">
        <w:rPr>
          <w:iCs/>
          <w:color w:val="000000" w:themeColor="text1"/>
        </w:rPr>
        <w:t xml:space="preserve"> crises </w:t>
      </w:r>
      <w:r w:rsidR="00763FE6">
        <w:rPr>
          <w:iCs/>
          <w:color w:val="000000" w:themeColor="text1"/>
        </w:rPr>
        <w:t xml:space="preserve">relatively </w:t>
      </w:r>
      <w:r w:rsidR="0030606F" w:rsidRPr="003E7EE5">
        <w:rPr>
          <w:iCs/>
          <w:color w:val="000000" w:themeColor="text1"/>
        </w:rPr>
        <w:t>unscathed and emerge as post-crisis winners.</w:t>
      </w:r>
      <w:r w:rsidR="00E03522" w:rsidRPr="003E7EE5">
        <w:rPr>
          <w:iCs/>
          <w:color w:val="000000" w:themeColor="text1"/>
        </w:rPr>
        <w:t xml:space="preserve"> </w:t>
      </w:r>
    </w:p>
    <w:p w14:paraId="0A293789" w14:textId="33AD72C0" w:rsidR="00900743" w:rsidRPr="00057B57" w:rsidRDefault="00492E7A" w:rsidP="005E1791">
      <w:pPr>
        <w:spacing w:line="480" w:lineRule="auto"/>
        <w:ind w:firstLine="720"/>
        <w:outlineLvl w:val="0"/>
        <w:rPr>
          <w:color w:val="000000" w:themeColor="text1"/>
        </w:rPr>
      </w:pPr>
      <w:r w:rsidRPr="00057B57">
        <w:t>Third</w:t>
      </w:r>
      <w:r w:rsidR="00516893" w:rsidRPr="00057B57">
        <w:t xml:space="preserve">, </w:t>
      </w:r>
      <w:r w:rsidR="00516893" w:rsidRPr="00057B57">
        <w:rPr>
          <w:rFonts w:eastAsia="Times New Roman"/>
          <w:color w:val="222222"/>
          <w:shd w:val="clear" w:color="auto" w:fill="FFFFFF"/>
        </w:rPr>
        <w:t>p</w:t>
      </w:r>
      <w:r w:rsidR="002C29A5" w:rsidRPr="00057B57">
        <w:rPr>
          <w:rFonts w:eastAsia="Times New Roman"/>
          <w:color w:val="222222"/>
          <w:shd w:val="clear" w:color="auto" w:fill="FFFFFF"/>
        </w:rPr>
        <w:t>revious research has examined the impact of green marketing on financial performance (</w:t>
      </w:r>
      <w:r w:rsidR="002C29A5" w:rsidRPr="00057B57">
        <w:rPr>
          <w:color w:val="000000" w:themeColor="text1"/>
        </w:rPr>
        <w:t xml:space="preserve">Menon </w:t>
      </w:r>
      <w:r w:rsidR="007E71B6" w:rsidRPr="00057B57">
        <w:rPr>
          <w:color w:val="000000" w:themeColor="text1"/>
        </w:rPr>
        <w:t>and</w:t>
      </w:r>
      <w:r w:rsidR="002C29A5" w:rsidRPr="00057B57">
        <w:rPr>
          <w:color w:val="000000" w:themeColor="text1"/>
        </w:rPr>
        <w:t xml:space="preserve"> Menon, 1997</w:t>
      </w:r>
      <w:proofErr w:type="gramStart"/>
      <w:r w:rsidR="0003170C">
        <w:rPr>
          <w:color w:val="000000" w:themeColor="text1"/>
        </w:rPr>
        <w:t xml:space="preserve">) </w:t>
      </w:r>
      <w:r w:rsidR="002C29A5" w:rsidRPr="00057B57">
        <w:rPr>
          <w:rFonts w:eastAsia="Times New Roman"/>
          <w:color w:val="222222"/>
          <w:shd w:val="clear" w:color="auto" w:fill="FFFFFF"/>
        </w:rPr>
        <w:t>,</w:t>
      </w:r>
      <w:proofErr w:type="gramEnd"/>
      <w:r w:rsidR="002C29A5" w:rsidRPr="00057B57">
        <w:rPr>
          <w:rFonts w:eastAsia="Times New Roman"/>
          <w:color w:val="222222"/>
          <w:shd w:val="clear" w:color="auto" w:fill="FFFFFF"/>
        </w:rPr>
        <w:t xml:space="preserve"> </w:t>
      </w:r>
      <w:r w:rsidR="002C29A5" w:rsidRPr="00C27C47">
        <w:rPr>
          <w:rFonts w:eastAsia="Times New Roman"/>
          <w:color w:val="000000" w:themeColor="text1"/>
          <w:shd w:val="clear" w:color="auto" w:fill="FFFFFF"/>
        </w:rPr>
        <w:t xml:space="preserve">competitive advantage </w:t>
      </w:r>
      <w:r w:rsidR="002C29A5" w:rsidRPr="00057B57">
        <w:rPr>
          <w:rFonts w:eastAsia="Times New Roman"/>
          <w:color w:val="222222"/>
          <w:shd w:val="clear" w:color="auto" w:fill="FFFFFF"/>
        </w:rPr>
        <w:t>(</w:t>
      </w:r>
      <w:r w:rsidR="00B32C11" w:rsidRPr="00057B57">
        <w:rPr>
          <w:rFonts w:eastAsia="Times New Roman"/>
          <w:color w:val="222222"/>
          <w:shd w:val="clear" w:color="auto" w:fill="FFFFFF"/>
        </w:rPr>
        <w:t xml:space="preserve">Papadas </w:t>
      </w:r>
      <w:r w:rsidR="00B32C11" w:rsidRPr="00057B57">
        <w:rPr>
          <w:rFonts w:eastAsia="Times New Roman"/>
          <w:i/>
          <w:iCs/>
          <w:color w:val="222222"/>
          <w:shd w:val="clear" w:color="auto" w:fill="FFFFFF"/>
        </w:rPr>
        <w:t>et al.</w:t>
      </w:r>
      <w:r w:rsidR="00B32C11" w:rsidRPr="005E1791">
        <w:rPr>
          <w:rFonts w:eastAsia="Times New Roman"/>
          <w:color w:val="222222"/>
          <w:shd w:val="clear" w:color="auto" w:fill="FFFFFF"/>
        </w:rPr>
        <w:t>,</w:t>
      </w:r>
      <w:r w:rsidR="00B32C11" w:rsidRPr="00057B57">
        <w:rPr>
          <w:rFonts w:eastAsia="Times New Roman"/>
          <w:color w:val="222222"/>
          <w:shd w:val="clear" w:color="auto" w:fill="FFFFFF"/>
        </w:rPr>
        <w:t xml:space="preserve"> 2019</w:t>
      </w:r>
      <w:r w:rsidR="002C29A5" w:rsidRPr="00057B57">
        <w:rPr>
          <w:rFonts w:eastAsia="Times New Roman"/>
          <w:color w:val="000000" w:themeColor="text1"/>
          <w:shd w:val="clear" w:color="auto" w:fill="FFFFFF"/>
        </w:rPr>
        <w:t xml:space="preserve">), product-market performance (Baker </w:t>
      </w:r>
      <w:r w:rsidR="007E71B6" w:rsidRPr="00057B57">
        <w:rPr>
          <w:rFonts w:eastAsia="Times New Roman"/>
          <w:color w:val="000000" w:themeColor="text1"/>
          <w:shd w:val="clear" w:color="auto" w:fill="FFFFFF"/>
        </w:rPr>
        <w:t>and</w:t>
      </w:r>
      <w:r w:rsidR="002C29A5" w:rsidRPr="00057B57">
        <w:rPr>
          <w:rFonts w:eastAsia="Times New Roman"/>
          <w:color w:val="000000" w:themeColor="text1"/>
          <w:shd w:val="clear" w:color="auto" w:fill="FFFFFF"/>
        </w:rPr>
        <w:t xml:space="preserve"> Sinkula, 2005)</w:t>
      </w:r>
      <w:r w:rsidR="00763FE6" w:rsidRPr="00057B57">
        <w:rPr>
          <w:rFonts w:eastAsia="Times New Roman"/>
          <w:color w:val="000000" w:themeColor="text1"/>
          <w:shd w:val="clear" w:color="auto" w:fill="FFFFFF"/>
        </w:rPr>
        <w:t>,</w:t>
      </w:r>
      <w:r w:rsidR="002C29A5" w:rsidRPr="00057B57">
        <w:rPr>
          <w:rFonts w:eastAsia="Times New Roman"/>
          <w:color w:val="000000" w:themeColor="text1"/>
          <w:shd w:val="clear" w:color="auto" w:fill="FFFFFF"/>
        </w:rPr>
        <w:t xml:space="preserve"> and operational performance (</w:t>
      </w:r>
      <w:r w:rsidR="002C29A5" w:rsidRPr="00057B57">
        <w:rPr>
          <w:color w:val="000000" w:themeColor="text1"/>
        </w:rPr>
        <w:t>Fraj-</w:t>
      </w:r>
      <w:r w:rsidR="002C29A5" w:rsidRPr="005E1791">
        <w:rPr>
          <w:rFonts w:eastAsia="Times New Roman"/>
          <w:color w:val="000000" w:themeColor="text1"/>
          <w:shd w:val="clear" w:color="auto" w:fill="FFFFFF"/>
        </w:rPr>
        <w:t>Andrés</w:t>
      </w:r>
      <w:r w:rsidR="005339EC" w:rsidRPr="00057B57">
        <w:rPr>
          <w:color w:val="000000" w:themeColor="text1"/>
        </w:rPr>
        <w:t xml:space="preserve"> </w:t>
      </w:r>
      <w:r w:rsidR="007E71B6" w:rsidRPr="00057B57">
        <w:rPr>
          <w:i/>
          <w:color w:val="000000" w:themeColor="text1"/>
        </w:rPr>
        <w:t>et al.</w:t>
      </w:r>
      <w:r w:rsidR="002C29A5" w:rsidRPr="00057B57">
        <w:rPr>
          <w:color w:val="000000" w:themeColor="text1"/>
        </w:rPr>
        <w:t>, 2009)</w:t>
      </w:r>
      <w:r w:rsidR="002C29A5" w:rsidRPr="00057B57">
        <w:rPr>
          <w:rFonts w:eastAsia="Times New Roman"/>
          <w:color w:val="000000" w:themeColor="text1"/>
          <w:shd w:val="clear" w:color="auto" w:fill="FFFFFF"/>
        </w:rPr>
        <w:t xml:space="preserve">. </w:t>
      </w:r>
      <w:r w:rsidR="00257097" w:rsidRPr="00057B57">
        <w:t xml:space="preserve">However, </w:t>
      </w:r>
      <w:r w:rsidR="00763FE6" w:rsidRPr="00057B57">
        <w:t>our</w:t>
      </w:r>
      <w:r w:rsidR="00257097" w:rsidRPr="00057B57">
        <w:t xml:space="preserve"> </w:t>
      </w:r>
      <w:r w:rsidR="00763FE6" w:rsidRPr="00057B57">
        <w:t xml:space="preserve">study </w:t>
      </w:r>
      <w:r w:rsidR="00257097" w:rsidRPr="00057B57">
        <w:t xml:space="preserve">is the first </w:t>
      </w:r>
      <w:r w:rsidR="00763FE6" w:rsidRPr="00057B57">
        <w:t>to</w:t>
      </w:r>
      <w:r w:rsidR="00257097" w:rsidRPr="00057B57">
        <w:t xml:space="preserve"> investigate the effect of GMS on business performance </w:t>
      </w:r>
      <w:r w:rsidR="0028295D" w:rsidRPr="00057B57">
        <w:t xml:space="preserve">during </w:t>
      </w:r>
      <w:r w:rsidR="009242B9" w:rsidRPr="00057B57">
        <w:t>an economic crisis</w:t>
      </w:r>
      <w:r w:rsidR="006920BC" w:rsidRPr="00057B57">
        <w:t>.</w:t>
      </w:r>
      <w:r w:rsidR="00435436" w:rsidRPr="00057B57">
        <w:t xml:space="preserve"> Our study </w:t>
      </w:r>
      <w:r w:rsidR="00763FE6" w:rsidRPr="00057B57">
        <w:t>reveals</w:t>
      </w:r>
      <w:r w:rsidR="006920BC" w:rsidRPr="00057B57">
        <w:t xml:space="preserve"> a positive link between GMS and fi</w:t>
      </w:r>
      <w:r w:rsidR="00435436" w:rsidRPr="00057B57">
        <w:t>rm</w:t>
      </w:r>
      <w:r w:rsidR="00763FE6" w:rsidRPr="00057B57">
        <w:t>s</w:t>
      </w:r>
      <w:r w:rsidR="00435436" w:rsidRPr="00057B57">
        <w:t xml:space="preserve">’ </w:t>
      </w:r>
      <w:r w:rsidR="001046F7" w:rsidRPr="00057B57">
        <w:t>OR</w:t>
      </w:r>
      <w:r w:rsidR="00896A10" w:rsidRPr="00057B57">
        <w:t xml:space="preserve"> and </w:t>
      </w:r>
      <w:r w:rsidR="001046F7" w:rsidRPr="00057B57">
        <w:t>FR</w:t>
      </w:r>
      <w:r w:rsidR="00435436" w:rsidRPr="00057B57">
        <w:t xml:space="preserve"> </w:t>
      </w:r>
      <w:r w:rsidR="00C0016B" w:rsidRPr="00057B57">
        <w:t>during a</w:t>
      </w:r>
      <w:r w:rsidR="00380CF1" w:rsidRPr="00057B57">
        <w:t xml:space="preserve"> recession. </w:t>
      </w:r>
      <w:r w:rsidR="00D2670D" w:rsidRPr="00057B57">
        <w:t>This</w:t>
      </w:r>
      <w:r w:rsidR="00380CF1" w:rsidRPr="00057B57">
        <w:t xml:space="preserve"> finding </w:t>
      </w:r>
      <w:r w:rsidR="002C29A5" w:rsidRPr="00057B57">
        <w:t xml:space="preserve">also </w:t>
      </w:r>
      <w:r w:rsidR="00380CF1" w:rsidRPr="00057B57">
        <w:rPr>
          <w:color w:val="000000" w:themeColor="text1"/>
        </w:rPr>
        <w:t xml:space="preserve">extends previous </w:t>
      </w:r>
      <w:r w:rsidR="00ED1FBA" w:rsidRPr="00057B57">
        <w:rPr>
          <w:color w:val="000000" w:themeColor="text1"/>
        </w:rPr>
        <w:t>studies</w:t>
      </w:r>
      <w:r w:rsidR="00380CF1" w:rsidRPr="00057B57">
        <w:rPr>
          <w:color w:val="000000" w:themeColor="text1"/>
        </w:rPr>
        <w:t xml:space="preserve"> </w:t>
      </w:r>
      <w:r w:rsidR="00763FE6" w:rsidRPr="00057B57">
        <w:rPr>
          <w:color w:val="000000" w:themeColor="text1"/>
        </w:rPr>
        <w:t>on</w:t>
      </w:r>
      <w:r w:rsidR="00380CF1" w:rsidRPr="00057B57">
        <w:rPr>
          <w:color w:val="000000" w:themeColor="text1"/>
        </w:rPr>
        <w:t xml:space="preserve"> </w:t>
      </w:r>
      <w:r w:rsidR="00251077" w:rsidRPr="00057B57">
        <w:rPr>
          <w:color w:val="000000" w:themeColor="text1"/>
        </w:rPr>
        <w:lastRenderedPageBreak/>
        <w:t>corporate responsibility</w:t>
      </w:r>
      <w:r w:rsidR="00763FE6" w:rsidRPr="00057B57">
        <w:rPr>
          <w:color w:val="000000" w:themeColor="text1"/>
        </w:rPr>
        <w:t xml:space="preserve"> or the </w:t>
      </w:r>
      <w:r w:rsidR="00251077" w:rsidRPr="00057B57">
        <w:rPr>
          <w:color w:val="000000" w:themeColor="text1"/>
        </w:rPr>
        <w:t>sustainability</w:t>
      </w:r>
      <w:r w:rsidR="00763FE6" w:rsidRPr="00057B57">
        <w:rPr>
          <w:color w:val="000000" w:themeColor="text1"/>
        </w:rPr>
        <w:t>–</w:t>
      </w:r>
      <w:r w:rsidR="009F36AD" w:rsidRPr="00057B57">
        <w:rPr>
          <w:color w:val="000000" w:themeColor="text1"/>
        </w:rPr>
        <w:t xml:space="preserve">performance link </w:t>
      </w:r>
      <w:r w:rsidR="00F024D3" w:rsidRPr="00057B57">
        <w:rPr>
          <w:color w:val="000000" w:themeColor="text1"/>
        </w:rPr>
        <w:t xml:space="preserve">during a recession </w:t>
      </w:r>
      <w:r w:rsidR="00380CF1" w:rsidRPr="00057B57">
        <w:rPr>
          <w:color w:val="000000" w:themeColor="text1"/>
        </w:rPr>
        <w:t>(</w:t>
      </w:r>
      <w:r w:rsidR="00F024D3" w:rsidRPr="00057B57">
        <w:rPr>
          <w:color w:val="000000" w:themeColor="text1"/>
        </w:rPr>
        <w:t>Bhattachary</w:t>
      </w:r>
      <w:r w:rsidR="009F36AD" w:rsidRPr="00057B57">
        <w:rPr>
          <w:color w:val="000000" w:themeColor="text1"/>
        </w:rPr>
        <w:t>a</w:t>
      </w:r>
      <w:r w:rsidR="00F024D3" w:rsidRPr="00057B57">
        <w:rPr>
          <w:color w:val="000000" w:themeColor="text1"/>
        </w:rPr>
        <w:t xml:space="preserve"> </w:t>
      </w:r>
      <w:r w:rsidR="00F024D3" w:rsidRPr="00057B57">
        <w:rPr>
          <w:i/>
          <w:iCs/>
          <w:color w:val="000000" w:themeColor="text1"/>
        </w:rPr>
        <w:t>et al.</w:t>
      </w:r>
      <w:r w:rsidR="00F024D3" w:rsidRPr="00057B57">
        <w:rPr>
          <w:color w:val="000000" w:themeColor="text1"/>
        </w:rPr>
        <w:t>, 2020</w:t>
      </w:r>
      <w:r w:rsidR="00251077" w:rsidRPr="00057B57">
        <w:rPr>
          <w:color w:val="000000" w:themeColor="text1"/>
        </w:rPr>
        <w:t xml:space="preserve">; </w:t>
      </w:r>
      <w:proofErr w:type="spellStart"/>
      <w:r w:rsidR="00251077" w:rsidRPr="00057B57">
        <w:rPr>
          <w:color w:val="000000" w:themeColor="text1"/>
        </w:rPr>
        <w:t>Chemmanur</w:t>
      </w:r>
      <w:proofErr w:type="spellEnd"/>
      <w:r w:rsidR="00251077" w:rsidRPr="00057B57">
        <w:rPr>
          <w:color w:val="000000" w:themeColor="text1"/>
        </w:rPr>
        <w:t xml:space="preserve"> </w:t>
      </w:r>
      <w:r w:rsidR="00251077" w:rsidRPr="00057B57">
        <w:rPr>
          <w:i/>
          <w:color w:val="000000" w:themeColor="text1"/>
        </w:rPr>
        <w:t>et al.</w:t>
      </w:r>
      <w:r w:rsidR="00251077" w:rsidRPr="00057B57">
        <w:rPr>
          <w:color w:val="000000" w:themeColor="text1"/>
        </w:rPr>
        <w:t>, 2021</w:t>
      </w:r>
      <w:r w:rsidR="00380CF1" w:rsidRPr="00057B57">
        <w:rPr>
          <w:color w:val="000000" w:themeColor="text1"/>
        </w:rPr>
        <w:t xml:space="preserve">) by </w:t>
      </w:r>
      <w:r w:rsidR="009F36AD" w:rsidRPr="00057B57">
        <w:rPr>
          <w:color w:val="000000" w:themeColor="text1"/>
        </w:rPr>
        <w:t>taking a step further and focusing on green marketing</w:t>
      </w:r>
      <w:r w:rsidR="00380CF1" w:rsidRPr="00057B57">
        <w:rPr>
          <w:color w:val="000000" w:themeColor="text1"/>
        </w:rPr>
        <w:t>.</w:t>
      </w:r>
      <w:r w:rsidR="0028295D" w:rsidRPr="00057B57">
        <w:rPr>
          <w:color w:val="000000" w:themeColor="text1"/>
        </w:rPr>
        <w:t xml:space="preserve"> </w:t>
      </w:r>
      <w:r w:rsidR="00763FE6" w:rsidRPr="00057B57">
        <w:rPr>
          <w:color w:val="000000" w:themeColor="text1"/>
        </w:rPr>
        <w:t xml:space="preserve">As </w:t>
      </w:r>
      <w:r w:rsidR="009242B9" w:rsidRPr="00057B57">
        <w:rPr>
          <w:color w:val="000000" w:themeColor="text1"/>
        </w:rPr>
        <w:t>sustainability is the cornerstone for firm</w:t>
      </w:r>
      <w:r w:rsidR="00763FE6" w:rsidRPr="00057B57">
        <w:rPr>
          <w:color w:val="000000" w:themeColor="text1"/>
        </w:rPr>
        <w:t>s’</w:t>
      </w:r>
      <w:r w:rsidR="009242B9" w:rsidRPr="00057B57">
        <w:rPr>
          <w:color w:val="000000" w:themeColor="text1"/>
        </w:rPr>
        <w:t xml:space="preserve"> resilience and success in the market (</w:t>
      </w:r>
      <w:proofErr w:type="spellStart"/>
      <w:r w:rsidR="009242B9" w:rsidRPr="00057B57">
        <w:rPr>
          <w:color w:val="000000" w:themeColor="text1"/>
        </w:rPr>
        <w:t>Ne</w:t>
      </w:r>
      <w:r w:rsidR="00EC033E">
        <w:rPr>
          <w:color w:val="000000" w:themeColor="text1"/>
        </w:rPr>
        <w:t>n</w:t>
      </w:r>
      <w:r w:rsidR="009242B9" w:rsidRPr="00057B57">
        <w:rPr>
          <w:color w:val="000000" w:themeColor="text1"/>
        </w:rPr>
        <w:t>kov</w:t>
      </w:r>
      <w:proofErr w:type="spellEnd"/>
      <w:r w:rsidR="009242B9" w:rsidRPr="00057B57">
        <w:rPr>
          <w:color w:val="000000" w:themeColor="text1"/>
        </w:rPr>
        <w:t xml:space="preserve">, 2024), </w:t>
      </w:r>
      <w:r w:rsidR="00ED1FBA" w:rsidRPr="00057B57">
        <w:rPr>
          <w:color w:val="000000" w:themeColor="text1"/>
        </w:rPr>
        <w:t xml:space="preserve">our work </w:t>
      </w:r>
      <w:proofErr w:type="gramStart"/>
      <w:r w:rsidR="00ED1FBA" w:rsidRPr="00057B57">
        <w:rPr>
          <w:color w:val="000000" w:themeColor="text1"/>
        </w:rPr>
        <w:t>opens up</w:t>
      </w:r>
      <w:proofErr w:type="gramEnd"/>
      <w:r w:rsidR="00ED1FBA" w:rsidRPr="00057B57">
        <w:rPr>
          <w:color w:val="000000" w:themeColor="text1"/>
        </w:rPr>
        <w:t xml:space="preserve"> a novel research stream</w:t>
      </w:r>
      <w:r w:rsidR="00B13A8A" w:rsidRPr="00057B57">
        <w:rPr>
          <w:color w:val="000000" w:themeColor="text1"/>
        </w:rPr>
        <w:t xml:space="preserve"> </w:t>
      </w:r>
      <w:r w:rsidR="00ED1FBA" w:rsidRPr="00057B57">
        <w:rPr>
          <w:color w:val="000000" w:themeColor="text1"/>
        </w:rPr>
        <w:t xml:space="preserve">to </w:t>
      </w:r>
      <w:r w:rsidR="00763FE6" w:rsidRPr="00057B57">
        <w:rPr>
          <w:color w:val="000000" w:themeColor="text1"/>
        </w:rPr>
        <w:t>treat</w:t>
      </w:r>
      <w:r w:rsidR="00B13A8A" w:rsidRPr="00057B57">
        <w:rPr>
          <w:color w:val="000000" w:themeColor="text1"/>
        </w:rPr>
        <w:t xml:space="preserve"> resilience</w:t>
      </w:r>
      <w:r w:rsidR="006B3C77" w:rsidRPr="00057B57">
        <w:rPr>
          <w:color w:val="000000" w:themeColor="text1"/>
        </w:rPr>
        <w:t xml:space="preserve"> </w:t>
      </w:r>
      <w:r w:rsidR="00ED1FBA" w:rsidRPr="00057B57">
        <w:rPr>
          <w:color w:val="000000" w:themeColor="text1"/>
        </w:rPr>
        <w:t>as a performance outcome of</w:t>
      </w:r>
      <w:r w:rsidR="00B13A8A" w:rsidRPr="00057B57">
        <w:rPr>
          <w:color w:val="000000" w:themeColor="text1"/>
        </w:rPr>
        <w:t xml:space="preserve"> </w:t>
      </w:r>
      <w:r w:rsidR="00EC550C" w:rsidRPr="00057B57">
        <w:rPr>
          <w:color w:val="000000" w:themeColor="text1"/>
        </w:rPr>
        <w:t xml:space="preserve">green marketing </w:t>
      </w:r>
      <w:r w:rsidR="00257097" w:rsidRPr="00057B57">
        <w:rPr>
          <w:color w:val="000000" w:themeColor="text1"/>
        </w:rPr>
        <w:t>practices</w:t>
      </w:r>
      <w:r w:rsidR="006B3C77" w:rsidRPr="00057B57">
        <w:rPr>
          <w:color w:val="000000" w:themeColor="text1"/>
        </w:rPr>
        <w:t xml:space="preserve"> </w:t>
      </w:r>
      <w:r w:rsidR="00EC550C" w:rsidRPr="00057B57">
        <w:rPr>
          <w:color w:val="000000" w:themeColor="text1"/>
        </w:rPr>
        <w:t>(i.e., green marketing</w:t>
      </w:r>
      <w:r w:rsidR="00763FE6" w:rsidRPr="00057B57">
        <w:rPr>
          <w:color w:val="000000" w:themeColor="text1"/>
        </w:rPr>
        <w:t xml:space="preserve"> </w:t>
      </w:r>
      <w:r w:rsidR="00EC550C" w:rsidRPr="00057B57">
        <w:rPr>
          <w:color w:val="000000" w:themeColor="text1"/>
        </w:rPr>
        <w:t>mix, new eco-product development)</w:t>
      </w:r>
      <w:r w:rsidR="00257097" w:rsidRPr="00057B57">
        <w:rPr>
          <w:color w:val="000000" w:themeColor="text1"/>
        </w:rPr>
        <w:t xml:space="preserve"> in an uncertain business environment</w:t>
      </w:r>
      <w:r w:rsidR="00ED1FBA" w:rsidRPr="00057B57">
        <w:rPr>
          <w:color w:val="000000" w:themeColor="text1"/>
        </w:rPr>
        <w:t>.</w:t>
      </w:r>
    </w:p>
    <w:p w14:paraId="297D05F7" w14:textId="2ED3AAE2" w:rsidR="000311AD" w:rsidRPr="003E7EE5" w:rsidRDefault="00F50F9E" w:rsidP="00F53475">
      <w:pPr>
        <w:spacing w:line="480" w:lineRule="auto"/>
        <w:ind w:firstLine="720"/>
      </w:pPr>
      <w:r w:rsidRPr="003E7EE5">
        <w:t>Fourth</w:t>
      </w:r>
      <w:r w:rsidR="00E56D95" w:rsidRPr="003E7EE5">
        <w:t xml:space="preserve">, </w:t>
      </w:r>
      <w:r w:rsidR="00C80343" w:rsidRPr="003E7EE5">
        <w:t xml:space="preserve">our </w:t>
      </w:r>
      <w:r w:rsidR="00763FE6">
        <w:t>findings</w:t>
      </w:r>
      <w:r w:rsidR="00C80343" w:rsidRPr="003E7EE5">
        <w:t xml:space="preserve"> s</w:t>
      </w:r>
      <w:r w:rsidR="004B10F1" w:rsidRPr="003E7EE5">
        <w:t>uggest</w:t>
      </w:r>
      <w:r w:rsidR="00C80343" w:rsidRPr="003E7EE5">
        <w:t xml:space="preserve"> that</w:t>
      </w:r>
      <w:r w:rsidR="00B84C47" w:rsidRPr="003E7EE5">
        <w:t xml:space="preserve"> </w:t>
      </w:r>
      <w:r w:rsidR="00396C54" w:rsidRPr="003E7EE5">
        <w:t xml:space="preserve">increasing </w:t>
      </w:r>
      <w:r w:rsidR="00C11EB9">
        <w:t>GMR</w:t>
      </w:r>
      <w:r w:rsidR="00396C54" w:rsidRPr="003E7EE5">
        <w:t xml:space="preserve">s </w:t>
      </w:r>
      <w:r w:rsidR="00893559" w:rsidRPr="003E7EE5">
        <w:t>in times of uncertainty</w:t>
      </w:r>
      <w:r w:rsidR="00B84C47" w:rsidRPr="003E7EE5">
        <w:t xml:space="preserve"> </w:t>
      </w:r>
      <w:r w:rsidR="004B10F1" w:rsidRPr="003E7EE5">
        <w:t xml:space="preserve">intensifies </w:t>
      </w:r>
      <w:r w:rsidR="0028295D" w:rsidRPr="003E7EE5">
        <w:t xml:space="preserve">a </w:t>
      </w:r>
      <w:r w:rsidR="004B10F1" w:rsidRPr="003E7EE5">
        <w:t>firm’s resilience</w:t>
      </w:r>
      <w:r w:rsidR="00C80343" w:rsidRPr="003E7EE5">
        <w:t>.</w:t>
      </w:r>
      <w:r w:rsidR="00D96E07" w:rsidRPr="003E7EE5">
        <w:t xml:space="preserve"> </w:t>
      </w:r>
      <w:r w:rsidR="002513A0" w:rsidRPr="003E7EE5">
        <w:t>This finding</w:t>
      </w:r>
      <w:r w:rsidR="00D96E07" w:rsidRPr="003E7EE5">
        <w:t xml:space="preserve"> builds on</w:t>
      </w:r>
      <w:r w:rsidR="0041208E" w:rsidRPr="003E7EE5">
        <w:t xml:space="preserve"> previous</w:t>
      </w:r>
      <w:r w:rsidR="00D96E07" w:rsidRPr="003E7EE5">
        <w:t xml:space="preserve"> </w:t>
      </w:r>
      <w:r w:rsidR="00911BB9" w:rsidRPr="003E7EE5">
        <w:t>research</w:t>
      </w:r>
      <w:r w:rsidR="00D96E07" w:rsidRPr="003E7EE5">
        <w:t xml:space="preserve"> on </w:t>
      </w:r>
      <w:r w:rsidR="004C568E" w:rsidRPr="003E7EE5">
        <w:t xml:space="preserve">the availability of </w:t>
      </w:r>
      <w:r w:rsidR="00D96E07" w:rsidRPr="003E7EE5">
        <w:t xml:space="preserve">slack resources </w:t>
      </w:r>
      <w:r w:rsidR="004C568E" w:rsidRPr="003E7EE5">
        <w:t xml:space="preserve">for </w:t>
      </w:r>
      <w:r w:rsidR="00396C54" w:rsidRPr="003E7EE5">
        <w:rPr>
          <w:color w:val="000000" w:themeColor="text1"/>
        </w:rPr>
        <w:t xml:space="preserve">green marketing </w:t>
      </w:r>
      <w:r w:rsidR="00D96E07" w:rsidRPr="003E7EE5">
        <w:rPr>
          <w:color w:val="000000" w:themeColor="text1"/>
        </w:rPr>
        <w:t>(</w:t>
      </w:r>
      <w:r w:rsidR="00710E07" w:rsidRPr="003E7EE5">
        <w:rPr>
          <w:color w:val="000000" w:themeColor="text1"/>
        </w:rPr>
        <w:t>e.g.</w:t>
      </w:r>
      <w:r w:rsidR="00EC550C" w:rsidRPr="003E7EE5">
        <w:rPr>
          <w:color w:val="000000" w:themeColor="text1"/>
        </w:rPr>
        <w:t>,</w:t>
      </w:r>
      <w:r w:rsidR="00710E07" w:rsidRPr="003E7EE5">
        <w:rPr>
          <w:color w:val="000000" w:themeColor="text1"/>
        </w:rPr>
        <w:t xml:space="preserve"> Leonidou</w:t>
      </w:r>
      <w:r w:rsidR="00EB61AB" w:rsidRPr="003E7EE5">
        <w:rPr>
          <w:color w:val="000000" w:themeColor="text1"/>
        </w:rPr>
        <w:t xml:space="preserve"> </w:t>
      </w:r>
      <w:r w:rsidR="007E71B6" w:rsidRPr="003E7EE5">
        <w:rPr>
          <w:i/>
          <w:color w:val="000000" w:themeColor="text1"/>
        </w:rPr>
        <w:t>et al.</w:t>
      </w:r>
      <w:r w:rsidR="00EB61AB" w:rsidRPr="003E7EE5">
        <w:rPr>
          <w:color w:val="000000" w:themeColor="text1"/>
        </w:rPr>
        <w:t xml:space="preserve">, </w:t>
      </w:r>
      <w:r w:rsidR="00710E07" w:rsidRPr="003E7EE5">
        <w:rPr>
          <w:color w:val="000000" w:themeColor="text1"/>
        </w:rPr>
        <w:t>2013</w:t>
      </w:r>
      <w:r w:rsidR="00D96E07" w:rsidRPr="003E7EE5">
        <w:rPr>
          <w:color w:val="000000" w:themeColor="text1"/>
        </w:rPr>
        <w:t>)</w:t>
      </w:r>
      <w:r w:rsidR="0028295D" w:rsidRPr="003E7EE5">
        <w:rPr>
          <w:color w:val="000000" w:themeColor="text1"/>
        </w:rPr>
        <w:t>.</w:t>
      </w:r>
      <w:r w:rsidR="00A13C58" w:rsidRPr="003E7EE5">
        <w:rPr>
          <w:color w:val="000000" w:themeColor="text1"/>
        </w:rPr>
        <w:t xml:space="preserve"> </w:t>
      </w:r>
      <w:r w:rsidR="00763FE6">
        <w:rPr>
          <w:color w:val="000000" w:themeColor="text1"/>
        </w:rPr>
        <w:t>In a</w:t>
      </w:r>
      <w:r w:rsidR="0028295D" w:rsidRPr="003E7EE5">
        <w:rPr>
          <w:color w:val="000000" w:themeColor="text1"/>
        </w:rPr>
        <w:t>ddition</w:t>
      </w:r>
      <w:r w:rsidR="004D40BD" w:rsidRPr="003E7EE5">
        <w:rPr>
          <w:color w:val="000000" w:themeColor="text1"/>
        </w:rPr>
        <w:t>,</w:t>
      </w:r>
      <w:r w:rsidR="0028295D" w:rsidRPr="003E7EE5">
        <w:rPr>
          <w:color w:val="000000" w:themeColor="text1"/>
        </w:rPr>
        <w:t xml:space="preserve"> though,</w:t>
      </w:r>
      <w:r w:rsidR="004D40BD" w:rsidRPr="003E7EE5">
        <w:rPr>
          <w:color w:val="000000" w:themeColor="text1"/>
        </w:rPr>
        <w:t xml:space="preserve"> our study </w:t>
      </w:r>
      <w:r w:rsidR="0028295D" w:rsidRPr="003E7EE5">
        <w:rPr>
          <w:color w:val="000000" w:themeColor="text1"/>
        </w:rPr>
        <w:t xml:space="preserve">further </w:t>
      </w:r>
      <w:r w:rsidR="004D40BD" w:rsidRPr="003E7EE5">
        <w:rPr>
          <w:color w:val="000000" w:themeColor="text1"/>
        </w:rPr>
        <w:t>spe</w:t>
      </w:r>
      <w:r w:rsidR="00F8192C" w:rsidRPr="003E7EE5">
        <w:rPr>
          <w:color w:val="000000" w:themeColor="text1"/>
        </w:rPr>
        <w:t>cifi</w:t>
      </w:r>
      <w:r w:rsidR="004D40BD" w:rsidRPr="003E7EE5">
        <w:rPr>
          <w:color w:val="000000" w:themeColor="text1"/>
        </w:rPr>
        <w:t>es</w:t>
      </w:r>
      <w:r w:rsidR="004B10F1" w:rsidRPr="003E7EE5">
        <w:rPr>
          <w:color w:val="000000" w:themeColor="text1"/>
        </w:rPr>
        <w:t xml:space="preserve"> the type </w:t>
      </w:r>
      <w:r w:rsidR="0028295D" w:rsidRPr="003E7EE5">
        <w:rPr>
          <w:color w:val="000000" w:themeColor="text1"/>
        </w:rPr>
        <w:t xml:space="preserve">and context </w:t>
      </w:r>
      <w:r w:rsidR="004B10F1" w:rsidRPr="003E7EE5">
        <w:rPr>
          <w:color w:val="000000" w:themeColor="text1"/>
        </w:rPr>
        <w:t xml:space="preserve">of </w:t>
      </w:r>
      <w:r w:rsidR="0028295D" w:rsidRPr="003E7EE5">
        <w:rPr>
          <w:color w:val="000000" w:themeColor="text1"/>
        </w:rPr>
        <w:t xml:space="preserve">such slack </w:t>
      </w:r>
      <w:r w:rsidR="004B10F1" w:rsidRPr="003E7EE5">
        <w:rPr>
          <w:color w:val="000000" w:themeColor="text1"/>
        </w:rPr>
        <w:t>resources (i.e.</w:t>
      </w:r>
      <w:r w:rsidR="00EC550C" w:rsidRPr="003E7EE5">
        <w:rPr>
          <w:color w:val="000000" w:themeColor="text1"/>
        </w:rPr>
        <w:t>,</w:t>
      </w:r>
      <w:r w:rsidR="004B10F1" w:rsidRPr="003E7EE5">
        <w:rPr>
          <w:color w:val="000000" w:themeColor="text1"/>
        </w:rPr>
        <w:t xml:space="preserve"> </w:t>
      </w:r>
      <w:r w:rsidR="00C11EB9">
        <w:rPr>
          <w:color w:val="000000" w:themeColor="text1"/>
        </w:rPr>
        <w:t>GMR</w:t>
      </w:r>
      <w:r w:rsidR="0041208E" w:rsidRPr="003E7EE5">
        <w:rPr>
          <w:color w:val="000000" w:themeColor="text1"/>
        </w:rPr>
        <w:t xml:space="preserve">s during a </w:t>
      </w:r>
      <w:r w:rsidR="004B10F1" w:rsidRPr="003E7EE5">
        <w:rPr>
          <w:color w:val="000000" w:themeColor="text1"/>
        </w:rPr>
        <w:t>recession)</w:t>
      </w:r>
      <w:r w:rsidR="00D96E07" w:rsidRPr="003E7EE5">
        <w:rPr>
          <w:color w:val="000000" w:themeColor="text1"/>
        </w:rPr>
        <w:t>.</w:t>
      </w:r>
      <w:r w:rsidR="004C568E" w:rsidRPr="003E7EE5">
        <w:rPr>
          <w:color w:val="000000" w:themeColor="text1"/>
        </w:rPr>
        <w:t xml:space="preserve"> </w:t>
      </w:r>
      <w:r w:rsidR="00C45295" w:rsidRPr="003E7EE5">
        <w:t>Importantly</w:t>
      </w:r>
      <w:r w:rsidR="002513A0" w:rsidRPr="003E7EE5">
        <w:t xml:space="preserve">, </w:t>
      </w:r>
      <w:r w:rsidR="00A745BD" w:rsidRPr="003E7EE5">
        <w:t xml:space="preserve">our study </w:t>
      </w:r>
      <w:r w:rsidR="004D40BD" w:rsidRPr="003E7EE5">
        <w:t xml:space="preserve">also </w:t>
      </w:r>
      <w:r w:rsidR="00A745BD" w:rsidRPr="003E7EE5">
        <w:t xml:space="preserve">takes a step further by </w:t>
      </w:r>
      <w:r w:rsidR="00C45295" w:rsidRPr="003E7EE5">
        <w:t>obtaining objective data</w:t>
      </w:r>
      <w:r w:rsidR="00AE7B07" w:rsidRPr="003E7EE5">
        <w:t xml:space="preserve"> to provide </w:t>
      </w:r>
      <w:r w:rsidR="00D907A3" w:rsidRPr="003E7EE5">
        <w:t xml:space="preserve">fact-based </w:t>
      </w:r>
      <w:r w:rsidR="00AE7B07" w:rsidRPr="003E7EE5">
        <w:t xml:space="preserve">evidence </w:t>
      </w:r>
      <w:r w:rsidR="00763FE6">
        <w:t>for</w:t>
      </w:r>
      <w:r w:rsidR="00AE7B07" w:rsidRPr="003E7EE5">
        <w:t xml:space="preserve"> the relationship between GMS and long-term</w:t>
      </w:r>
      <w:r w:rsidR="00EC550C" w:rsidRPr="003E7EE5">
        <w:t>, post-crisis</w:t>
      </w:r>
      <w:r w:rsidR="00AE7B07" w:rsidRPr="003E7EE5">
        <w:t xml:space="preserve"> performance. Our </w:t>
      </w:r>
      <w:r w:rsidR="00763FE6">
        <w:t>findings</w:t>
      </w:r>
      <w:r w:rsidR="00763FE6" w:rsidRPr="003E7EE5">
        <w:t xml:space="preserve"> </w:t>
      </w:r>
      <w:r w:rsidR="00763FE6">
        <w:t>imply</w:t>
      </w:r>
      <w:r w:rsidR="00AE7B07" w:rsidRPr="003E7EE5">
        <w:t xml:space="preserve"> that investing in GMS in </w:t>
      </w:r>
      <w:r w:rsidR="00EC550C" w:rsidRPr="003E7EE5">
        <w:t>an uncertain business environment</w:t>
      </w:r>
      <w:r w:rsidR="00AE7B07" w:rsidRPr="003E7EE5">
        <w:t xml:space="preserve"> does pay</w:t>
      </w:r>
      <w:r w:rsidR="00763FE6">
        <w:t xml:space="preserve"> </w:t>
      </w:r>
      <w:r w:rsidR="00AE7B07" w:rsidRPr="003E7EE5">
        <w:t>off in the long run</w:t>
      </w:r>
      <w:r w:rsidR="00EC550C" w:rsidRPr="003E7EE5">
        <w:t>, but</w:t>
      </w:r>
      <w:r w:rsidR="00AE7B07" w:rsidRPr="003E7EE5">
        <w:t xml:space="preserve"> only for companies that increased investments</w:t>
      </w:r>
      <w:r w:rsidR="006D16E8" w:rsidRPr="003E7EE5">
        <w:t xml:space="preserve"> for green marketing activities</w:t>
      </w:r>
      <w:r w:rsidR="00AE7B07" w:rsidRPr="003E7EE5">
        <w:t xml:space="preserve"> during the crisis.</w:t>
      </w:r>
      <w:r w:rsidR="00FC7FBB" w:rsidRPr="003E7EE5">
        <w:t xml:space="preserve"> T</w:t>
      </w:r>
      <w:r w:rsidR="007E1F5E" w:rsidRPr="003E7EE5">
        <w:t xml:space="preserve">his finding </w:t>
      </w:r>
      <w:r w:rsidR="00FC7FBB" w:rsidRPr="003E7EE5">
        <w:t xml:space="preserve">corroborates and extends </w:t>
      </w:r>
      <w:r w:rsidR="007E1F5E" w:rsidRPr="003E7EE5">
        <w:t xml:space="preserve">previous studies in the wider management field </w:t>
      </w:r>
      <w:r w:rsidR="00763FE6">
        <w:t>in terms of</w:t>
      </w:r>
      <w:r w:rsidR="007E1F5E" w:rsidRPr="003E7EE5">
        <w:t xml:space="preserve"> the impact of sustainability</w:t>
      </w:r>
      <w:r w:rsidR="00BE1BA8" w:rsidRPr="003E7EE5">
        <w:t xml:space="preserve"> strategies</w:t>
      </w:r>
      <w:r w:rsidR="007E1F5E" w:rsidRPr="003E7EE5">
        <w:t xml:space="preserve"> and CSR investments on business performance after a </w:t>
      </w:r>
      <w:r w:rsidR="009F36AD" w:rsidRPr="003E7EE5">
        <w:t>recessio</w:t>
      </w:r>
      <w:r w:rsidR="007E1F5E" w:rsidRPr="003E7EE5">
        <w:t>n</w:t>
      </w:r>
      <w:r w:rsidR="009F36AD" w:rsidRPr="003E7EE5">
        <w:t xml:space="preserve"> (e.g.</w:t>
      </w:r>
      <w:r w:rsidR="00763FE6">
        <w:t>,</w:t>
      </w:r>
      <w:r w:rsidR="009F36AD" w:rsidRPr="003E7EE5">
        <w:t xml:space="preserve"> </w:t>
      </w:r>
      <w:r w:rsidR="009F36AD" w:rsidRPr="003E7EE5">
        <w:rPr>
          <w:color w:val="000000" w:themeColor="text1"/>
        </w:rPr>
        <w:t xml:space="preserve">Ioannou and </w:t>
      </w:r>
      <w:proofErr w:type="spellStart"/>
      <w:r w:rsidR="009F36AD" w:rsidRPr="003E7EE5">
        <w:rPr>
          <w:color w:val="000000" w:themeColor="text1"/>
        </w:rPr>
        <w:t>Serafeim</w:t>
      </w:r>
      <w:proofErr w:type="spellEnd"/>
      <w:r w:rsidR="009F36AD" w:rsidRPr="003E7EE5">
        <w:rPr>
          <w:color w:val="000000" w:themeColor="text1"/>
        </w:rPr>
        <w:t>, 2019)</w:t>
      </w:r>
      <w:r w:rsidR="00096979" w:rsidRPr="003E7EE5">
        <w:t>.</w:t>
      </w:r>
      <w:r w:rsidR="00EC20E7" w:rsidRPr="003E7EE5">
        <w:t xml:space="preserve"> </w:t>
      </w:r>
      <w:r w:rsidR="00763FE6">
        <w:t>S</w:t>
      </w:r>
      <w:r w:rsidR="00B00BB1" w:rsidRPr="003E7EE5">
        <w:t xml:space="preserve">trategy studies </w:t>
      </w:r>
      <w:r w:rsidR="00763FE6">
        <w:t xml:space="preserve">also </w:t>
      </w:r>
      <w:r w:rsidR="00B00BB1" w:rsidRPr="003E7EE5">
        <w:t>suggest that investing in strategic environmental practices contributes to organi</w:t>
      </w:r>
      <w:r w:rsidR="003E7EE5">
        <w:t>z</w:t>
      </w:r>
      <w:r w:rsidR="00B00BB1" w:rsidRPr="003E7EE5">
        <w:t>ational resilience and help</w:t>
      </w:r>
      <w:r w:rsidR="00763FE6">
        <w:t>s</w:t>
      </w:r>
      <w:r w:rsidR="00B00BB1" w:rsidRPr="003E7EE5">
        <w:t xml:space="preserve"> companies survive longer</w:t>
      </w:r>
      <w:r w:rsidR="007E1F5E" w:rsidRPr="003E7EE5">
        <w:t xml:space="preserve"> </w:t>
      </w:r>
      <w:r w:rsidR="006D16E8" w:rsidRPr="003E7EE5">
        <w:rPr>
          <w:color w:val="000000" w:themeColor="text1"/>
        </w:rPr>
        <w:t>(</w:t>
      </w:r>
      <w:proofErr w:type="spellStart"/>
      <w:r w:rsidR="007E1F5E" w:rsidRPr="003E7EE5">
        <w:rPr>
          <w:color w:val="000000" w:themeColor="text1"/>
        </w:rPr>
        <w:t>DesJardine</w:t>
      </w:r>
      <w:proofErr w:type="spellEnd"/>
      <w:r w:rsidR="00EB61AB" w:rsidRPr="003E7EE5">
        <w:rPr>
          <w:color w:val="000000" w:themeColor="text1"/>
        </w:rPr>
        <w:t xml:space="preserve"> </w:t>
      </w:r>
      <w:r w:rsidR="007E71B6" w:rsidRPr="003E7EE5">
        <w:rPr>
          <w:i/>
          <w:color w:val="000000" w:themeColor="text1"/>
        </w:rPr>
        <w:t>et al.</w:t>
      </w:r>
      <w:r w:rsidR="00EB61AB" w:rsidRPr="003E7EE5">
        <w:rPr>
          <w:color w:val="000000" w:themeColor="text1"/>
        </w:rPr>
        <w:t xml:space="preserve">, </w:t>
      </w:r>
      <w:r w:rsidR="007E1F5E" w:rsidRPr="003E7EE5">
        <w:rPr>
          <w:color w:val="000000" w:themeColor="text1"/>
        </w:rPr>
        <w:t>2019</w:t>
      </w:r>
      <w:r w:rsidR="00A13C58" w:rsidRPr="003E7EE5">
        <w:rPr>
          <w:color w:val="000000" w:themeColor="text1"/>
        </w:rPr>
        <w:t xml:space="preserve">; Flammer </w:t>
      </w:r>
      <w:r w:rsidR="007E71B6" w:rsidRPr="003E7EE5">
        <w:rPr>
          <w:color w:val="000000" w:themeColor="text1"/>
        </w:rPr>
        <w:t>and</w:t>
      </w:r>
      <w:r w:rsidR="00A13C58" w:rsidRPr="003E7EE5">
        <w:rPr>
          <w:color w:val="000000" w:themeColor="text1"/>
        </w:rPr>
        <w:t xml:space="preserve"> Ioannou, 2021</w:t>
      </w:r>
      <w:r w:rsidR="006D16E8" w:rsidRPr="003E7EE5">
        <w:rPr>
          <w:color w:val="000000" w:themeColor="text1"/>
        </w:rPr>
        <w:t>)</w:t>
      </w:r>
      <w:r w:rsidR="00B00BB1" w:rsidRPr="003E7EE5">
        <w:rPr>
          <w:color w:val="000000" w:themeColor="text1"/>
        </w:rPr>
        <w:t xml:space="preserve">. </w:t>
      </w:r>
      <w:r w:rsidR="00A21D57" w:rsidRPr="003E7EE5">
        <w:rPr>
          <w:color w:val="000000" w:themeColor="text1"/>
        </w:rPr>
        <w:t>Therefore, our work makes a novel contribution</w:t>
      </w:r>
      <w:r w:rsidR="00A21D57" w:rsidRPr="003E7EE5">
        <w:t xml:space="preserve"> </w:t>
      </w:r>
      <w:r w:rsidR="00763FE6">
        <w:t>to</w:t>
      </w:r>
      <w:r w:rsidR="00A21D57" w:rsidRPr="003E7EE5">
        <w:t xml:space="preserve"> the </w:t>
      </w:r>
      <w:r w:rsidR="00BB241D" w:rsidRPr="003E7EE5">
        <w:t>strategy</w:t>
      </w:r>
      <w:r w:rsidR="00A21D57" w:rsidRPr="003E7EE5">
        <w:t xml:space="preserve"> literature </w:t>
      </w:r>
      <w:r w:rsidR="003E53FF" w:rsidRPr="003E7EE5">
        <w:t xml:space="preserve">by </w:t>
      </w:r>
      <w:r w:rsidR="00BB241D" w:rsidRPr="003E7EE5">
        <w:t xml:space="preserve">suggesting that investing in a </w:t>
      </w:r>
      <w:r w:rsidR="00E5256D" w:rsidRPr="003E7EE5">
        <w:t xml:space="preserve">responsible, </w:t>
      </w:r>
      <w:r w:rsidR="00BB241D" w:rsidRPr="003E7EE5">
        <w:t>customer-focused strategy (i.e., GMS) during a recession can help companies achieve resilience an</w:t>
      </w:r>
      <w:r w:rsidR="00E5256D" w:rsidRPr="003E7EE5">
        <w:t>d positive long-term performance.</w:t>
      </w:r>
      <w:r w:rsidR="000311AD" w:rsidRPr="003E7EE5">
        <w:t xml:space="preserve"> </w:t>
      </w:r>
      <w:r w:rsidR="0028295D" w:rsidRPr="003E7EE5">
        <w:t>Relatedly</w:t>
      </w:r>
      <w:r w:rsidR="000311AD" w:rsidRPr="003E7EE5">
        <w:t xml:space="preserve">, our study </w:t>
      </w:r>
      <w:r w:rsidR="00A55A91" w:rsidRPr="003E7EE5">
        <w:t>corroborates</w:t>
      </w:r>
      <w:r w:rsidR="000311AD" w:rsidRPr="003E7EE5">
        <w:t xml:space="preserve"> previous studies </w:t>
      </w:r>
      <w:r w:rsidR="00763FE6">
        <w:t>on</w:t>
      </w:r>
      <w:r w:rsidR="000311AD" w:rsidRPr="003E7EE5">
        <w:t xml:space="preserve"> the importance of maintaining marketing investments during a crisis to</w:t>
      </w:r>
      <w:r w:rsidR="00A55A91" w:rsidRPr="003E7EE5">
        <w:t xml:space="preserve"> become post-recession winners </w:t>
      </w:r>
      <w:r w:rsidR="000311AD" w:rsidRPr="003E7EE5">
        <w:t xml:space="preserve">(Gulati </w:t>
      </w:r>
      <w:r w:rsidR="007E71B6" w:rsidRPr="003E7EE5">
        <w:rPr>
          <w:i/>
        </w:rPr>
        <w:lastRenderedPageBreak/>
        <w:t>et al.</w:t>
      </w:r>
      <w:r w:rsidR="000311AD" w:rsidRPr="003E7EE5">
        <w:t>, 2010; Srinivasan</w:t>
      </w:r>
      <w:r w:rsidR="001073B7" w:rsidRPr="003E7EE5">
        <w:t xml:space="preserve"> </w:t>
      </w:r>
      <w:r w:rsidR="007E71B6" w:rsidRPr="003E7EE5">
        <w:rPr>
          <w:i/>
        </w:rPr>
        <w:t>et al.</w:t>
      </w:r>
      <w:r w:rsidR="001073B7" w:rsidRPr="003E7EE5">
        <w:t>,</w:t>
      </w:r>
      <w:r w:rsidR="000311AD" w:rsidRPr="003E7EE5">
        <w:t xml:space="preserve"> 2005)</w:t>
      </w:r>
      <w:r w:rsidR="00A55A91" w:rsidRPr="003E7EE5">
        <w:t xml:space="preserve"> by extending these findings in the green marketing context</w:t>
      </w:r>
      <w:r w:rsidR="000311AD" w:rsidRPr="003E7EE5">
        <w:t xml:space="preserve">.   </w:t>
      </w:r>
    </w:p>
    <w:p w14:paraId="44D30816" w14:textId="7FA862C6" w:rsidR="00474EF6" w:rsidRPr="003E7EE5" w:rsidRDefault="00516893" w:rsidP="005E1791">
      <w:pPr>
        <w:spacing w:line="480" w:lineRule="auto"/>
        <w:ind w:firstLine="720"/>
        <w:rPr>
          <w:szCs w:val="22"/>
        </w:rPr>
      </w:pPr>
      <w:r w:rsidRPr="003E7EE5">
        <w:rPr>
          <w:szCs w:val="22"/>
        </w:rPr>
        <w:t>Finally</w:t>
      </w:r>
      <w:r w:rsidR="00396C54" w:rsidRPr="003E7EE5">
        <w:rPr>
          <w:szCs w:val="22"/>
        </w:rPr>
        <w:t>, our work reveals that firms fall under different strategic response types in terms of their decisions to</w:t>
      </w:r>
      <w:r w:rsidR="00FC7FBB" w:rsidRPr="003E7EE5">
        <w:rPr>
          <w:szCs w:val="22"/>
        </w:rPr>
        <w:t xml:space="preserve"> pursue a </w:t>
      </w:r>
      <w:r w:rsidR="001F5270" w:rsidRPr="003E7EE5">
        <w:rPr>
          <w:szCs w:val="22"/>
        </w:rPr>
        <w:t>GMS</w:t>
      </w:r>
      <w:r w:rsidR="00FC7FBB" w:rsidRPr="003E7EE5">
        <w:rPr>
          <w:szCs w:val="22"/>
        </w:rPr>
        <w:t xml:space="preserve"> and</w:t>
      </w:r>
      <w:r w:rsidR="00396C54" w:rsidRPr="003E7EE5">
        <w:rPr>
          <w:szCs w:val="22"/>
        </w:rPr>
        <w:t xml:space="preserve"> invest in green marketing </w:t>
      </w:r>
      <w:r w:rsidR="00FC7FBB" w:rsidRPr="003E7EE5">
        <w:rPr>
          <w:szCs w:val="22"/>
        </w:rPr>
        <w:t xml:space="preserve">initiatives </w:t>
      </w:r>
      <w:r w:rsidR="00396C54" w:rsidRPr="003E7EE5">
        <w:rPr>
          <w:szCs w:val="22"/>
        </w:rPr>
        <w:t>under turbulent economic conditions</w:t>
      </w:r>
      <w:r w:rsidR="00871ECB" w:rsidRPr="003E7EE5">
        <w:rPr>
          <w:szCs w:val="22"/>
        </w:rPr>
        <w:t xml:space="preserve">. In doing so, our research </w:t>
      </w:r>
      <w:r w:rsidR="00FC7FBB" w:rsidRPr="003E7EE5">
        <w:rPr>
          <w:szCs w:val="22"/>
        </w:rPr>
        <w:t xml:space="preserve">offers an empirically validated typology </w:t>
      </w:r>
      <w:r w:rsidR="00871ECB" w:rsidRPr="003E7EE5">
        <w:rPr>
          <w:szCs w:val="22"/>
        </w:rPr>
        <w:t>of green st</w:t>
      </w:r>
      <w:r w:rsidR="00BE1328">
        <w:rPr>
          <w:szCs w:val="22"/>
        </w:rPr>
        <w:t>rat</w:t>
      </w:r>
      <w:r w:rsidR="00871ECB" w:rsidRPr="003E7EE5">
        <w:rPr>
          <w:szCs w:val="22"/>
        </w:rPr>
        <w:t>egy responses</w:t>
      </w:r>
      <w:r w:rsidR="00F50F9E" w:rsidRPr="003E7EE5">
        <w:rPr>
          <w:szCs w:val="22"/>
        </w:rPr>
        <w:t xml:space="preserve"> during crises</w:t>
      </w:r>
      <w:r w:rsidR="00396C54" w:rsidRPr="003E7EE5">
        <w:rPr>
          <w:szCs w:val="22"/>
        </w:rPr>
        <w:t xml:space="preserve">. </w:t>
      </w:r>
      <w:r w:rsidR="00EB0C3C" w:rsidRPr="003E7EE5">
        <w:rPr>
          <w:szCs w:val="22"/>
        </w:rPr>
        <w:t xml:space="preserve">Some firms regard economic downturns as opportunities to invest in or reinforce their existing </w:t>
      </w:r>
      <w:r w:rsidR="006D0D47" w:rsidRPr="003E7EE5">
        <w:rPr>
          <w:szCs w:val="22"/>
        </w:rPr>
        <w:t>GMS</w:t>
      </w:r>
      <w:r w:rsidR="00EB0C3C" w:rsidRPr="003E7EE5">
        <w:rPr>
          <w:szCs w:val="22"/>
        </w:rPr>
        <w:t xml:space="preserve"> (i.e., </w:t>
      </w:r>
      <w:r w:rsidR="006B40C7" w:rsidRPr="003E7EE5">
        <w:rPr>
          <w:szCs w:val="22"/>
        </w:rPr>
        <w:t xml:space="preserve">strategic, </w:t>
      </w:r>
      <w:r w:rsidR="00BE1BA8" w:rsidRPr="003E7EE5">
        <w:rPr>
          <w:szCs w:val="22"/>
        </w:rPr>
        <w:t>cautious</w:t>
      </w:r>
      <w:r w:rsidR="00763FE6">
        <w:rPr>
          <w:szCs w:val="22"/>
        </w:rPr>
        <w:t>,</w:t>
      </w:r>
      <w:r w:rsidR="006B40C7" w:rsidRPr="003E7EE5">
        <w:rPr>
          <w:szCs w:val="22"/>
        </w:rPr>
        <w:t xml:space="preserve"> and opportunistic</w:t>
      </w:r>
      <w:r w:rsidR="00BE1BA8" w:rsidRPr="003E7EE5">
        <w:rPr>
          <w:szCs w:val="22"/>
        </w:rPr>
        <w:t xml:space="preserve"> green investors</w:t>
      </w:r>
      <w:r w:rsidR="00EB0C3C" w:rsidRPr="003E7EE5">
        <w:rPr>
          <w:szCs w:val="22"/>
        </w:rPr>
        <w:t>)</w:t>
      </w:r>
      <w:r w:rsidR="00513C1A" w:rsidRPr="003E7EE5">
        <w:rPr>
          <w:szCs w:val="22"/>
        </w:rPr>
        <w:t xml:space="preserve">; </w:t>
      </w:r>
      <w:r w:rsidR="00EB0C3C" w:rsidRPr="003E7EE5">
        <w:rPr>
          <w:szCs w:val="22"/>
        </w:rPr>
        <w:t xml:space="preserve">others decide to divest from green marketing activities by approaching green </w:t>
      </w:r>
      <w:r w:rsidR="00FC7FBB" w:rsidRPr="003E7EE5">
        <w:rPr>
          <w:szCs w:val="22"/>
        </w:rPr>
        <w:t>investments</w:t>
      </w:r>
      <w:r w:rsidR="00EB0C3C" w:rsidRPr="003E7EE5">
        <w:rPr>
          <w:szCs w:val="22"/>
        </w:rPr>
        <w:t xml:space="preserve"> as </w:t>
      </w:r>
      <w:r w:rsidR="00FC7FBB" w:rsidRPr="003E7EE5">
        <w:rPr>
          <w:szCs w:val="22"/>
        </w:rPr>
        <w:t>un</w:t>
      </w:r>
      <w:r w:rsidR="00EB0C3C" w:rsidRPr="003E7EE5">
        <w:rPr>
          <w:szCs w:val="22"/>
        </w:rPr>
        <w:t>productive expenses</w:t>
      </w:r>
      <w:r w:rsidR="00763FE6">
        <w:rPr>
          <w:szCs w:val="22"/>
        </w:rPr>
        <w:t xml:space="preserve"> (i.e., </w:t>
      </w:r>
      <w:r w:rsidR="009178BB">
        <w:rPr>
          <w:szCs w:val="22"/>
        </w:rPr>
        <w:t xml:space="preserve">green </w:t>
      </w:r>
      <w:proofErr w:type="spellStart"/>
      <w:r w:rsidR="00763FE6" w:rsidRPr="003E7EE5">
        <w:rPr>
          <w:szCs w:val="22"/>
        </w:rPr>
        <w:t>disinvestor</w:t>
      </w:r>
      <w:r w:rsidR="00763FE6">
        <w:rPr>
          <w:szCs w:val="22"/>
        </w:rPr>
        <w:t>s</w:t>
      </w:r>
      <w:proofErr w:type="spellEnd"/>
      <w:r w:rsidR="00763FE6">
        <w:rPr>
          <w:szCs w:val="22"/>
        </w:rPr>
        <w:t>),</w:t>
      </w:r>
      <w:r w:rsidR="00513C1A" w:rsidRPr="003E7EE5">
        <w:rPr>
          <w:szCs w:val="22"/>
        </w:rPr>
        <w:t xml:space="preserve"> </w:t>
      </w:r>
      <w:r w:rsidR="00763FE6">
        <w:rPr>
          <w:szCs w:val="22"/>
        </w:rPr>
        <w:t xml:space="preserve">and still </w:t>
      </w:r>
      <w:r w:rsidR="00513C1A" w:rsidRPr="003E7EE5">
        <w:rPr>
          <w:szCs w:val="22"/>
        </w:rPr>
        <w:t xml:space="preserve">others </w:t>
      </w:r>
      <w:r w:rsidR="00EB0C3C" w:rsidRPr="003E7EE5">
        <w:rPr>
          <w:szCs w:val="22"/>
        </w:rPr>
        <w:t xml:space="preserve">remain </w:t>
      </w:r>
      <w:r w:rsidR="00A0000D" w:rsidRPr="003E7EE5">
        <w:rPr>
          <w:szCs w:val="22"/>
        </w:rPr>
        <w:t xml:space="preserve">detached from green marketing activities altogether (i.e., </w:t>
      </w:r>
      <w:r w:rsidR="00BE1BA8" w:rsidRPr="003E7EE5">
        <w:rPr>
          <w:szCs w:val="22"/>
        </w:rPr>
        <w:t xml:space="preserve">green </w:t>
      </w:r>
      <w:r w:rsidR="00A0000D" w:rsidRPr="003E7EE5">
        <w:rPr>
          <w:szCs w:val="22"/>
        </w:rPr>
        <w:t>reluctant</w:t>
      </w:r>
      <w:r w:rsidR="006B40C7" w:rsidRPr="003E7EE5">
        <w:rPr>
          <w:szCs w:val="22"/>
        </w:rPr>
        <w:t xml:space="preserve">s and </w:t>
      </w:r>
      <w:r w:rsidR="00A0000D" w:rsidRPr="003E7EE5">
        <w:rPr>
          <w:szCs w:val="22"/>
        </w:rPr>
        <w:t xml:space="preserve">non-believers). </w:t>
      </w:r>
      <w:r w:rsidR="00FC7FBB" w:rsidRPr="003E7EE5">
        <w:rPr>
          <w:szCs w:val="22"/>
        </w:rPr>
        <w:t xml:space="preserve">Our </w:t>
      </w:r>
      <w:r w:rsidR="00A0000D" w:rsidRPr="003E7EE5">
        <w:rPr>
          <w:szCs w:val="22"/>
        </w:rPr>
        <w:t>typology not only captures alternative strategic responses of firms under crisis conditions but also accounts for much of the variance in firm</w:t>
      </w:r>
      <w:r w:rsidR="00763FE6">
        <w:rPr>
          <w:szCs w:val="22"/>
        </w:rPr>
        <w:t>s’</w:t>
      </w:r>
      <w:r w:rsidR="00A0000D" w:rsidRPr="003E7EE5">
        <w:rPr>
          <w:szCs w:val="22"/>
        </w:rPr>
        <w:t xml:space="preserve"> resilience under economic crisis conditions.</w:t>
      </w:r>
    </w:p>
    <w:p w14:paraId="3EE9A5C8" w14:textId="290FA5C6" w:rsidR="00002A61" w:rsidRPr="003E7EE5" w:rsidRDefault="00FC2877" w:rsidP="005E1791">
      <w:pPr>
        <w:spacing w:line="480" w:lineRule="auto"/>
        <w:outlineLvl w:val="0"/>
        <w:rPr>
          <w:i/>
          <w:iCs/>
        </w:rPr>
      </w:pPr>
      <w:r w:rsidRPr="003E7EE5">
        <w:rPr>
          <w:i/>
          <w:iCs/>
        </w:rPr>
        <w:t xml:space="preserve">Managerial </w:t>
      </w:r>
      <w:r w:rsidR="00EB7D6B">
        <w:rPr>
          <w:i/>
          <w:iCs/>
        </w:rPr>
        <w:t>i</w:t>
      </w:r>
      <w:r w:rsidR="00DE220F" w:rsidRPr="003E7EE5">
        <w:rPr>
          <w:i/>
          <w:iCs/>
        </w:rPr>
        <w:t>mplications</w:t>
      </w:r>
    </w:p>
    <w:p w14:paraId="368FFE86" w14:textId="4CD881E3" w:rsidR="00552373" w:rsidRPr="003E7EE5" w:rsidRDefault="00FC672B" w:rsidP="0002237B">
      <w:pPr>
        <w:spacing w:line="480" w:lineRule="auto"/>
      </w:pPr>
      <w:r w:rsidRPr="003E7EE5">
        <w:t>This study</w:t>
      </w:r>
      <w:r w:rsidR="0008591A" w:rsidRPr="003E7EE5">
        <w:t xml:space="preserve"> offers </w:t>
      </w:r>
      <w:r w:rsidR="009F3ED9" w:rsidRPr="003E7EE5">
        <w:t>significant</w:t>
      </w:r>
      <w:r w:rsidR="000C63AC" w:rsidRPr="003E7EE5">
        <w:t xml:space="preserve"> </w:t>
      </w:r>
      <w:r w:rsidR="00057B57">
        <w:t xml:space="preserve">guidance to </w:t>
      </w:r>
      <w:r w:rsidR="00FC2877" w:rsidRPr="003E7EE5">
        <w:t>managers</w:t>
      </w:r>
      <w:r w:rsidR="00667DF0" w:rsidRPr="003E7EE5">
        <w:t xml:space="preserve"> </w:t>
      </w:r>
      <w:r w:rsidR="00057B57">
        <w:t xml:space="preserve">on how </w:t>
      </w:r>
      <w:r w:rsidR="00667DF0" w:rsidRPr="003E7EE5">
        <w:t>to navigate the</w:t>
      </w:r>
      <w:r w:rsidR="000128FD" w:rsidRPr="003E7EE5">
        <w:t>ir</w:t>
      </w:r>
      <w:r w:rsidR="00667DF0" w:rsidRPr="003E7EE5">
        <w:t xml:space="preserve"> business performance </w:t>
      </w:r>
      <w:r w:rsidR="00057B57">
        <w:t>during</w:t>
      </w:r>
      <w:r w:rsidR="00667DF0" w:rsidRPr="003E7EE5">
        <w:t xml:space="preserve"> and </w:t>
      </w:r>
      <w:r w:rsidR="00057B57">
        <w:t xml:space="preserve">after a </w:t>
      </w:r>
      <w:r w:rsidR="00667DF0" w:rsidRPr="003E7EE5">
        <w:t>crisis</w:t>
      </w:r>
      <w:r w:rsidR="000C63AC" w:rsidRPr="003E7EE5">
        <w:t xml:space="preserve">. </w:t>
      </w:r>
      <w:r w:rsidR="00FF143B" w:rsidRPr="003E7EE5">
        <w:t>One of the major challenges of recession</w:t>
      </w:r>
      <w:r w:rsidR="00534DBE" w:rsidRPr="003E7EE5">
        <w:t>s</w:t>
      </w:r>
      <w:r w:rsidR="00FF143B" w:rsidRPr="003E7EE5">
        <w:t xml:space="preserve"> is that </w:t>
      </w:r>
      <w:r w:rsidR="000128FD" w:rsidRPr="003E7EE5">
        <w:t>they trigger</w:t>
      </w:r>
      <w:r w:rsidR="00FF143B" w:rsidRPr="003E7EE5">
        <w:t xml:space="preserve"> </w:t>
      </w:r>
      <w:r w:rsidR="00B35830" w:rsidRPr="003E7EE5">
        <w:t>budget reduction</w:t>
      </w:r>
      <w:r w:rsidR="000128FD" w:rsidRPr="003E7EE5">
        <w:t>s</w:t>
      </w:r>
      <w:r w:rsidR="00534DBE" w:rsidRPr="003E7EE5">
        <w:t xml:space="preserve"> and </w:t>
      </w:r>
      <w:r w:rsidR="00057B57">
        <w:t xml:space="preserve">force </w:t>
      </w:r>
      <w:r w:rsidR="00534DBE" w:rsidRPr="003E7EE5">
        <w:t xml:space="preserve">difficult decisions </w:t>
      </w:r>
      <w:r w:rsidR="00057B57">
        <w:t>on</w:t>
      </w:r>
      <w:r w:rsidR="00534DBE" w:rsidRPr="003E7EE5">
        <w:t xml:space="preserve"> resource </w:t>
      </w:r>
      <w:r w:rsidR="002B3E75" w:rsidRPr="003E7EE5">
        <w:t>redeployment</w:t>
      </w:r>
      <w:r w:rsidR="00534DBE" w:rsidRPr="003E7EE5">
        <w:t xml:space="preserve"> among alternative strategic options</w:t>
      </w:r>
      <w:r w:rsidR="00FF143B" w:rsidRPr="003E7EE5">
        <w:t xml:space="preserve">. </w:t>
      </w:r>
      <w:r w:rsidR="00534DBE" w:rsidRPr="003E7EE5">
        <w:t xml:space="preserve">Sustainability and marketing budgets are </w:t>
      </w:r>
      <w:r w:rsidR="00F024D3" w:rsidRPr="003E7EE5">
        <w:t>often</w:t>
      </w:r>
      <w:r w:rsidR="00534DBE" w:rsidRPr="003E7EE5">
        <w:t xml:space="preserve"> the first to be cut in times of uncertainty</w:t>
      </w:r>
      <w:r w:rsidR="00057B57">
        <w:t>,</w:t>
      </w:r>
      <w:r w:rsidR="00534DBE" w:rsidRPr="003E7EE5">
        <w:t xml:space="preserve"> as they are commonly perceived as contributing less to </w:t>
      </w:r>
      <w:r w:rsidR="000128FD" w:rsidRPr="003E7EE5">
        <w:t xml:space="preserve">the </w:t>
      </w:r>
      <w:r w:rsidR="00534DBE" w:rsidRPr="003E7EE5">
        <w:t>firm</w:t>
      </w:r>
      <w:r w:rsidR="000128FD" w:rsidRPr="003E7EE5">
        <w:t>’s</w:t>
      </w:r>
      <w:r w:rsidR="00534DBE" w:rsidRPr="003E7EE5">
        <w:t xml:space="preserve"> survival in the short </w:t>
      </w:r>
      <w:r w:rsidR="00057B57">
        <w:t>run</w:t>
      </w:r>
      <w:r w:rsidR="00534DBE" w:rsidRPr="003E7EE5">
        <w:t xml:space="preserve"> </w:t>
      </w:r>
      <w:r w:rsidR="00651729" w:rsidRPr="003E7EE5">
        <w:t>(Srinivasan</w:t>
      </w:r>
      <w:r w:rsidR="001073B7" w:rsidRPr="003E7EE5">
        <w:t xml:space="preserve"> </w:t>
      </w:r>
      <w:r w:rsidR="007E71B6" w:rsidRPr="003E7EE5">
        <w:rPr>
          <w:i/>
        </w:rPr>
        <w:t>et al.</w:t>
      </w:r>
      <w:r w:rsidR="001073B7" w:rsidRPr="003E7EE5">
        <w:t xml:space="preserve">, </w:t>
      </w:r>
      <w:r w:rsidR="00651729" w:rsidRPr="003E7EE5">
        <w:t>2005)</w:t>
      </w:r>
      <w:r w:rsidR="00534DBE" w:rsidRPr="003E7EE5">
        <w:t xml:space="preserve">. </w:t>
      </w:r>
      <w:r w:rsidR="000225B1" w:rsidRPr="003E7EE5">
        <w:t>However, s</w:t>
      </w:r>
      <w:r w:rsidRPr="003E7EE5">
        <w:t xml:space="preserve">uch </w:t>
      </w:r>
      <w:r w:rsidR="000225B1" w:rsidRPr="003E7EE5">
        <w:t xml:space="preserve">divestment </w:t>
      </w:r>
      <w:r w:rsidRPr="003E7EE5">
        <w:t>decision</w:t>
      </w:r>
      <w:r w:rsidR="000225B1" w:rsidRPr="003E7EE5">
        <w:t>s</w:t>
      </w:r>
      <w:r w:rsidR="00EC550C" w:rsidRPr="003E7EE5">
        <w:t xml:space="preserve"> </w:t>
      </w:r>
      <w:r w:rsidR="00057B57">
        <w:t xml:space="preserve">are </w:t>
      </w:r>
      <w:r w:rsidR="000128FD" w:rsidRPr="003E7EE5">
        <w:t xml:space="preserve">often </w:t>
      </w:r>
      <w:r w:rsidRPr="003E7EE5">
        <w:t>a double-</w:t>
      </w:r>
      <w:r w:rsidR="00057B57">
        <w:t>edged</w:t>
      </w:r>
      <w:r w:rsidRPr="003E7EE5">
        <w:t xml:space="preserve"> sword as </w:t>
      </w:r>
      <w:r w:rsidR="000225B1" w:rsidRPr="003E7EE5">
        <w:t xml:space="preserve">they </w:t>
      </w:r>
      <w:r w:rsidR="000128FD" w:rsidRPr="003E7EE5">
        <w:t>end up hurting</w:t>
      </w:r>
      <w:r w:rsidRPr="003E7EE5">
        <w:t xml:space="preserve"> </w:t>
      </w:r>
      <w:r w:rsidR="000225B1" w:rsidRPr="003E7EE5">
        <w:t xml:space="preserve">the </w:t>
      </w:r>
      <w:r w:rsidRPr="003E7EE5">
        <w:t xml:space="preserve">firm’s ability to thrive in the long run. </w:t>
      </w:r>
      <w:r w:rsidR="009B314C" w:rsidRPr="003E7EE5">
        <w:t xml:space="preserve">Our </w:t>
      </w:r>
      <w:r w:rsidR="00057B57">
        <w:t>findings</w:t>
      </w:r>
      <w:r w:rsidR="009B314C" w:rsidRPr="003E7EE5">
        <w:t xml:space="preserve"> show that </w:t>
      </w:r>
      <w:r w:rsidR="000225B1" w:rsidRPr="003E7EE5">
        <w:t xml:space="preserve">pursuing and financially supporting a </w:t>
      </w:r>
      <w:r w:rsidRPr="003E7EE5">
        <w:t>GMS</w:t>
      </w:r>
      <w:r w:rsidR="00340725" w:rsidRPr="003E7EE5">
        <w:t xml:space="preserve"> </w:t>
      </w:r>
      <w:r w:rsidR="000225B1" w:rsidRPr="003E7EE5">
        <w:t>balances</w:t>
      </w:r>
      <w:r w:rsidR="00351C7E" w:rsidRPr="003E7EE5">
        <w:t xml:space="preserve"> purpose with profit</w:t>
      </w:r>
      <w:r w:rsidR="00057B57">
        <w:t>,</w:t>
      </w:r>
      <w:r w:rsidR="00757822" w:rsidRPr="003E7EE5">
        <w:t xml:space="preserve"> as i</w:t>
      </w:r>
      <w:r w:rsidRPr="003E7EE5">
        <w:t xml:space="preserve">t improves resilience </w:t>
      </w:r>
      <w:r w:rsidR="00EF5581" w:rsidRPr="003E7EE5">
        <w:t>during a recession</w:t>
      </w:r>
      <w:r w:rsidR="000225B1" w:rsidRPr="003E7EE5">
        <w:t xml:space="preserve"> and contributes to long-term performance</w:t>
      </w:r>
      <w:r w:rsidR="00EF5581" w:rsidRPr="003E7EE5">
        <w:t xml:space="preserve"> in a responsible manner.</w:t>
      </w:r>
      <w:r w:rsidR="00757822" w:rsidRPr="003E7EE5">
        <w:t xml:space="preserve"> </w:t>
      </w:r>
      <w:r w:rsidR="00057B57">
        <w:t>Thus</w:t>
      </w:r>
      <w:r w:rsidR="009F3ED9" w:rsidRPr="003E7EE5">
        <w:t xml:space="preserve">, </w:t>
      </w:r>
      <w:r w:rsidR="00057B57">
        <w:t xml:space="preserve">putting </w:t>
      </w:r>
      <w:r w:rsidR="009F3ED9" w:rsidRPr="003E7EE5">
        <w:t xml:space="preserve">strategic emphasis on environmental sustainability during recessionary periods </w:t>
      </w:r>
      <w:r w:rsidR="00057B57" w:rsidRPr="003E7EE5">
        <w:t xml:space="preserve">makes sense </w:t>
      </w:r>
      <w:r w:rsidR="009F3ED9" w:rsidRPr="003E7EE5">
        <w:t xml:space="preserve">to enhance resilience, reduce costs, and create value </w:t>
      </w:r>
      <w:r w:rsidR="009F3ED9" w:rsidRPr="003E7EE5">
        <w:lastRenderedPageBreak/>
        <w:t xml:space="preserve">(McKinsey </w:t>
      </w:r>
      <w:r w:rsidR="0043222C" w:rsidRPr="003E7EE5">
        <w:t>&amp;</w:t>
      </w:r>
      <w:r w:rsidR="009F3ED9" w:rsidRPr="003E7EE5">
        <w:t xml:space="preserve"> Company, 2022).</w:t>
      </w:r>
      <w:r w:rsidR="00617A5D" w:rsidRPr="003E7EE5">
        <w:t xml:space="preserve"> </w:t>
      </w:r>
      <w:r w:rsidR="000128FD" w:rsidRPr="003E7EE5">
        <w:t xml:space="preserve">This </w:t>
      </w:r>
      <w:r w:rsidR="00057B57">
        <w:t xml:space="preserve">suggestion </w:t>
      </w:r>
      <w:r w:rsidR="000128FD" w:rsidRPr="003E7EE5">
        <w:t>seems to resonate with real</w:t>
      </w:r>
      <w:r w:rsidR="00057B57">
        <w:t>-</w:t>
      </w:r>
      <w:r w:rsidR="000128FD" w:rsidRPr="003E7EE5">
        <w:t xml:space="preserve">world practice. </w:t>
      </w:r>
      <w:r w:rsidR="00446A18" w:rsidRPr="003E7EE5">
        <w:t>For example, Unilever continued to invest in green marketing during economic challenges by promoting its sustainable brands such as Dove and emphasizing environmental friendliness in its communication</w:t>
      </w:r>
      <w:r w:rsidR="00DB7F38">
        <w:t>s</w:t>
      </w:r>
      <w:r w:rsidR="00446A18" w:rsidRPr="003E7EE5">
        <w:t xml:space="preserve"> (</w:t>
      </w:r>
      <w:r w:rsidR="00C968C4">
        <w:t>Stewart</w:t>
      </w:r>
      <w:r w:rsidR="00446A18" w:rsidRPr="003E7EE5">
        <w:t>, 2022).</w:t>
      </w:r>
    </w:p>
    <w:p w14:paraId="60654390" w14:textId="79E23B1E" w:rsidR="00FB71CB" w:rsidRPr="003E7EE5" w:rsidRDefault="00A04978" w:rsidP="00A04978">
      <w:pPr>
        <w:spacing w:line="480" w:lineRule="auto"/>
        <w:ind w:firstLine="720"/>
      </w:pPr>
      <w:r w:rsidRPr="003E7EE5">
        <w:t>Furthermore, o</w:t>
      </w:r>
      <w:r w:rsidR="007B21F1" w:rsidRPr="003E7EE5">
        <w:t xml:space="preserve">ur study documents that firms </w:t>
      </w:r>
      <w:r w:rsidR="00DB7F38">
        <w:t>that</w:t>
      </w:r>
      <w:r w:rsidR="007B61B9" w:rsidRPr="003E7EE5">
        <w:t xml:space="preserve"> </w:t>
      </w:r>
      <w:r w:rsidR="007B21F1" w:rsidRPr="003E7EE5">
        <w:t>increased their investment</w:t>
      </w:r>
      <w:r w:rsidR="00030CE9" w:rsidRPr="003E7EE5">
        <w:t>s</w:t>
      </w:r>
      <w:r w:rsidR="007B21F1" w:rsidRPr="003E7EE5">
        <w:t xml:space="preserve"> in </w:t>
      </w:r>
      <w:r w:rsidR="000870AF" w:rsidRPr="003E7EE5">
        <w:t xml:space="preserve">green marketing </w:t>
      </w:r>
      <w:r w:rsidR="002C4571" w:rsidRPr="003E7EE5">
        <w:t xml:space="preserve">activities </w:t>
      </w:r>
      <w:r w:rsidR="00DB7F38">
        <w:t>had</w:t>
      </w:r>
      <w:r w:rsidR="00F37EF6" w:rsidRPr="003E7EE5">
        <w:t xml:space="preserve"> higher financial performance in the post-crisis years</w:t>
      </w:r>
      <w:r w:rsidR="007B21F1" w:rsidRPr="003E7EE5">
        <w:t xml:space="preserve">. </w:t>
      </w:r>
      <w:r w:rsidR="00DB7F38">
        <w:t>By</w:t>
      </w:r>
      <w:r w:rsidR="00F37EF6" w:rsidRPr="003E7EE5">
        <w:t xml:space="preserve"> contrast, </w:t>
      </w:r>
      <w:r w:rsidR="00DB7F38">
        <w:t>those</w:t>
      </w:r>
      <w:r w:rsidR="00F37EF6" w:rsidRPr="003E7EE5">
        <w:t xml:space="preserve"> that only</w:t>
      </w:r>
      <w:r w:rsidR="002C4571" w:rsidRPr="003E7EE5">
        <w:t xml:space="preserve"> sustained or decreased their investments in GMS did not perform better </w:t>
      </w:r>
      <w:r w:rsidR="00EC550C" w:rsidRPr="003E7EE5">
        <w:t>after the crisis</w:t>
      </w:r>
      <w:r w:rsidR="002C4571" w:rsidRPr="003E7EE5">
        <w:t xml:space="preserve">. </w:t>
      </w:r>
      <w:r w:rsidR="000225B1" w:rsidRPr="003E7EE5">
        <w:t>Relatedly, during recessions</w:t>
      </w:r>
      <w:r w:rsidR="00030CE9" w:rsidRPr="003E7EE5">
        <w:t>,</w:t>
      </w:r>
      <w:r w:rsidR="000225B1" w:rsidRPr="003E7EE5">
        <w:t xml:space="preserve"> when access to capital is limited, firms are particularly worried </w:t>
      </w:r>
      <w:r w:rsidR="006C1BB6" w:rsidRPr="003E7EE5">
        <w:t>about</w:t>
      </w:r>
      <w:r w:rsidR="000225B1" w:rsidRPr="003E7EE5">
        <w:t xml:space="preserve"> their ability to remain credible in the eyes of investors</w:t>
      </w:r>
      <w:r w:rsidR="006C1BB6" w:rsidRPr="003E7EE5">
        <w:t xml:space="preserve"> and capital lenders</w:t>
      </w:r>
      <w:r w:rsidR="000225B1" w:rsidRPr="003E7EE5">
        <w:t xml:space="preserve">. Although our analysis did not focus on </w:t>
      </w:r>
      <w:r w:rsidR="006C1BB6" w:rsidRPr="003E7EE5">
        <w:t>debtor trustw</w:t>
      </w:r>
      <w:r w:rsidR="00EC33C3" w:rsidRPr="003E7EE5">
        <w:t>o</w:t>
      </w:r>
      <w:r w:rsidR="006C1BB6" w:rsidRPr="003E7EE5">
        <w:t>rthiness</w:t>
      </w:r>
      <w:r w:rsidR="000225B1" w:rsidRPr="003E7EE5">
        <w:t xml:space="preserve"> as a dimension of crisis performance, </w:t>
      </w:r>
      <w:r w:rsidR="006C1BB6" w:rsidRPr="003E7EE5">
        <w:t>an additional analysis of our sample firms suggest</w:t>
      </w:r>
      <w:r w:rsidR="00DB7F38">
        <w:t>s</w:t>
      </w:r>
      <w:r w:rsidR="006C1BB6" w:rsidRPr="003E7EE5">
        <w:t xml:space="preserve"> that firms that actively pursued and invested in </w:t>
      </w:r>
      <w:r w:rsidR="006D0D47" w:rsidRPr="003E7EE5">
        <w:t>GMSs</w:t>
      </w:r>
      <w:r w:rsidR="006C1BB6" w:rsidRPr="003E7EE5">
        <w:t xml:space="preserve"> during the recession were th</w:t>
      </w:r>
      <w:r w:rsidR="00DB7F38">
        <w:t>os</w:t>
      </w:r>
      <w:r w:rsidR="006C1BB6" w:rsidRPr="003E7EE5">
        <w:t>e that scored higher on credit rating indices (e.g., ICAP score)</w:t>
      </w:r>
      <w:r w:rsidR="00DB7F38">
        <w:t>.</w:t>
      </w:r>
      <w:r w:rsidR="006C1BB6" w:rsidRPr="003E7EE5">
        <w:rPr>
          <w:rStyle w:val="FootnoteReference"/>
        </w:rPr>
        <w:footnoteReference w:id="3"/>
      </w:r>
      <w:r w:rsidR="006C1BB6" w:rsidRPr="003E7EE5">
        <w:t xml:space="preserve"> This </w:t>
      </w:r>
      <w:r w:rsidR="00DB7F38">
        <w:t xml:space="preserve">finding </w:t>
      </w:r>
      <w:r w:rsidR="006C1BB6" w:rsidRPr="003E7EE5">
        <w:t xml:space="preserve">plausibly explains the ability of strategically green companies to overcome the </w:t>
      </w:r>
      <w:r w:rsidR="00DD7020" w:rsidRPr="003E7EE5">
        <w:t>capital</w:t>
      </w:r>
      <w:r w:rsidR="00DB7F38">
        <w:t>-</w:t>
      </w:r>
      <w:r w:rsidR="00DD7020" w:rsidRPr="003E7EE5">
        <w:t xml:space="preserve">sourcing </w:t>
      </w:r>
      <w:r w:rsidR="006C1BB6" w:rsidRPr="003E7EE5">
        <w:t xml:space="preserve">hurdles posed by economic recessions. </w:t>
      </w:r>
      <w:r w:rsidR="00667DF0" w:rsidRPr="003E7EE5">
        <w:t xml:space="preserve">Our </w:t>
      </w:r>
      <w:r w:rsidR="00891998" w:rsidRPr="003E7EE5">
        <w:t>findings also imply that managers should treat green marketing as a holistic strategy, fully integrated into the corporate marketing strategy, moving beyond short-term green marketing actions (i.e.</w:t>
      </w:r>
      <w:r w:rsidR="00DB7F38">
        <w:t>,</w:t>
      </w:r>
      <w:r w:rsidR="00891998" w:rsidRPr="003E7EE5">
        <w:t xml:space="preserve"> green advertising) that often lead to unintended demand-side backlash</w:t>
      </w:r>
      <w:r w:rsidR="00DB7F38">
        <w:t>,</w:t>
      </w:r>
      <w:r w:rsidR="00891998" w:rsidRPr="003E7EE5">
        <w:t xml:space="preserve"> such as increased greenwashing perceptions</w:t>
      </w:r>
      <w:r w:rsidR="009F36AD" w:rsidRPr="003E7EE5">
        <w:t xml:space="preserve"> </w:t>
      </w:r>
      <w:r w:rsidR="00891998" w:rsidRPr="003E7EE5">
        <w:t>(</w:t>
      </w:r>
      <w:r w:rsidR="00651729" w:rsidRPr="003E7EE5">
        <w:t xml:space="preserve">Papadas </w:t>
      </w:r>
      <w:r w:rsidR="007E71B6" w:rsidRPr="003E7EE5">
        <w:rPr>
          <w:i/>
        </w:rPr>
        <w:t>et al.</w:t>
      </w:r>
      <w:r w:rsidR="00651729" w:rsidRPr="003E7EE5">
        <w:t>, 2019</w:t>
      </w:r>
      <w:r w:rsidR="00891998" w:rsidRPr="003E7EE5">
        <w:t>).</w:t>
      </w:r>
      <w:r w:rsidR="009F36AD" w:rsidRPr="003E7EE5">
        <w:t xml:space="preserve"> </w:t>
      </w:r>
      <w:r w:rsidR="00DB7F38">
        <w:t>Rather, m</w:t>
      </w:r>
      <w:r w:rsidR="009F36AD" w:rsidRPr="003E7EE5">
        <w:t>anagers should focus on the long-term benefits of a GMS to build resilience</w:t>
      </w:r>
      <w:r w:rsidR="00DB7F38">
        <w:t>,</w:t>
      </w:r>
      <w:r w:rsidR="009F36AD" w:rsidRPr="003E7EE5">
        <w:t xml:space="preserve"> which </w:t>
      </w:r>
      <w:r w:rsidR="00DB7F38">
        <w:t>aids in</w:t>
      </w:r>
      <w:r w:rsidR="009F36AD" w:rsidRPr="003E7EE5">
        <w:t xml:space="preserve"> surviving a crisis and bouncing back </w:t>
      </w:r>
      <w:r w:rsidR="00BE1328">
        <w:t>afterward</w:t>
      </w:r>
      <w:r w:rsidR="009F36AD" w:rsidRPr="003E7EE5">
        <w:t>.</w:t>
      </w:r>
      <w:r w:rsidR="00BB4EC6" w:rsidRPr="003E7EE5">
        <w:t xml:space="preserve"> </w:t>
      </w:r>
      <w:r w:rsidR="00DB7F38">
        <w:t xml:space="preserve">For example, </w:t>
      </w:r>
      <w:r w:rsidR="00BB4EC6" w:rsidRPr="003E7EE5">
        <w:t>Nestlé’s sustainable practices include responsible sourcing and reduction of its environmental impact across all product categories. Such initiative</w:t>
      </w:r>
      <w:r w:rsidR="00BF17A1" w:rsidRPr="003E7EE5">
        <w:t>s</w:t>
      </w:r>
      <w:r w:rsidR="00BB4EC6" w:rsidRPr="003E7EE5">
        <w:t xml:space="preserve"> have contributed to the company’s ability to navigate </w:t>
      </w:r>
      <w:r w:rsidR="00FC4B7C" w:rsidRPr="003E7EE5">
        <w:t>uncertainty and build long-term resilience</w:t>
      </w:r>
      <w:r w:rsidR="0003170C">
        <w:t xml:space="preserve"> (Nestlé, 2022)</w:t>
      </w:r>
      <w:r w:rsidR="00FC4B7C" w:rsidRPr="003E7EE5">
        <w:t>.</w:t>
      </w:r>
    </w:p>
    <w:p w14:paraId="30A6332A" w14:textId="22C8BF01" w:rsidR="00577912" w:rsidRPr="003E7EE5" w:rsidRDefault="00577912" w:rsidP="00A04978">
      <w:pPr>
        <w:spacing w:line="480" w:lineRule="auto"/>
        <w:ind w:firstLine="720"/>
      </w:pPr>
      <w:r w:rsidRPr="003E7EE5">
        <w:lastRenderedPageBreak/>
        <w:t xml:space="preserve">In addition, </w:t>
      </w:r>
      <w:r w:rsidR="001B0406" w:rsidRPr="003E7EE5">
        <w:t xml:space="preserve">our findings </w:t>
      </w:r>
      <w:r w:rsidR="00DB7F38">
        <w:t>show</w:t>
      </w:r>
      <w:r w:rsidR="001B0406" w:rsidRPr="003E7EE5">
        <w:t xml:space="preserve"> </w:t>
      </w:r>
      <w:r w:rsidR="00374B08" w:rsidRPr="003E7EE5">
        <w:t xml:space="preserve">that </w:t>
      </w:r>
      <w:r w:rsidR="00591A0E" w:rsidRPr="003E7EE5">
        <w:t xml:space="preserve">the ongoing </w:t>
      </w:r>
      <w:r w:rsidR="00374B08" w:rsidRPr="003E7EE5">
        <w:t xml:space="preserve">commitment </w:t>
      </w:r>
      <w:r w:rsidR="00DB7F38">
        <w:t xml:space="preserve">to </w:t>
      </w:r>
      <w:r w:rsidR="00591A0E" w:rsidRPr="003E7EE5">
        <w:t xml:space="preserve">sustainable practices before </w:t>
      </w:r>
      <w:r w:rsidR="00CA35F2" w:rsidRPr="003E7EE5">
        <w:t xml:space="preserve">a </w:t>
      </w:r>
      <w:r w:rsidR="00591A0E" w:rsidRPr="003E7EE5">
        <w:t xml:space="preserve">crisis is a pre-requisite for the implementation of a successful GMS during and after </w:t>
      </w:r>
      <w:r w:rsidR="00DB7F38">
        <w:t xml:space="preserve">the </w:t>
      </w:r>
      <w:r w:rsidR="00591A0E" w:rsidRPr="003E7EE5">
        <w:t xml:space="preserve">crisis. Integrating environmental responsibility into the marketing strategy </w:t>
      </w:r>
      <w:r w:rsidR="00CA35F2" w:rsidRPr="003E7EE5">
        <w:t xml:space="preserve">is a long game that </w:t>
      </w:r>
      <w:r w:rsidR="00591A0E" w:rsidRPr="003E7EE5">
        <w:t xml:space="preserve">requires both intrinsic and extrinsic commitment. In line with previous studies </w:t>
      </w:r>
      <w:r w:rsidR="00DB7F38">
        <w:t>on</w:t>
      </w:r>
      <w:r w:rsidR="00591A0E" w:rsidRPr="003E7EE5">
        <w:t xml:space="preserve"> corporate </w:t>
      </w:r>
      <w:r w:rsidR="00591A0E" w:rsidRPr="003E7EE5">
        <w:rPr>
          <w:color w:val="000000" w:themeColor="text1"/>
        </w:rPr>
        <w:t>sustai</w:t>
      </w:r>
      <w:r w:rsidR="0048564A" w:rsidRPr="003E7EE5">
        <w:rPr>
          <w:color w:val="000000" w:themeColor="text1"/>
        </w:rPr>
        <w:t>na</w:t>
      </w:r>
      <w:r w:rsidR="00591A0E" w:rsidRPr="003E7EE5">
        <w:rPr>
          <w:color w:val="000000" w:themeColor="text1"/>
        </w:rPr>
        <w:t>bility (e.g.</w:t>
      </w:r>
      <w:r w:rsidR="00EB7D6B">
        <w:rPr>
          <w:color w:val="000000" w:themeColor="text1"/>
        </w:rPr>
        <w:t>,</w:t>
      </w:r>
      <w:r w:rsidR="00591A0E" w:rsidRPr="003E7EE5">
        <w:rPr>
          <w:color w:val="000000" w:themeColor="text1"/>
        </w:rPr>
        <w:t xml:space="preserve"> </w:t>
      </w:r>
      <w:r w:rsidR="0048564A" w:rsidRPr="003E7EE5">
        <w:rPr>
          <w:color w:val="000000" w:themeColor="text1"/>
        </w:rPr>
        <w:t xml:space="preserve">Gabler </w:t>
      </w:r>
      <w:r w:rsidR="0048564A" w:rsidRPr="003E7EE5">
        <w:rPr>
          <w:i/>
          <w:iCs/>
          <w:color w:val="000000" w:themeColor="text1"/>
        </w:rPr>
        <w:t>et al.</w:t>
      </w:r>
      <w:r w:rsidR="0048564A" w:rsidRPr="003E7EE5">
        <w:rPr>
          <w:color w:val="000000" w:themeColor="text1"/>
        </w:rPr>
        <w:t>, 2021</w:t>
      </w:r>
      <w:r w:rsidR="00591A0E" w:rsidRPr="003E7EE5">
        <w:rPr>
          <w:color w:val="000000" w:themeColor="text1"/>
        </w:rPr>
        <w:t xml:space="preserve">), our </w:t>
      </w:r>
      <w:r w:rsidR="00474EF6" w:rsidRPr="003E7EE5">
        <w:rPr>
          <w:color w:val="000000" w:themeColor="text1"/>
        </w:rPr>
        <w:t>study</w:t>
      </w:r>
      <w:r w:rsidR="00591A0E" w:rsidRPr="003E7EE5">
        <w:rPr>
          <w:color w:val="000000" w:themeColor="text1"/>
        </w:rPr>
        <w:t xml:space="preserve"> emphasize</w:t>
      </w:r>
      <w:r w:rsidR="00474EF6" w:rsidRPr="003E7EE5">
        <w:rPr>
          <w:color w:val="000000" w:themeColor="text1"/>
        </w:rPr>
        <w:t>s</w:t>
      </w:r>
      <w:r w:rsidR="00591A0E" w:rsidRPr="003E7EE5">
        <w:rPr>
          <w:color w:val="000000" w:themeColor="text1"/>
        </w:rPr>
        <w:t xml:space="preserve"> the importance of having a corporate environmental orientation</w:t>
      </w:r>
      <w:r w:rsidR="00DB7F38">
        <w:rPr>
          <w:color w:val="000000" w:themeColor="text1"/>
        </w:rPr>
        <w:t>,</w:t>
      </w:r>
      <w:r w:rsidR="00591A0E" w:rsidRPr="003E7EE5">
        <w:rPr>
          <w:color w:val="000000" w:themeColor="text1"/>
        </w:rPr>
        <w:t xml:space="preserve"> which transcends the entire organi</w:t>
      </w:r>
      <w:r w:rsidR="008F7F77" w:rsidRPr="003E7EE5">
        <w:rPr>
          <w:color w:val="000000" w:themeColor="text1"/>
        </w:rPr>
        <w:t>z</w:t>
      </w:r>
      <w:r w:rsidR="00591A0E" w:rsidRPr="003E7EE5">
        <w:rPr>
          <w:color w:val="000000" w:themeColor="text1"/>
        </w:rPr>
        <w:t>ation</w:t>
      </w:r>
      <w:r w:rsidR="00DB7F38">
        <w:rPr>
          <w:color w:val="000000" w:themeColor="text1"/>
        </w:rPr>
        <w:t>,</w:t>
      </w:r>
      <w:r w:rsidR="00591A0E" w:rsidRPr="003E7EE5">
        <w:rPr>
          <w:color w:val="000000" w:themeColor="text1"/>
        </w:rPr>
        <w:t xml:space="preserve"> including the marketing department (Hildebrand </w:t>
      </w:r>
      <w:r w:rsidR="00591A0E" w:rsidRPr="003E7EE5">
        <w:rPr>
          <w:i/>
          <w:iCs/>
          <w:color w:val="000000" w:themeColor="text1"/>
        </w:rPr>
        <w:t>et al.</w:t>
      </w:r>
      <w:r w:rsidR="00591A0E" w:rsidRPr="003E7EE5">
        <w:rPr>
          <w:color w:val="000000" w:themeColor="text1"/>
        </w:rPr>
        <w:t xml:space="preserve">, 2011; Papadas and Avlonitis, 2014). </w:t>
      </w:r>
      <w:r w:rsidR="007C2A1F" w:rsidRPr="003E7EE5">
        <w:rPr>
          <w:color w:val="000000" w:themeColor="text1"/>
        </w:rPr>
        <w:t xml:space="preserve">Implementing a holistic GMS during </w:t>
      </w:r>
      <w:r w:rsidR="00DB7F38">
        <w:rPr>
          <w:color w:val="000000" w:themeColor="text1"/>
        </w:rPr>
        <w:t xml:space="preserve">a </w:t>
      </w:r>
      <w:r w:rsidR="007C2A1F" w:rsidRPr="003E7EE5">
        <w:rPr>
          <w:color w:val="000000" w:themeColor="text1"/>
        </w:rPr>
        <w:t xml:space="preserve">crisis </w:t>
      </w:r>
      <w:r w:rsidR="00CA35F2" w:rsidRPr="003E7EE5">
        <w:rPr>
          <w:color w:val="000000" w:themeColor="text1"/>
        </w:rPr>
        <w:t>requires a minimum level of</w:t>
      </w:r>
      <w:r w:rsidR="007C2A1F" w:rsidRPr="003E7EE5">
        <w:rPr>
          <w:color w:val="000000" w:themeColor="text1"/>
        </w:rPr>
        <w:t xml:space="preserve"> </w:t>
      </w:r>
      <w:r w:rsidR="008551A9" w:rsidRPr="003E7EE5">
        <w:rPr>
          <w:color w:val="000000" w:themeColor="text1"/>
        </w:rPr>
        <w:t>green marketing</w:t>
      </w:r>
      <w:r w:rsidR="007C2A1F" w:rsidRPr="003E7EE5">
        <w:rPr>
          <w:color w:val="000000" w:themeColor="text1"/>
        </w:rPr>
        <w:t xml:space="preserve"> readiness</w:t>
      </w:r>
      <w:r w:rsidR="0048564A" w:rsidRPr="003E7EE5">
        <w:rPr>
          <w:color w:val="000000" w:themeColor="text1"/>
        </w:rPr>
        <w:t xml:space="preserve"> </w:t>
      </w:r>
      <w:r w:rsidR="008551A9" w:rsidRPr="003E7EE5">
        <w:rPr>
          <w:color w:val="000000" w:themeColor="text1"/>
        </w:rPr>
        <w:t>(e.g., R</w:t>
      </w:r>
      <w:r w:rsidR="00CA35F2" w:rsidRPr="003E7EE5">
        <w:rPr>
          <w:color w:val="000000" w:themeColor="text1"/>
        </w:rPr>
        <w:t>&amp;</w:t>
      </w:r>
      <w:r w:rsidR="008551A9" w:rsidRPr="003E7EE5">
        <w:rPr>
          <w:color w:val="000000" w:themeColor="text1"/>
        </w:rPr>
        <w:t xml:space="preserve">D for eco-friendly </w:t>
      </w:r>
      <w:r w:rsidR="008551A9" w:rsidRPr="003E7EE5">
        <w:t>products, eco-friendly promotion)</w:t>
      </w:r>
      <w:r w:rsidR="007C2A1F" w:rsidRPr="003E7EE5">
        <w:t xml:space="preserve"> </w:t>
      </w:r>
      <w:r w:rsidR="00CA35F2" w:rsidRPr="003E7EE5">
        <w:t xml:space="preserve">that </w:t>
      </w:r>
      <w:r w:rsidR="008551A9" w:rsidRPr="003E7EE5">
        <w:t>should be</w:t>
      </w:r>
      <w:r w:rsidR="007C2A1F" w:rsidRPr="003E7EE5">
        <w:t xml:space="preserve"> in place </w:t>
      </w:r>
      <w:r w:rsidR="00DB7F38">
        <w:t xml:space="preserve">before the </w:t>
      </w:r>
      <w:r w:rsidR="007C2A1F" w:rsidRPr="003E7EE5">
        <w:t xml:space="preserve">crisis. </w:t>
      </w:r>
      <w:r w:rsidR="00474EF6" w:rsidRPr="003E7EE5">
        <w:rPr>
          <w:bCs/>
          <w:color w:val="000000" w:themeColor="text1"/>
        </w:rPr>
        <w:t>This finding should</w:t>
      </w:r>
      <w:r w:rsidR="0048564A" w:rsidRPr="003E7EE5">
        <w:t xml:space="preserve"> give confidence to </w:t>
      </w:r>
      <w:r w:rsidR="00CA35F2" w:rsidRPr="003E7EE5">
        <w:t>managers</w:t>
      </w:r>
      <w:r w:rsidR="0048564A" w:rsidRPr="003E7EE5">
        <w:t xml:space="preserve"> </w:t>
      </w:r>
      <w:r w:rsidR="008551A9" w:rsidRPr="003E7EE5">
        <w:t xml:space="preserve">to maintain a </w:t>
      </w:r>
      <w:r w:rsidR="008F7F77" w:rsidRPr="003E7EE5">
        <w:t>long-standing</w:t>
      </w:r>
      <w:r w:rsidR="008551A9" w:rsidRPr="003E7EE5">
        <w:t xml:space="preserve"> GMS </w:t>
      </w:r>
      <w:r w:rsidR="00CA35F2" w:rsidRPr="003E7EE5">
        <w:t xml:space="preserve">in </w:t>
      </w:r>
      <w:r w:rsidR="008551A9" w:rsidRPr="003E7EE5">
        <w:t xml:space="preserve">both good and bad times. </w:t>
      </w:r>
    </w:p>
    <w:p w14:paraId="60165C1F" w14:textId="1A671EC0" w:rsidR="008C1931" w:rsidRPr="003E7EE5" w:rsidRDefault="00FB71CB" w:rsidP="005E1791">
      <w:pPr>
        <w:widowControl w:val="0"/>
        <w:autoSpaceDE w:val="0"/>
        <w:autoSpaceDN w:val="0"/>
        <w:adjustRightInd w:val="0"/>
        <w:spacing w:line="480" w:lineRule="auto"/>
      </w:pPr>
      <w:r w:rsidRPr="003E7EE5">
        <w:tab/>
      </w:r>
      <w:r w:rsidR="006C1BB6" w:rsidRPr="003E7EE5">
        <w:t xml:space="preserve">Finally, </w:t>
      </w:r>
      <w:r w:rsidR="006C1BB6" w:rsidRPr="003E7EE5">
        <w:rPr>
          <w:szCs w:val="26"/>
        </w:rPr>
        <w:t>our</w:t>
      </w:r>
      <w:r w:rsidR="00A04978" w:rsidRPr="003E7EE5">
        <w:rPr>
          <w:szCs w:val="26"/>
        </w:rPr>
        <w:t xml:space="preserve"> results are useful for corporate decision</w:t>
      </w:r>
      <w:r w:rsidR="00EB7D6B">
        <w:rPr>
          <w:szCs w:val="26"/>
        </w:rPr>
        <w:t>-</w:t>
      </w:r>
      <w:r w:rsidR="00A04978" w:rsidRPr="003E7EE5">
        <w:rPr>
          <w:szCs w:val="26"/>
        </w:rPr>
        <w:t>makers engaged in competitor analysis and scenario planning</w:t>
      </w:r>
      <w:r w:rsidR="00D704B7" w:rsidRPr="003E7EE5">
        <w:rPr>
          <w:szCs w:val="26"/>
        </w:rPr>
        <w:t xml:space="preserve">. </w:t>
      </w:r>
      <w:r w:rsidR="00EB7D6B">
        <w:rPr>
          <w:szCs w:val="26"/>
        </w:rPr>
        <w:t>Understanding</w:t>
      </w:r>
      <w:r w:rsidR="00D704B7" w:rsidRPr="003E7EE5">
        <w:t xml:space="preserve"> whether </w:t>
      </w:r>
      <w:r w:rsidR="00EB7D6B">
        <w:t>their</w:t>
      </w:r>
      <w:r w:rsidR="00733CE2" w:rsidRPr="003E7EE5">
        <w:t xml:space="preserve"> </w:t>
      </w:r>
      <w:r w:rsidR="00977414" w:rsidRPr="003E7EE5">
        <w:t>firm</w:t>
      </w:r>
      <w:r w:rsidR="00EB7D6B">
        <w:t>s</w:t>
      </w:r>
      <w:r w:rsidR="00977414" w:rsidRPr="003E7EE5">
        <w:t xml:space="preserve"> </w:t>
      </w:r>
      <w:r w:rsidR="00EB7D6B">
        <w:t xml:space="preserve">will </w:t>
      </w:r>
      <w:r w:rsidR="00977414" w:rsidRPr="003E7EE5">
        <w:t>follow an expansive green crisis strategy (i.e.</w:t>
      </w:r>
      <w:r w:rsidR="008729C8" w:rsidRPr="003E7EE5">
        <w:t>,</w:t>
      </w:r>
      <w:r w:rsidR="000C2ACA" w:rsidRPr="003E7EE5">
        <w:t xml:space="preserve"> </w:t>
      </w:r>
      <w:r w:rsidR="00D704B7" w:rsidRPr="003E7EE5">
        <w:rPr>
          <w:szCs w:val="22"/>
        </w:rPr>
        <w:t>strategic/cautious/opportunistic green investors</w:t>
      </w:r>
      <w:r w:rsidR="00977414" w:rsidRPr="003E7EE5">
        <w:t xml:space="preserve">) or distance </w:t>
      </w:r>
      <w:r w:rsidR="00EB7D6B">
        <w:t xml:space="preserve">themselves </w:t>
      </w:r>
      <w:r w:rsidR="00977414" w:rsidRPr="003E7EE5">
        <w:t xml:space="preserve">from green marketing activities in times </w:t>
      </w:r>
      <w:r w:rsidR="00EB7D6B">
        <w:t xml:space="preserve">of </w:t>
      </w:r>
      <w:r w:rsidR="00EB7D6B" w:rsidRPr="003E7EE5">
        <w:t>cris</w:t>
      </w:r>
      <w:r w:rsidR="00EB7D6B">
        <w:t>e</w:t>
      </w:r>
      <w:r w:rsidR="00EB7D6B" w:rsidRPr="003E7EE5">
        <w:t xml:space="preserve">s </w:t>
      </w:r>
      <w:r w:rsidR="00977414" w:rsidRPr="003E7EE5">
        <w:t>(i.e.</w:t>
      </w:r>
      <w:r w:rsidR="00727634" w:rsidRPr="003E7EE5">
        <w:t>,</w:t>
      </w:r>
      <w:r w:rsidR="00EB7D6B">
        <w:t xml:space="preserve"> </w:t>
      </w:r>
      <w:r w:rsidR="00D704B7" w:rsidRPr="003E7EE5">
        <w:rPr>
          <w:szCs w:val="22"/>
        </w:rPr>
        <w:t>green</w:t>
      </w:r>
      <w:r w:rsidR="00770469" w:rsidRPr="003E7EE5">
        <w:rPr>
          <w:szCs w:val="22"/>
        </w:rPr>
        <w:t xml:space="preserve"> </w:t>
      </w:r>
      <w:proofErr w:type="spellStart"/>
      <w:r w:rsidR="00EB7D6B" w:rsidRPr="003E7EE5">
        <w:rPr>
          <w:szCs w:val="22"/>
        </w:rPr>
        <w:t>disinvestors</w:t>
      </w:r>
      <w:proofErr w:type="spellEnd"/>
      <w:r w:rsidR="00EB7D6B">
        <w:rPr>
          <w:szCs w:val="22"/>
        </w:rPr>
        <w:t>,</w:t>
      </w:r>
      <w:r w:rsidR="00EB7D6B" w:rsidRPr="003E7EE5">
        <w:rPr>
          <w:szCs w:val="22"/>
        </w:rPr>
        <w:t xml:space="preserve"> </w:t>
      </w:r>
      <w:r w:rsidR="00D704B7" w:rsidRPr="003E7EE5">
        <w:rPr>
          <w:szCs w:val="22"/>
        </w:rPr>
        <w:t>reluctants</w:t>
      </w:r>
      <w:r w:rsidR="00EB7D6B">
        <w:rPr>
          <w:szCs w:val="22"/>
        </w:rPr>
        <w:t xml:space="preserve">, and </w:t>
      </w:r>
      <w:r w:rsidR="00D704B7" w:rsidRPr="003E7EE5">
        <w:rPr>
          <w:szCs w:val="22"/>
        </w:rPr>
        <w:t>non-believers</w:t>
      </w:r>
      <w:r w:rsidR="00977414" w:rsidRPr="003E7EE5">
        <w:t>) is</w:t>
      </w:r>
      <w:r w:rsidR="00491361" w:rsidRPr="003E7EE5">
        <w:t xml:space="preserve"> important to di</w:t>
      </w:r>
      <w:r w:rsidR="00A04978" w:rsidRPr="003E7EE5">
        <w:t>agnose the</w:t>
      </w:r>
      <w:r w:rsidR="00EB7D6B">
        <w:t>ir</w:t>
      </w:r>
      <w:r w:rsidR="00A04978" w:rsidRPr="003E7EE5">
        <w:t xml:space="preserve"> </w:t>
      </w:r>
      <w:r w:rsidR="00733CE2" w:rsidRPr="003E7EE5">
        <w:t xml:space="preserve">resilience potential </w:t>
      </w:r>
      <w:r w:rsidR="00491361" w:rsidRPr="003E7EE5">
        <w:t xml:space="preserve">and consider changes in green marketing investments after mapping where their competitors stand </w:t>
      </w:r>
      <w:r w:rsidR="00733CE2" w:rsidRPr="003E7EE5">
        <w:t>o</w:t>
      </w:r>
      <w:r w:rsidR="00491361" w:rsidRPr="003E7EE5">
        <w:t xml:space="preserve">n this typology. For </w:t>
      </w:r>
      <w:r w:rsidR="00EB7D6B">
        <w:t>example</w:t>
      </w:r>
      <w:r w:rsidR="00491361" w:rsidRPr="003E7EE5">
        <w:t xml:space="preserve">, </w:t>
      </w:r>
      <w:r w:rsidR="00EB7D6B">
        <w:t>we</w:t>
      </w:r>
      <w:r w:rsidR="00491361" w:rsidRPr="003E7EE5">
        <w:t xml:space="preserve"> </w:t>
      </w:r>
      <w:r w:rsidR="00891998" w:rsidRPr="003E7EE5">
        <w:t xml:space="preserve">speculate </w:t>
      </w:r>
      <w:r w:rsidR="00491361" w:rsidRPr="003E7EE5">
        <w:t>that</w:t>
      </w:r>
      <w:r w:rsidR="00891998" w:rsidRPr="003E7EE5">
        <w:t xml:space="preserve"> for</w:t>
      </w:r>
      <w:r w:rsidR="00491361" w:rsidRPr="003E7EE5">
        <w:t xml:space="preserve"> </w:t>
      </w:r>
      <w:r w:rsidR="00891998" w:rsidRPr="003E7EE5">
        <w:t>firms</w:t>
      </w:r>
      <w:r w:rsidR="00491361" w:rsidRPr="003E7EE5">
        <w:t xml:space="preserve"> facing many green reluctants or non-believers in their immediate competitive sphere, investment in </w:t>
      </w:r>
      <w:r w:rsidR="009E463E" w:rsidRPr="003E7EE5">
        <w:t>GMS</w:t>
      </w:r>
      <w:r w:rsidR="00EB7D6B">
        <w:t>s</w:t>
      </w:r>
      <w:r w:rsidR="00491361" w:rsidRPr="003E7EE5">
        <w:t xml:space="preserve"> during crises will be </w:t>
      </w:r>
      <w:r w:rsidR="00891998" w:rsidRPr="003E7EE5">
        <w:t xml:space="preserve">even </w:t>
      </w:r>
      <w:r w:rsidR="00491361" w:rsidRPr="003E7EE5">
        <w:t xml:space="preserve">more promising as a base of </w:t>
      </w:r>
      <w:r w:rsidR="00090DA7" w:rsidRPr="003E7EE5">
        <w:t>competitive advantage</w:t>
      </w:r>
      <w:r w:rsidR="00733CE2" w:rsidRPr="003E7EE5">
        <w:t xml:space="preserve"> and differentiation</w:t>
      </w:r>
      <w:r w:rsidR="00491361" w:rsidRPr="003E7EE5">
        <w:t>.</w:t>
      </w:r>
      <w:r w:rsidR="00D318A9" w:rsidRPr="003E7EE5">
        <w:t xml:space="preserve"> The fashion industry is an </w:t>
      </w:r>
      <w:r w:rsidR="00733CE2" w:rsidRPr="003E7EE5">
        <w:t xml:space="preserve">interesting </w:t>
      </w:r>
      <w:r w:rsidR="00D318A9" w:rsidRPr="003E7EE5">
        <w:t>example</w:t>
      </w:r>
      <w:r w:rsidR="00733CE2" w:rsidRPr="003E7EE5">
        <w:t xml:space="preserve"> in this regard because f</w:t>
      </w:r>
      <w:r w:rsidR="009B3D3C" w:rsidRPr="003E7EE5">
        <w:t xml:space="preserve">ashion brands actively </w:t>
      </w:r>
      <w:r w:rsidR="00733CE2" w:rsidRPr="003E7EE5">
        <w:t>co</w:t>
      </w:r>
      <w:r w:rsidR="007550C7" w:rsidRPr="003E7EE5">
        <w:t>m</w:t>
      </w:r>
      <w:r w:rsidR="00733CE2" w:rsidRPr="003E7EE5">
        <w:t xml:space="preserve">pete </w:t>
      </w:r>
      <w:r w:rsidR="009B3D3C" w:rsidRPr="003E7EE5">
        <w:t xml:space="preserve">in </w:t>
      </w:r>
      <w:r w:rsidR="00733CE2" w:rsidRPr="003E7EE5">
        <w:t xml:space="preserve">terms of </w:t>
      </w:r>
      <w:r w:rsidR="009B3D3C" w:rsidRPr="003E7EE5">
        <w:t>environmental practices</w:t>
      </w:r>
      <w:r w:rsidR="00311612" w:rsidRPr="003E7EE5">
        <w:t xml:space="preserve"> (e.g., using eco-friendly materials, promoting fair labor practices)</w:t>
      </w:r>
      <w:r w:rsidR="009B3D3C" w:rsidRPr="003E7EE5">
        <w:t xml:space="preserve">. </w:t>
      </w:r>
      <w:r w:rsidR="00311612" w:rsidRPr="003E7EE5">
        <w:t xml:space="preserve">This typology would help </w:t>
      </w:r>
      <w:r w:rsidR="00EB7D6B">
        <w:t xml:space="preserve">managers in </w:t>
      </w:r>
      <w:r w:rsidR="00311612" w:rsidRPr="003E7EE5">
        <w:t>market</w:t>
      </w:r>
      <w:r w:rsidR="00EB7D6B">
        <w:t>-</w:t>
      </w:r>
      <w:r w:rsidR="00311612" w:rsidRPr="003E7EE5">
        <w:t xml:space="preserve">sensing and shaping a GMS during </w:t>
      </w:r>
      <w:r w:rsidR="00EB7D6B">
        <w:t xml:space="preserve">a </w:t>
      </w:r>
      <w:r w:rsidR="00311612" w:rsidRPr="003E7EE5">
        <w:t>crisis accordingly. For example, Patagonia is known for its strong commitment to sustainability</w:t>
      </w:r>
      <w:r w:rsidR="00EB7D6B">
        <w:t xml:space="preserve"> (</w:t>
      </w:r>
      <w:r w:rsidR="00EB7D6B" w:rsidRPr="003E7EE5">
        <w:t>a strategic green investor</w:t>
      </w:r>
      <w:r w:rsidR="00EB7D6B">
        <w:t>)</w:t>
      </w:r>
      <w:r w:rsidR="00311612" w:rsidRPr="003E7EE5">
        <w:t xml:space="preserve">. Even in times of deep uncertainty such </w:t>
      </w:r>
      <w:r w:rsidR="009B6073" w:rsidRPr="003E7EE5">
        <w:t xml:space="preserve">as </w:t>
      </w:r>
      <w:r w:rsidR="00311612" w:rsidRPr="003E7EE5">
        <w:t xml:space="preserve">the Great </w:t>
      </w:r>
      <w:r w:rsidR="00311612" w:rsidRPr="003E7EE5">
        <w:lastRenderedPageBreak/>
        <w:t xml:space="preserve">Recession of 2008 and the recent </w:t>
      </w:r>
      <w:r w:rsidR="00EB7D6B">
        <w:t xml:space="preserve">COVID-19 </w:t>
      </w:r>
      <w:r w:rsidR="00311612" w:rsidRPr="003E7EE5">
        <w:t xml:space="preserve">pandemic, Patagonia </w:t>
      </w:r>
      <w:proofErr w:type="spellStart"/>
      <w:r w:rsidR="00EB7D6B">
        <w:t>ontinued</w:t>
      </w:r>
      <w:proofErr w:type="spellEnd"/>
      <w:r w:rsidR="00733CE2" w:rsidRPr="003E7EE5">
        <w:t xml:space="preserve"> investing in</w:t>
      </w:r>
      <w:r w:rsidR="00F1738D" w:rsidRPr="003E7EE5">
        <w:t xml:space="preserve"> its </w:t>
      </w:r>
      <w:r w:rsidR="00EB7D6B">
        <w:t>f</w:t>
      </w:r>
      <w:r w:rsidR="00F1738D" w:rsidRPr="003E7EE5">
        <w:t>air</w:t>
      </w:r>
      <w:r w:rsidR="00EB7D6B">
        <w:t>-t</w:t>
      </w:r>
      <w:r w:rsidR="00F1738D" w:rsidRPr="003E7EE5">
        <w:t>rade program</w:t>
      </w:r>
      <w:r w:rsidR="00733CE2" w:rsidRPr="003E7EE5">
        <w:t xml:space="preserve"> and</w:t>
      </w:r>
      <w:r w:rsidR="00F1738D" w:rsidRPr="003E7EE5">
        <w:t xml:space="preserve"> fostering its environmental partnerships</w:t>
      </w:r>
      <w:r w:rsidR="0003170C">
        <w:t xml:space="preserve"> (</w:t>
      </w:r>
      <w:proofErr w:type="spellStart"/>
      <w:r w:rsidR="0003170C">
        <w:t>Byars</w:t>
      </w:r>
      <w:proofErr w:type="spellEnd"/>
      <w:r w:rsidR="0003170C">
        <w:t>, 2020)</w:t>
      </w:r>
      <w:r w:rsidR="00733CE2" w:rsidRPr="003E7EE5">
        <w:t>. As such, it entered the post-crisis era with an edge over competing fashion brands in its category</w:t>
      </w:r>
      <w:r w:rsidR="003F443C" w:rsidRPr="003E7EE5">
        <w:t xml:space="preserve"> (Kearney Consumer Institute, 2023)</w:t>
      </w:r>
      <w:r w:rsidR="00F1738D" w:rsidRPr="003E7EE5">
        <w:t>.</w:t>
      </w:r>
    </w:p>
    <w:p w14:paraId="765C035A" w14:textId="445EAF87" w:rsidR="002C4571" w:rsidRPr="003E7EE5" w:rsidRDefault="00B5328D" w:rsidP="005E1791">
      <w:pPr>
        <w:spacing w:line="480" w:lineRule="auto"/>
        <w:outlineLvl w:val="0"/>
        <w:rPr>
          <w:i/>
        </w:rPr>
      </w:pPr>
      <w:r w:rsidRPr="003E7EE5">
        <w:rPr>
          <w:i/>
        </w:rPr>
        <w:t xml:space="preserve">Limitations and </w:t>
      </w:r>
      <w:r w:rsidR="00EB7D6B">
        <w:rPr>
          <w:i/>
        </w:rPr>
        <w:t>f</w:t>
      </w:r>
      <w:r w:rsidRPr="003E7EE5">
        <w:rPr>
          <w:i/>
        </w:rPr>
        <w:t>uture</w:t>
      </w:r>
      <w:r w:rsidR="00824B60" w:rsidRPr="003E7EE5">
        <w:rPr>
          <w:i/>
        </w:rPr>
        <w:t xml:space="preserve"> </w:t>
      </w:r>
      <w:r w:rsidR="00EB7D6B">
        <w:rPr>
          <w:i/>
        </w:rPr>
        <w:t>r</w:t>
      </w:r>
      <w:r w:rsidR="00824B60" w:rsidRPr="003E7EE5">
        <w:rPr>
          <w:i/>
        </w:rPr>
        <w:t>esearch</w:t>
      </w:r>
    </w:p>
    <w:p w14:paraId="7BBB1EEE" w14:textId="015E70E9" w:rsidR="00203C49" w:rsidRPr="001D621D" w:rsidRDefault="00D93B42" w:rsidP="00EE246B">
      <w:pPr>
        <w:spacing w:line="480" w:lineRule="auto"/>
        <w:outlineLvl w:val="0"/>
      </w:pPr>
      <w:r w:rsidRPr="001D621D">
        <w:t xml:space="preserve">Our </w:t>
      </w:r>
      <w:r w:rsidR="003F443C" w:rsidRPr="001D621D">
        <w:t>findings are subject to some limitations</w:t>
      </w:r>
      <w:r w:rsidR="00EB7D6B" w:rsidRPr="001D621D">
        <w:t>,</w:t>
      </w:r>
      <w:r w:rsidR="003F443C" w:rsidRPr="001D621D">
        <w:t xml:space="preserve"> which offer opportunities for future research.</w:t>
      </w:r>
      <w:r w:rsidR="00EB7D6B" w:rsidRPr="001D621D">
        <w:t xml:space="preserve"> </w:t>
      </w:r>
      <w:r w:rsidR="003F443C" w:rsidRPr="001D621D">
        <w:t xml:space="preserve">First, our research </w:t>
      </w:r>
      <w:r w:rsidRPr="001D621D">
        <w:t>focuse</w:t>
      </w:r>
      <w:r w:rsidR="00EB7D6B" w:rsidRPr="001D621D">
        <w:t>s</w:t>
      </w:r>
      <w:r w:rsidRPr="001D621D">
        <w:t xml:space="preserve"> on large firms</w:t>
      </w:r>
      <w:r w:rsidR="003F443C" w:rsidRPr="001D621D">
        <w:t>. While</w:t>
      </w:r>
      <w:r w:rsidR="00203C49" w:rsidRPr="001D621D">
        <w:t xml:space="preserve"> </w:t>
      </w:r>
      <w:r w:rsidR="00EB7D6B" w:rsidRPr="001D621D">
        <w:t xml:space="preserve">we made </w:t>
      </w:r>
      <w:r w:rsidR="00203C49" w:rsidRPr="001D621D">
        <w:t xml:space="preserve">this decision to ensure that the potential of </w:t>
      </w:r>
      <w:r w:rsidR="006D0D47" w:rsidRPr="001D621D">
        <w:t>GMSs</w:t>
      </w:r>
      <w:r w:rsidR="00203C49" w:rsidRPr="001D621D">
        <w:t xml:space="preserve"> is present in the sample firms</w:t>
      </w:r>
      <w:r w:rsidRPr="001D621D">
        <w:t xml:space="preserve">, </w:t>
      </w:r>
      <w:r w:rsidR="00203C49" w:rsidRPr="001D621D">
        <w:t xml:space="preserve">this sampling decision </w:t>
      </w:r>
      <w:r w:rsidRPr="001D621D">
        <w:t>limit</w:t>
      </w:r>
      <w:r w:rsidR="00203C49" w:rsidRPr="001D621D">
        <w:t>s</w:t>
      </w:r>
      <w:r w:rsidRPr="001D621D">
        <w:t xml:space="preserve"> the generali</w:t>
      </w:r>
      <w:r w:rsidR="00EB7D6B" w:rsidRPr="001D621D">
        <w:t>z</w:t>
      </w:r>
      <w:r w:rsidRPr="001D621D">
        <w:t xml:space="preserve">ability of our findings </w:t>
      </w:r>
      <w:r w:rsidR="00966BCD" w:rsidRPr="001D621D">
        <w:t xml:space="preserve">for </w:t>
      </w:r>
      <w:r w:rsidR="00EB7D6B" w:rsidRPr="001D621D">
        <w:t xml:space="preserve">smaller </w:t>
      </w:r>
      <w:r w:rsidRPr="001D621D">
        <w:t xml:space="preserve">companies. </w:t>
      </w:r>
      <w:r w:rsidR="00203C49" w:rsidRPr="001D621D">
        <w:t>F</w:t>
      </w:r>
      <w:r w:rsidRPr="001D621D">
        <w:t xml:space="preserve">uture studies </w:t>
      </w:r>
      <w:r w:rsidR="00EB7D6B" w:rsidRPr="001D621D">
        <w:t>c</w:t>
      </w:r>
      <w:r w:rsidRPr="001D621D">
        <w:t>ould focus on small and medium</w:t>
      </w:r>
      <w:r w:rsidR="00EB7D6B" w:rsidRPr="001D621D">
        <w:t>-</w:t>
      </w:r>
      <w:r w:rsidRPr="001D621D">
        <w:t xml:space="preserve">sized firms to test whether </w:t>
      </w:r>
      <w:r w:rsidR="00EB7D6B" w:rsidRPr="001D621D">
        <w:t xml:space="preserve">they </w:t>
      </w:r>
      <w:r w:rsidRPr="001D621D">
        <w:t xml:space="preserve">exhibit </w:t>
      </w:r>
      <w:r w:rsidR="00203C49" w:rsidRPr="001D621D">
        <w:t xml:space="preserve">different crisis </w:t>
      </w:r>
      <w:r w:rsidRPr="001D621D">
        <w:t>resilience</w:t>
      </w:r>
      <w:r w:rsidR="00203C49" w:rsidRPr="001D621D">
        <w:t xml:space="preserve"> (e.g., survival rates)</w:t>
      </w:r>
      <w:r w:rsidRPr="001D621D">
        <w:t xml:space="preserve"> </w:t>
      </w:r>
      <w:r w:rsidR="00203C49" w:rsidRPr="001D621D">
        <w:t>depending on their green marketing orientation</w:t>
      </w:r>
      <w:r w:rsidR="00EE246B" w:rsidRPr="001D621D">
        <w:t xml:space="preserve"> (</w:t>
      </w:r>
      <w:proofErr w:type="spellStart"/>
      <w:r w:rsidR="00EE246B" w:rsidRPr="001D621D">
        <w:t>Iborra</w:t>
      </w:r>
      <w:proofErr w:type="spellEnd"/>
      <w:r w:rsidR="00EE246B" w:rsidRPr="001D621D">
        <w:t xml:space="preserve"> </w:t>
      </w:r>
      <w:r w:rsidR="00EE246B" w:rsidRPr="001D621D">
        <w:rPr>
          <w:i/>
          <w:iCs/>
        </w:rPr>
        <w:t>et al.</w:t>
      </w:r>
      <w:r w:rsidR="00EE246B" w:rsidRPr="001D621D">
        <w:t xml:space="preserve">, 2020; </w:t>
      </w:r>
      <w:proofErr w:type="spellStart"/>
      <w:r w:rsidR="00EE246B" w:rsidRPr="001D621D">
        <w:t>Kottika</w:t>
      </w:r>
      <w:proofErr w:type="spellEnd"/>
      <w:r w:rsidR="00EE246B" w:rsidRPr="001D621D">
        <w:t xml:space="preserve"> </w:t>
      </w:r>
      <w:r w:rsidR="00EE246B" w:rsidRPr="001D621D">
        <w:rPr>
          <w:i/>
          <w:iCs/>
        </w:rPr>
        <w:t>et al</w:t>
      </w:r>
      <w:r w:rsidRPr="001D621D">
        <w:rPr>
          <w:i/>
          <w:iCs/>
        </w:rPr>
        <w:t>.</w:t>
      </w:r>
      <w:r w:rsidR="00EE246B" w:rsidRPr="001D621D">
        <w:t>, 2020).</w:t>
      </w:r>
    </w:p>
    <w:p w14:paraId="57CC9989" w14:textId="5CDD5BF1" w:rsidR="00490B3B" w:rsidRPr="001D621D" w:rsidRDefault="00203C49" w:rsidP="005E1791">
      <w:pPr>
        <w:spacing w:line="480" w:lineRule="auto"/>
        <w:ind w:firstLine="720"/>
        <w:outlineLvl w:val="0"/>
      </w:pPr>
      <w:r w:rsidRPr="001D621D">
        <w:t>Second</w:t>
      </w:r>
      <w:r w:rsidR="00AF15DA" w:rsidRPr="001D621D">
        <w:t xml:space="preserve">, it </w:t>
      </w:r>
      <w:r w:rsidR="00292BE2" w:rsidRPr="001D621D">
        <w:t>woul</w:t>
      </w:r>
      <w:r w:rsidR="00AF15DA" w:rsidRPr="001D621D">
        <w:t>d be useful</w:t>
      </w:r>
      <w:r w:rsidR="00292BE2" w:rsidRPr="001D621D">
        <w:t xml:space="preserve"> to </w:t>
      </w:r>
      <w:r w:rsidR="00997825" w:rsidRPr="001D621D">
        <w:t>undertake a longitudinal study to compare the</w:t>
      </w:r>
      <w:r w:rsidR="006B3F51" w:rsidRPr="001D621D">
        <w:t xml:space="preserve"> implementation of </w:t>
      </w:r>
      <w:r w:rsidR="00997825" w:rsidRPr="001D621D">
        <w:t>green marketing activities before, during</w:t>
      </w:r>
      <w:r w:rsidR="00EB7D6B" w:rsidRPr="001D621D">
        <w:t>,</w:t>
      </w:r>
      <w:r w:rsidR="00997825" w:rsidRPr="001D621D">
        <w:t xml:space="preserve"> and after a crisis</w:t>
      </w:r>
      <w:r w:rsidR="006C781A" w:rsidRPr="001D621D">
        <w:t xml:space="preserve">. </w:t>
      </w:r>
      <w:r w:rsidR="00EB7D6B" w:rsidRPr="001D621D">
        <w:t>Doing so</w:t>
      </w:r>
      <w:r w:rsidR="00997825" w:rsidRPr="001D621D">
        <w:t xml:space="preserve"> would </w:t>
      </w:r>
      <w:r w:rsidR="00EB7D6B" w:rsidRPr="001D621D">
        <w:t>uncover</w:t>
      </w:r>
      <w:r w:rsidR="00997825" w:rsidRPr="001D621D">
        <w:t xml:space="preserve"> the importance of having a </w:t>
      </w:r>
      <w:r w:rsidR="006B3F51" w:rsidRPr="001D621D">
        <w:t xml:space="preserve">history of </w:t>
      </w:r>
      <w:r w:rsidR="00997825" w:rsidRPr="001D621D">
        <w:t xml:space="preserve">green </w:t>
      </w:r>
      <w:r w:rsidR="006B3F51" w:rsidRPr="001D621D">
        <w:t xml:space="preserve">commitment </w:t>
      </w:r>
      <w:r w:rsidR="00997825" w:rsidRPr="001D621D">
        <w:t>before the emergence of a market shock</w:t>
      </w:r>
      <w:r w:rsidR="00EE246B" w:rsidRPr="001D621D">
        <w:t xml:space="preserve"> (Luengo-</w:t>
      </w:r>
      <w:proofErr w:type="spellStart"/>
      <w:r w:rsidR="00EE246B" w:rsidRPr="001D621D">
        <w:t>Valderrey</w:t>
      </w:r>
      <w:proofErr w:type="spellEnd"/>
      <w:r w:rsidR="00EE246B" w:rsidRPr="001D621D">
        <w:t xml:space="preserve"> </w:t>
      </w:r>
      <w:r w:rsidR="00EE246B" w:rsidRPr="001D621D">
        <w:rPr>
          <w:i/>
          <w:iCs/>
        </w:rPr>
        <w:t>et al.</w:t>
      </w:r>
      <w:r w:rsidR="00EE246B" w:rsidRPr="001D621D">
        <w:t>, 2022)</w:t>
      </w:r>
      <w:r w:rsidR="00997825" w:rsidRPr="001D621D">
        <w:t xml:space="preserve">. </w:t>
      </w:r>
    </w:p>
    <w:p w14:paraId="5784D2D0" w14:textId="79841BAE" w:rsidR="00490B3B" w:rsidRPr="001D621D" w:rsidRDefault="00490B3B" w:rsidP="005E1791">
      <w:pPr>
        <w:spacing w:line="480" w:lineRule="auto"/>
        <w:ind w:firstLine="720"/>
        <w:outlineLvl w:val="0"/>
      </w:pPr>
      <w:r w:rsidRPr="001D621D">
        <w:t xml:space="preserve">Third, </w:t>
      </w:r>
      <w:r w:rsidR="00066670" w:rsidRPr="001D621D">
        <w:t xml:space="preserve">we </w:t>
      </w:r>
      <w:r w:rsidRPr="001D621D">
        <w:t xml:space="preserve">did </w:t>
      </w:r>
      <w:r w:rsidR="00066670" w:rsidRPr="001D621D">
        <w:t>not specif</w:t>
      </w:r>
      <w:r w:rsidRPr="001D621D">
        <w:t>y</w:t>
      </w:r>
      <w:r w:rsidR="00066670" w:rsidRPr="001D621D">
        <w:t xml:space="preserve"> </w:t>
      </w:r>
      <w:r w:rsidR="002F04F6" w:rsidRPr="001D621D">
        <w:t>which types of green marketing investment</w:t>
      </w:r>
      <w:r w:rsidRPr="001D621D">
        <w:t>s</w:t>
      </w:r>
      <w:r w:rsidR="002F04F6" w:rsidRPr="001D621D">
        <w:t xml:space="preserve"> </w:t>
      </w:r>
      <w:r w:rsidR="00EB7D6B" w:rsidRPr="001D621D">
        <w:t xml:space="preserve">were </w:t>
      </w:r>
      <w:r w:rsidR="002F04F6" w:rsidRPr="001D621D">
        <w:t xml:space="preserve">made before </w:t>
      </w:r>
      <w:r w:rsidR="00EB7D6B" w:rsidRPr="001D621D">
        <w:t>the</w:t>
      </w:r>
      <w:r w:rsidR="002F04F6" w:rsidRPr="001D621D">
        <w:t xml:space="preserve"> crisis and </w:t>
      </w:r>
      <w:r w:rsidR="007642F8" w:rsidRPr="001D621D">
        <w:t xml:space="preserve">to what extent </w:t>
      </w:r>
      <w:r w:rsidR="00EB7D6B" w:rsidRPr="001D621D">
        <w:t>those</w:t>
      </w:r>
      <w:r w:rsidR="007642F8" w:rsidRPr="001D621D">
        <w:t xml:space="preserve"> investments </w:t>
      </w:r>
      <w:r w:rsidRPr="001D621D">
        <w:t xml:space="preserve">could or needed to </w:t>
      </w:r>
      <w:r w:rsidR="007642F8" w:rsidRPr="001D621D">
        <w:t xml:space="preserve">be maintained </w:t>
      </w:r>
      <w:r w:rsidRPr="001D621D">
        <w:t xml:space="preserve">during or after </w:t>
      </w:r>
      <w:r w:rsidR="007642F8" w:rsidRPr="001D621D">
        <w:t>the crisis</w:t>
      </w:r>
      <w:r w:rsidR="00066670" w:rsidRPr="001D621D">
        <w:t xml:space="preserve">. </w:t>
      </w:r>
      <w:r w:rsidR="00D135F0" w:rsidRPr="001D621D">
        <w:t xml:space="preserve">For example, investing in environmental partnerships </w:t>
      </w:r>
      <w:r w:rsidRPr="001D621D">
        <w:t xml:space="preserve">with green suppliers or distributors </w:t>
      </w:r>
      <w:r w:rsidR="00D135F0" w:rsidRPr="001D621D">
        <w:t xml:space="preserve">before a crisis might </w:t>
      </w:r>
      <w:r w:rsidRPr="001D621D">
        <w:t xml:space="preserve">represent an example of green commitment </w:t>
      </w:r>
      <w:r w:rsidR="00EB7D6B" w:rsidRPr="001D621D">
        <w:t xml:space="preserve">that </w:t>
      </w:r>
      <w:r w:rsidRPr="001D621D">
        <w:t xml:space="preserve">cannot be easily reversed even for a firm that decides to disinvest from green marketing activities </w:t>
      </w:r>
      <w:r w:rsidR="00EB7D6B" w:rsidRPr="001D621D">
        <w:t>because of</w:t>
      </w:r>
      <w:r w:rsidR="00966BCD" w:rsidRPr="001D621D">
        <w:t xml:space="preserve"> </w:t>
      </w:r>
      <w:r w:rsidRPr="001D621D">
        <w:t>recessionary pressures</w:t>
      </w:r>
      <w:r w:rsidR="00F22E47" w:rsidRPr="001D621D">
        <w:t xml:space="preserve"> (Wu </w:t>
      </w:r>
      <w:r w:rsidR="00F22E47" w:rsidRPr="001D621D">
        <w:rPr>
          <w:i/>
          <w:iCs/>
        </w:rPr>
        <w:t>et al.</w:t>
      </w:r>
      <w:r w:rsidR="00F22E47" w:rsidRPr="001D621D">
        <w:t>, 2017)</w:t>
      </w:r>
      <w:r w:rsidR="00D135F0" w:rsidRPr="001D621D">
        <w:t xml:space="preserve">. </w:t>
      </w:r>
      <w:r w:rsidR="00EB7D6B" w:rsidRPr="001D621D">
        <w:t>In a</w:t>
      </w:r>
      <w:r w:rsidR="00C75C96" w:rsidRPr="001D621D">
        <w:t xml:space="preserve">ddition, given </w:t>
      </w:r>
      <w:r w:rsidR="00EB7D6B" w:rsidRPr="001D621D">
        <w:t>the</w:t>
      </w:r>
      <w:r w:rsidR="00C75C96" w:rsidRPr="001D621D">
        <w:t xml:space="preserve"> lack of specification regarding the types of green marketing investments, </w:t>
      </w:r>
      <w:r w:rsidR="004A2668" w:rsidRPr="001D621D">
        <w:t xml:space="preserve">our </w:t>
      </w:r>
      <w:r w:rsidR="00EB7D6B" w:rsidRPr="001D621D">
        <w:t>findings</w:t>
      </w:r>
      <w:r w:rsidR="004A2668" w:rsidRPr="001D621D">
        <w:t xml:space="preserve"> </w:t>
      </w:r>
      <w:r w:rsidR="00C75C96" w:rsidRPr="001D621D">
        <w:t>do not</w:t>
      </w:r>
      <w:r w:rsidR="004A2668" w:rsidRPr="001D621D">
        <w:t xml:space="preserve"> </w:t>
      </w:r>
      <w:r w:rsidR="00C75C96" w:rsidRPr="001D621D">
        <w:t>reflect</w:t>
      </w:r>
      <w:r w:rsidR="004A2668" w:rsidRPr="001D621D">
        <w:t xml:space="preserve"> the impact of specific green activities but </w:t>
      </w:r>
      <w:r w:rsidR="00C75C96" w:rsidRPr="001D621D">
        <w:t>the influence of</w:t>
      </w:r>
      <w:r w:rsidR="004A2668" w:rsidRPr="001D621D">
        <w:t xml:space="preserve"> </w:t>
      </w:r>
      <w:r w:rsidR="00C75C96" w:rsidRPr="001D621D">
        <w:t xml:space="preserve">a </w:t>
      </w:r>
      <w:proofErr w:type="gramStart"/>
      <w:r w:rsidR="006D0D47" w:rsidRPr="001D621D">
        <w:t>GMS</w:t>
      </w:r>
      <w:r w:rsidR="004A2668" w:rsidRPr="001D621D">
        <w:t xml:space="preserve"> as a whole</w:t>
      </w:r>
      <w:proofErr w:type="gramEnd"/>
      <w:r w:rsidR="00F22E47" w:rsidRPr="001D621D">
        <w:t xml:space="preserve"> (Fraj </w:t>
      </w:r>
      <w:r w:rsidR="00F22E47" w:rsidRPr="001D621D">
        <w:rPr>
          <w:i/>
          <w:iCs/>
        </w:rPr>
        <w:t>et al.</w:t>
      </w:r>
      <w:r w:rsidR="00F22E47" w:rsidRPr="001D621D">
        <w:t xml:space="preserve">, 2009; Papadas </w:t>
      </w:r>
      <w:r w:rsidR="00F22E47" w:rsidRPr="001D621D">
        <w:rPr>
          <w:i/>
          <w:iCs/>
        </w:rPr>
        <w:t>et al.</w:t>
      </w:r>
      <w:r w:rsidR="00F22E47" w:rsidRPr="001D621D">
        <w:t>,</w:t>
      </w:r>
      <w:r w:rsidR="00F22E47" w:rsidRPr="001D621D">
        <w:rPr>
          <w:i/>
          <w:iCs/>
        </w:rPr>
        <w:t xml:space="preserve"> </w:t>
      </w:r>
      <w:r w:rsidR="00F22E47" w:rsidRPr="001D621D">
        <w:t>2017)</w:t>
      </w:r>
      <w:r w:rsidR="004A2668" w:rsidRPr="001D621D">
        <w:t xml:space="preserve">. </w:t>
      </w:r>
      <w:r w:rsidR="00C75C96" w:rsidRPr="001D621D">
        <w:t>As such</w:t>
      </w:r>
      <w:r w:rsidR="004A2668" w:rsidRPr="001D621D">
        <w:t xml:space="preserve">, future research </w:t>
      </w:r>
      <w:r w:rsidR="00C75C96" w:rsidRPr="001D621D">
        <w:t>could</w:t>
      </w:r>
      <w:r w:rsidR="004A2668" w:rsidRPr="001D621D">
        <w:t xml:space="preserve"> </w:t>
      </w:r>
      <w:r w:rsidR="00EB7D6B" w:rsidRPr="001D621D">
        <w:t>examine</w:t>
      </w:r>
      <w:r w:rsidR="004A2668" w:rsidRPr="001D621D">
        <w:t xml:space="preserve"> this issue in more depth</w:t>
      </w:r>
      <w:r w:rsidR="00EB7D6B" w:rsidRPr="001D621D">
        <w:t>,</w:t>
      </w:r>
      <w:r w:rsidR="004A2668" w:rsidRPr="001D621D">
        <w:t xml:space="preserve"> </w:t>
      </w:r>
      <w:r w:rsidR="004A2668" w:rsidRPr="001D621D">
        <w:lastRenderedPageBreak/>
        <w:t xml:space="preserve">as different green marketing activities might have different returns on resilience and post-crisis performance. </w:t>
      </w:r>
      <w:r w:rsidR="00C75C96" w:rsidRPr="001D621D">
        <w:t>F</w:t>
      </w:r>
      <w:r w:rsidR="004A2668" w:rsidRPr="001D621D">
        <w:t xml:space="preserve">uture </w:t>
      </w:r>
      <w:r w:rsidR="00C75C96" w:rsidRPr="001D621D">
        <w:t>works</w:t>
      </w:r>
      <w:r w:rsidR="004A2668" w:rsidRPr="001D621D">
        <w:t xml:space="preserve"> </w:t>
      </w:r>
      <w:r w:rsidR="00EB7D6B" w:rsidRPr="001D621D">
        <w:t>could also</w:t>
      </w:r>
      <w:r w:rsidR="004A2668" w:rsidRPr="001D621D">
        <w:t xml:space="preserve"> clearly specify which types of green marketing initiatives are more or less likely to help firms in times of crises</w:t>
      </w:r>
      <w:r w:rsidR="00C75C96" w:rsidRPr="001D621D">
        <w:t>, delineating their</w:t>
      </w:r>
      <w:r w:rsidRPr="001D621D">
        <w:t xml:space="preserve"> potential for building resilience and performance </w:t>
      </w:r>
      <w:r w:rsidR="00EB7D6B" w:rsidRPr="001D621D">
        <w:t xml:space="preserve">after a </w:t>
      </w:r>
      <w:r w:rsidRPr="001D621D">
        <w:t>crisis</w:t>
      </w:r>
      <w:r w:rsidR="00F22E47" w:rsidRPr="001D621D">
        <w:t xml:space="preserve"> (as done for example by Katsikeas </w:t>
      </w:r>
      <w:r w:rsidR="00F22E47" w:rsidRPr="001D621D">
        <w:rPr>
          <w:i/>
          <w:iCs/>
        </w:rPr>
        <w:t>et al.</w:t>
      </w:r>
      <w:r w:rsidR="00F22E47" w:rsidRPr="001D621D">
        <w:t>, 2016)</w:t>
      </w:r>
      <w:r w:rsidRPr="001D621D">
        <w:t>. Relatedly</w:t>
      </w:r>
      <w:r w:rsidR="006C781A" w:rsidRPr="001D621D">
        <w:t xml:space="preserve">, future </w:t>
      </w:r>
      <w:r w:rsidR="00C75C96" w:rsidRPr="001D621D">
        <w:t xml:space="preserve">research </w:t>
      </w:r>
      <w:r w:rsidR="006C781A" w:rsidRPr="001D621D">
        <w:t xml:space="preserve">could examine which types of green marketing activities </w:t>
      </w:r>
      <w:r w:rsidR="00EB7D6B" w:rsidRPr="001D621D">
        <w:t xml:space="preserve">firms are </w:t>
      </w:r>
      <w:r w:rsidR="006C781A" w:rsidRPr="001D621D">
        <w:t>mo</w:t>
      </w:r>
      <w:r w:rsidR="00EB7D6B" w:rsidRPr="001D621D">
        <w:t>st</w:t>
      </w:r>
      <w:r w:rsidR="006C781A" w:rsidRPr="001D621D">
        <w:t xml:space="preserve"> </w:t>
      </w:r>
      <w:r w:rsidR="00EB7D6B" w:rsidRPr="001D621D">
        <w:t xml:space="preserve">likely to </w:t>
      </w:r>
      <w:r w:rsidR="006C781A" w:rsidRPr="001D621D">
        <w:t xml:space="preserve">invest </w:t>
      </w:r>
      <w:r w:rsidR="00EB7D6B" w:rsidRPr="001D621D">
        <w:t xml:space="preserve">in </w:t>
      </w:r>
      <w:r w:rsidR="006C781A" w:rsidRPr="001D621D">
        <w:t xml:space="preserve">or divest </w:t>
      </w:r>
      <w:r w:rsidR="00EB7D6B" w:rsidRPr="001D621D">
        <w:t xml:space="preserve">from </w:t>
      </w:r>
      <w:r w:rsidR="006C781A" w:rsidRPr="001D621D">
        <w:t>during a crisis (e.g., eco-product development</w:t>
      </w:r>
      <w:r w:rsidR="00EB7D6B" w:rsidRPr="001D621D">
        <w:t>,</w:t>
      </w:r>
      <w:r w:rsidR="000F7544" w:rsidRPr="001D621D">
        <w:t xml:space="preserve"> </w:t>
      </w:r>
      <w:r w:rsidR="00B22898" w:rsidRPr="001D621D">
        <w:t>development of environmentally responsible brands, green pricing policies</w:t>
      </w:r>
      <w:r w:rsidR="006C781A" w:rsidRPr="001D621D">
        <w:t xml:space="preserve">). </w:t>
      </w:r>
    </w:p>
    <w:p w14:paraId="256F76DB" w14:textId="6816947E" w:rsidR="007A417F" w:rsidRPr="001D621D" w:rsidRDefault="00490B3B" w:rsidP="005E1791">
      <w:pPr>
        <w:spacing w:line="480" w:lineRule="auto"/>
        <w:ind w:firstLine="720"/>
        <w:outlineLvl w:val="0"/>
      </w:pPr>
      <w:r w:rsidRPr="001D621D">
        <w:t xml:space="preserve">Fourth, </w:t>
      </w:r>
      <w:r w:rsidR="00EB7D6B" w:rsidRPr="001D621D">
        <w:t xml:space="preserve">regarding </w:t>
      </w:r>
      <w:r w:rsidR="00D93B42" w:rsidRPr="001D621D">
        <w:t xml:space="preserve">construct operationalizations, our study measured financial performance using accounting metrics (i.e., </w:t>
      </w:r>
      <w:r w:rsidR="00EB7D6B" w:rsidRPr="001D621D">
        <w:t xml:space="preserve">ROE and </w:t>
      </w:r>
      <w:r w:rsidR="00D93B42" w:rsidRPr="001D621D">
        <w:t>EBITDA)</w:t>
      </w:r>
      <w:r w:rsidR="00845D74" w:rsidRPr="001D621D">
        <w:t xml:space="preserve">. Future studies </w:t>
      </w:r>
      <w:r w:rsidR="00EB7D6B" w:rsidRPr="001D621D">
        <w:t>might</w:t>
      </w:r>
      <w:r w:rsidR="00B32B93" w:rsidRPr="001D621D">
        <w:t xml:space="preserve"> also</w:t>
      </w:r>
      <w:r w:rsidR="00845D74" w:rsidRPr="001D621D">
        <w:t xml:space="preserve"> consider including more comprehensive measures of environmental performance (e.g., </w:t>
      </w:r>
      <w:r w:rsidR="001479ED" w:rsidRPr="001D621D">
        <w:t>environmental, social, and governance</w:t>
      </w:r>
      <w:r w:rsidR="00845D74" w:rsidRPr="001D621D">
        <w:t xml:space="preserve"> ratings). Moreover, </w:t>
      </w:r>
      <w:r w:rsidR="001479ED" w:rsidRPr="001D621D">
        <w:t xml:space="preserve">we measured </w:t>
      </w:r>
      <w:r w:rsidR="00845D74" w:rsidRPr="001D621D">
        <w:t>resource</w:t>
      </w:r>
      <w:r w:rsidR="00D93B42" w:rsidRPr="001D621D">
        <w:t xml:space="preserve"> investment in </w:t>
      </w:r>
      <w:r w:rsidR="006D0D47" w:rsidRPr="001D621D">
        <w:t>GMS</w:t>
      </w:r>
      <w:r w:rsidR="001479ED" w:rsidRPr="001D621D">
        <w:t>s</w:t>
      </w:r>
      <w:r w:rsidR="00D93B42" w:rsidRPr="001D621D">
        <w:t xml:space="preserve"> </w:t>
      </w:r>
      <w:r w:rsidR="001479ED" w:rsidRPr="001D621D">
        <w:t xml:space="preserve">with </w:t>
      </w:r>
      <w:r w:rsidR="00D93B42" w:rsidRPr="001D621D">
        <w:t>a single</w:t>
      </w:r>
      <w:r w:rsidR="001479ED" w:rsidRPr="001D621D">
        <w:t>-</w:t>
      </w:r>
      <w:r w:rsidR="00D93B42" w:rsidRPr="001D621D">
        <w:t xml:space="preserve">item measure. </w:t>
      </w:r>
      <w:r w:rsidRPr="001D621D">
        <w:t xml:space="preserve">Although the </w:t>
      </w:r>
      <w:r w:rsidR="00845D74" w:rsidRPr="001D621D">
        <w:t>“double</w:t>
      </w:r>
      <w:r w:rsidR="001479ED" w:rsidRPr="001D621D">
        <w:t>-</w:t>
      </w:r>
      <w:r w:rsidR="00845D74" w:rsidRPr="001D621D">
        <w:t xml:space="preserve">concrete” nature of the GMR construct (as conceptualized in this study) </w:t>
      </w:r>
      <w:r w:rsidR="001479ED" w:rsidRPr="001D621D">
        <w:t>enables</w:t>
      </w:r>
      <w:r w:rsidR="00845D74" w:rsidRPr="001D621D">
        <w:t xml:space="preserve"> the use of a single-item scale (Rossiter</w:t>
      </w:r>
      <w:r w:rsidR="001479ED" w:rsidRPr="001D621D">
        <w:t>,</w:t>
      </w:r>
      <w:r w:rsidR="00845D74" w:rsidRPr="001D621D">
        <w:t xml:space="preserve"> 2002), future research </w:t>
      </w:r>
      <w:r w:rsidR="001479ED" w:rsidRPr="001D621D">
        <w:t>c</w:t>
      </w:r>
      <w:r w:rsidR="00845D74" w:rsidRPr="001D621D">
        <w:t xml:space="preserve">ould consider </w:t>
      </w:r>
      <w:r w:rsidR="00D93B42" w:rsidRPr="001D621D">
        <w:t xml:space="preserve">more fine-grained measures of </w:t>
      </w:r>
      <w:proofErr w:type="gramStart"/>
      <w:r w:rsidR="00D93B42" w:rsidRPr="001D621D">
        <w:t>firms</w:t>
      </w:r>
      <w:proofErr w:type="gramEnd"/>
      <w:r w:rsidR="00D93B42" w:rsidRPr="001D621D">
        <w:t xml:space="preserve"> strategic decisions to invest in or divest from green marketing activities during </w:t>
      </w:r>
      <w:r w:rsidR="001479ED" w:rsidRPr="001D621D">
        <w:t xml:space="preserve">a </w:t>
      </w:r>
      <w:r w:rsidR="00D93B42" w:rsidRPr="001D621D">
        <w:t>crisis</w:t>
      </w:r>
      <w:r w:rsidR="00D45D8B" w:rsidRPr="001D621D">
        <w:t xml:space="preserve"> (Flammer and Ioannou, 2021)</w:t>
      </w:r>
      <w:r w:rsidR="00D93B42" w:rsidRPr="001D621D">
        <w:t xml:space="preserve">.   </w:t>
      </w:r>
    </w:p>
    <w:p w14:paraId="1BFDC6C8" w14:textId="6991003D" w:rsidR="00684281" w:rsidRPr="003E7EE5" w:rsidRDefault="00845D74" w:rsidP="005E1791">
      <w:pPr>
        <w:spacing w:line="480" w:lineRule="auto"/>
        <w:ind w:firstLine="720"/>
        <w:outlineLvl w:val="0"/>
      </w:pPr>
      <w:r w:rsidRPr="001D621D">
        <w:t xml:space="preserve">Finally, our research </w:t>
      </w:r>
      <w:r w:rsidR="001479ED" w:rsidRPr="001D621D">
        <w:t xml:space="preserve">assessed </w:t>
      </w:r>
      <w:r w:rsidRPr="001D621D">
        <w:t>a</w:t>
      </w:r>
      <w:r w:rsidR="00B74BCD" w:rsidRPr="001D621D">
        <w:t xml:space="preserve"> financial </w:t>
      </w:r>
      <w:r w:rsidRPr="001D621D">
        <w:t xml:space="preserve">crisis and focused on the country market most heavily affected by it. </w:t>
      </w:r>
      <w:r w:rsidR="00684281" w:rsidRPr="001D621D">
        <w:t>Although the</w:t>
      </w:r>
      <w:r w:rsidRPr="001D621D">
        <w:t xml:space="preserve"> macroeconomic symptoms of different</w:t>
      </w:r>
      <w:r w:rsidR="00B74BCD" w:rsidRPr="001D621D">
        <w:t xml:space="preserve"> crises are often similar, the</w:t>
      </w:r>
      <w:r w:rsidR="00684281" w:rsidRPr="001D621D">
        <w:t xml:space="preserve"> precise nature of every crisis is usually </w:t>
      </w:r>
      <w:r w:rsidR="00B74BCD" w:rsidRPr="001D621D">
        <w:t>unique</w:t>
      </w:r>
      <w:r w:rsidR="00684281" w:rsidRPr="001D621D">
        <w:t xml:space="preserve"> (e.g., the Great Recession in 2008, Eurozone crisis, COVID-19</w:t>
      </w:r>
      <w:r w:rsidR="001479ED" w:rsidRPr="001D621D">
        <w:t xml:space="preserve"> pandemic</w:t>
      </w:r>
      <w:r w:rsidR="00684281" w:rsidRPr="001D621D">
        <w:t>, current energy crisis)</w:t>
      </w:r>
      <w:r w:rsidR="00B74BCD" w:rsidRPr="001D621D">
        <w:t xml:space="preserve">. </w:t>
      </w:r>
      <w:r w:rsidR="001479ED" w:rsidRPr="001D621D">
        <w:t>D</w:t>
      </w:r>
      <w:r w:rsidR="00B74BCD" w:rsidRPr="001D621D">
        <w:t>ifferences in the institutional environment, the national economy</w:t>
      </w:r>
      <w:r w:rsidR="001479ED" w:rsidRPr="001D621D">
        <w:t>,</w:t>
      </w:r>
      <w:r w:rsidR="00B74BCD" w:rsidRPr="001D621D">
        <w:t xml:space="preserve"> and the culture of countries undergoing a crisis may also </w:t>
      </w:r>
      <w:r w:rsidR="001479ED" w:rsidRPr="001D621D">
        <w:t>influence</w:t>
      </w:r>
      <w:r w:rsidR="00B74BCD" w:rsidRPr="001D621D">
        <w:t xml:space="preserve"> managerial responses</w:t>
      </w:r>
      <w:r w:rsidR="00D45D8B" w:rsidRPr="001D621D">
        <w:t xml:space="preserve"> (Choi </w:t>
      </w:r>
      <w:r w:rsidR="00D45D8B" w:rsidRPr="001D621D">
        <w:rPr>
          <w:i/>
          <w:iCs/>
        </w:rPr>
        <w:t>et al.</w:t>
      </w:r>
      <w:r w:rsidR="00D45D8B" w:rsidRPr="001D621D">
        <w:t xml:space="preserve">, 2016; </w:t>
      </w:r>
      <w:proofErr w:type="spellStart"/>
      <w:r w:rsidR="00D45D8B" w:rsidRPr="001D621D">
        <w:t>Rathert</w:t>
      </w:r>
      <w:proofErr w:type="spellEnd"/>
      <w:r w:rsidR="00D45D8B" w:rsidRPr="001D621D">
        <w:t>, 2016)</w:t>
      </w:r>
      <w:r w:rsidR="00B74BCD" w:rsidRPr="001D621D">
        <w:t>. Therefore, future research should replicate our findings in the context of different crises and country markets to test their generalizability.</w:t>
      </w:r>
      <w:r w:rsidR="00B74BCD" w:rsidRPr="003E7EE5">
        <w:t xml:space="preserve">  </w:t>
      </w:r>
    </w:p>
    <w:p w14:paraId="3983E40B" w14:textId="77777777" w:rsidR="00684281" w:rsidRPr="003E7EE5" w:rsidRDefault="00684281" w:rsidP="004238CB">
      <w:pPr>
        <w:spacing w:after="120" w:line="480" w:lineRule="auto"/>
        <w:outlineLvl w:val="0"/>
      </w:pPr>
    </w:p>
    <w:p w14:paraId="0420A0BD" w14:textId="7D5716A9" w:rsidR="003B39C1" w:rsidRPr="003E7EE5" w:rsidRDefault="00D45D8B" w:rsidP="00151408">
      <w:r>
        <w:rPr>
          <w:b/>
          <w:bCs/>
        </w:rPr>
        <w:lastRenderedPageBreak/>
        <w:t>R</w:t>
      </w:r>
      <w:r w:rsidR="003B39C1" w:rsidRPr="003E7EE5">
        <w:rPr>
          <w:b/>
          <w:bCs/>
        </w:rPr>
        <w:t>eferences</w:t>
      </w:r>
    </w:p>
    <w:p w14:paraId="173F5856" w14:textId="68EE2186" w:rsidR="004344A9" w:rsidRPr="003E7EE5" w:rsidRDefault="004344A9" w:rsidP="0017312F">
      <w:pPr>
        <w:spacing w:line="360" w:lineRule="auto"/>
        <w:ind w:left="426" w:hanging="426"/>
        <w:rPr>
          <w:rFonts w:eastAsia="Times New Roman"/>
          <w:color w:val="000000" w:themeColor="text1"/>
          <w:sz w:val="36"/>
          <w:szCs w:val="36"/>
          <w:lang w:eastAsia="en-GB"/>
        </w:rPr>
      </w:pPr>
      <w:proofErr w:type="spellStart"/>
      <w:r w:rsidRPr="003E7EE5">
        <w:rPr>
          <w:color w:val="000000" w:themeColor="text1"/>
          <w:shd w:val="clear" w:color="auto" w:fill="FFFFFF"/>
        </w:rPr>
        <w:t>Ambulkar</w:t>
      </w:r>
      <w:proofErr w:type="spellEnd"/>
      <w:r w:rsidRPr="003E7EE5">
        <w:rPr>
          <w:color w:val="000000" w:themeColor="text1"/>
          <w:shd w:val="clear" w:color="auto" w:fill="FFFFFF"/>
        </w:rPr>
        <w:t xml:space="preserve">, S., Blackhurst, J. and </w:t>
      </w:r>
      <w:proofErr w:type="spellStart"/>
      <w:r w:rsidRPr="003E7EE5">
        <w:rPr>
          <w:color w:val="000000" w:themeColor="text1"/>
          <w:shd w:val="clear" w:color="auto" w:fill="FFFFFF"/>
        </w:rPr>
        <w:t>Grawe</w:t>
      </w:r>
      <w:proofErr w:type="spellEnd"/>
      <w:r w:rsidRPr="003E7EE5">
        <w:rPr>
          <w:color w:val="000000" w:themeColor="text1"/>
          <w:shd w:val="clear" w:color="auto" w:fill="FFFFFF"/>
        </w:rPr>
        <w:t>, S. (2015)</w:t>
      </w:r>
      <w:r w:rsidR="00057B57">
        <w:rPr>
          <w:color w:val="000000" w:themeColor="text1"/>
          <w:shd w:val="clear" w:color="auto" w:fill="FFFFFF"/>
        </w:rPr>
        <w:t>,</w:t>
      </w:r>
      <w:r w:rsidRPr="003E7EE5">
        <w:rPr>
          <w:color w:val="000000" w:themeColor="text1"/>
          <w:shd w:val="clear" w:color="auto" w:fill="FFFFFF"/>
        </w:rPr>
        <w:t xml:space="preserve"> “Firm's resilience to supply chain</w:t>
      </w:r>
      <w:r w:rsidR="0017312F" w:rsidRPr="003E7EE5">
        <w:rPr>
          <w:color w:val="000000" w:themeColor="text1"/>
          <w:shd w:val="clear" w:color="auto" w:fill="FFFFFF"/>
        </w:rPr>
        <w:t xml:space="preserve"> </w:t>
      </w:r>
      <w:r w:rsidRPr="003E7EE5">
        <w:rPr>
          <w:color w:val="000000" w:themeColor="text1"/>
          <w:shd w:val="clear" w:color="auto" w:fill="FFFFFF"/>
        </w:rPr>
        <w:t xml:space="preserve">disruptions: </w:t>
      </w:r>
      <w:r w:rsidR="0049601E">
        <w:rPr>
          <w:color w:val="000000" w:themeColor="text1"/>
          <w:shd w:val="clear" w:color="auto" w:fill="FFFFFF"/>
        </w:rPr>
        <w:t>s</w:t>
      </w:r>
      <w:r w:rsidRPr="003E7EE5">
        <w:rPr>
          <w:color w:val="000000" w:themeColor="text1"/>
          <w:shd w:val="clear" w:color="auto" w:fill="FFFFFF"/>
        </w:rPr>
        <w:t>cale development and empirical examination”, </w:t>
      </w:r>
      <w:r w:rsidRPr="003E7EE5">
        <w:rPr>
          <w:i/>
          <w:iCs/>
          <w:color w:val="000000" w:themeColor="text1"/>
          <w:shd w:val="clear" w:color="auto" w:fill="FFFFFF"/>
        </w:rPr>
        <w:t xml:space="preserve">Journal of </w:t>
      </w:r>
      <w:r w:rsidR="0017312F" w:rsidRPr="003E7EE5">
        <w:rPr>
          <w:i/>
          <w:iCs/>
          <w:color w:val="000000" w:themeColor="text1"/>
          <w:shd w:val="clear" w:color="auto" w:fill="FFFFFF"/>
        </w:rPr>
        <w:t>O</w:t>
      </w:r>
      <w:r w:rsidRPr="003E7EE5">
        <w:rPr>
          <w:i/>
          <w:iCs/>
          <w:color w:val="000000" w:themeColor="text1"/>
          <w:shd w:val="clear" w:color="auto" w:fill="FFFFFF"/>
        </w:rPr>
        <w:t>perations</w:t>
      </w:r>
      <w:r w:rsidR="0017312F" w:rsidRPr="003E7EE5">
        <w:rPr>
          <w:i/>
          <w:iCs/>
          <w:color w:val="000000" w:themeColor="text1"/>
          <w:shd w:val="clear" w:color="auto" w:fill="FFFFFF"/>
        </w:rPr>
        <w:t xml:space="preserve"> M</w:t>
      </w:r>
      <w:r w:rsidRPr="003E7EE5">
        <w:rPr>
          <w:i/>
          <w:iCs/>
          <w:color w:val="000000" w:themeColor="text1"/>
          <w:shd w:val="clear" w:color="auto" w:fill="FFFFFF"/>
        </w:rPr>
        <w:t>anagement</w:t>
      </w:r>
      <w:r w:rsidRPr="003E7EE5">
        <w:rPr>
          <w:color w:val="000000" w:themeColor="text1"/>
          <w:shd w:val="clear" w:color="auto" w:fill="FFFFFF"/>
        </w:rPr>
        <w:t>, Vol. 33, pp. 111-122</w:t>
      </w:r>
      <w:r w:rsidR="0017312F" w:rsidRPr="003E7EE5">
        <w:rPr>
          <w:color w:val="000000" w:themeColor="text1"/>
          <w:shd w:val="clear" w:color="auto" w:fill="FFFFFF"/>
        </w:rPr>
        <w:t>.</w:t>
      </w:r>
    </w:p>
    <w:p w14:paraId="3DD57982" w14:textId="205701BF" w:rsidR="00D945F9" w:rsidRPr="003E7EE5" w:rsidRDefault="00772EA4"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An</w:t>
      </w:r>
      <w:r w:rsidR="00F9415D" w:rsidRPr="003E7EE5">
        <w:rPr>
          <w:rFonts w:eastAsia="Times New Roman"/>
          <w:color w:val="000000" w:themeColor="text1"/>
          <w:shd w:val="clear" w:color="auto" w:fill="FFFFFF"/>
        </w:rPr>
        <w:t xml:space="preserve">derson, J.C. </w:t>
      </w:r>
      <w:r w:rsidR="007E71B6" w:rsidRPr="003E7EE5">
        <w:rPr>
          <w:rFonts w:eastAsia="Times New Roman"/>
          <w:color w:val="000000" w:themeColor="text1"/>
          <w:shd w:val="clear" w:color="auto" w:fill="FFFFFF"/>
        </w:rPr>
        <w:t>and</w:t>
      </w:r>
      <w:r w:rsidR="00F9415D" w:rsidRPr="003E7EE5">
        <w:rPr>
          <w:rFonts w:eastAsia="Times New Roman"/>
          <w:color w:val="000000" w:themeColor="text1"/>
          <w:shd w:val="clear" w:color="auto" w:fill="FFFFFF"/>
        </w:rPr>
        <w:t xml:space="preserve"> Gerbing</w:t>
      </w:r>
      <w:r w:rsidR="00DD30BE" w:rsidRPr="003E7EE5">
        <w:rPr>
          <w:rFonts w:eastAsia="Times New Roman"/>
          <w:color w:val="000000" w:themeColor="text1"/>
          <w:shd w:val="clear" w:color="auto" w:fill="FFFFFF"/>
        </w:rPr>
        <w:t>, D.W.</w:t>
      </w:r>
      <w:r w:rsidR="00F9415D" w:rsidRPr="003E7EE5">
        <w:rPr>
          <w:rFonts w:eastAsia="Times New Roman"/>
          <w:color w:val="000000" w:themeColor="text1"/>
          <w:shd w:val="clear" w:color="auto" w:fill="FFFFFF"/>
        </w:rPr>
        <w:t xml:space="preserve"> </w:t>
      </w:r>
      <w:r w:rsidR="00D945F9" w:rsidRPr="003E7EE5">
        <w:rPr>
          <w:rFonts w:eastAsia="Times New Roman"/>
          <w:color w:val="000000" w:themeColor="text1"/>
          <w:shd w:val="clear" w:color="auto" w:fill="FFFFFF"/>
        </w:rPr>
        <w:t>(1988)</w:t>
      </w:r>
      <w:r w:rsidR="00073108" w:rsidRPr="003E7EE5">
        <w:rPr>
          <w:rFonts w:eastAsia="Times New Roman"/>
          <w:color w:val="000000" w:themeColor="text1"/>
          <w:shd w:val="clear" w:color="auto" w:fill="FFFFFF"/>
        </w:rPr>
        <w:t>,</w:t>
      </w:r>
      <w:r w:rsidR="00F9415D" w:rsidRPr="003E7EE5">
        <w:rPr>
          <w:rFonts w:eastAsia="Times New Roman"/>
          <w:color w:val="000000" w:themeColor="text1"/>
          <w:shd w:val="clear" w:color="auto" w:fill="FFFFFF"/>
        </w:rPr>
        <w:t xml:space="preserve"> </w:t>
      </w:r>
      <w:r w:rsidR="00073108" w:rsidRPr="003E7EE5">
        <w:rPr>
          <w:rFonts w:eastAsia="Times New Roman"/>
          <w:color w:val="000000" w:themeColor="text1"/>
          <w:shd w:val="clear" w:color="auto" w:fill="FFFFFF"/>
        </w:rPr>
        <w:t>“</w:t>
      </w:r>
      <w:r w:rsidR="00D945F9" w:rsidRPr="003E7EE5">
        <w:rPr>
          <w:rFonts w:eastAsia="Times New Roman"/>
          <w:color w:val="000000" w:themeColor="text1"/>
          <w:shd w:val="clear" w:color="auto" w:fill="FFFFFF"/>
        </w:rPr>
        <w:t xml:space="preserve">Structural equation modeling in practice: </w:t>
      </w:r>
      <w:r w:rsidR="0049601E">
        <w:rPr>
          <w:rFonts w:eastAsia="Times New Roman"/>
          <w:color w:val="000000" w:themeColor="text1"/>
          <w:shd w:val="clear" w:color="auto" w:fill="FFFFFF"/>
        </w:rPr>
        <w:t>a</w:t>
      </w:r>
      <w:r w:rsidR="00D945F9" w:rsidRPr="003E7EE5">
        <w:rPr>
          <w:rFonts w:eastAsia="Times New Roman"/>
          <w:color w:val="000000" w:themeColor="text1"/>
          <w:shd w:val="clear" w:color="auto" w:fill="FFFFFF"/>
        </w:rPr>
        <w:t xml:space="preserve"> review an</w:t>
      </w:r>
      <w:r w:rsidR="00F9415D" w:rsidRPr="003E7EE5">
        <w:rPr>
          <w:rFonts w:eastAsia="Times New Roman"/>
          <w:color w:val="000000" w:themeColor="text1"/>
          <w:shd w:val="clear" w:color="auto" w:fill="FFFFFF"/>
        </w:rPr>
        <w:t>d recommended two-step approach</w:t>
      </w:r>
      <w:r w:rsidR="00073108" w:rsidRPr="003E7EE5">
        <w:rPr>
          <w:rFonts w:eastAsia="Times New Roman"/>
          <w:color w:val="000000" w:themeColor="text1"/>
          <w:shd w:val="clear" w:color="auto" w:fill="FFFFFF"/>
        </w:rPr>
        <w:t>”,</w:t>
      </w:r>
      <w:r w:rsidR="00617A5D" w:rsidRPr="003E7EE5">
        <w:rPr>
          <w:rFonts w:eastAsia="Times New Roman"/>
          <w:color w:val="000000" w:themeColor="text1"/>
          <w:shd w:val="clear" w:color="auto" w:fill="FFFFFF"/>
        </w:rPr>
        <w:t xml:space="preserve"> </w:t>
      </w:r>
      <w:r w:rsidR="00D945F9" w:rsidRPr="003E7EE5">
        <w:rPr>
          <w:rFonts w:eastAsia="Times New Roman"/>
          <w:i/>
          <w:iCs/>
          <w:color w:val="000000" w:themeColor="text1"/>
          <w:shd w:val="clear" w:color="auto" w:fill="FFFFFF"/>
        </w:rPr>
        <w:t>Psychological Bulletin,</w:t>
      </w:r>
      <w:r w:rsidR="00D945F9" w:rsidRPr="003E7EE5">
        <w:rPr>
          <w:rFonts w:eastAsia="Times New Roman"/>
          <w:color w:val="000000" w:themeColor="text1"/>
          <w:shd w:val="clear" w:color="auto" w:fill="FFFFFF"/>
        </w:rPr>
        <w:t xml:space="preserve"> </w:t>
      </w:r>
      <w:r w:rsidR="00073108" w:rsidRPr="003E7EE5">
        <w:rPr>
          <w:rFonts w:eastAsia="Times New Roman"/>
          <w:iCs/>
          <w:color w:val="000000" w:themeColor="text1"/>
          <w:shd w:val="clear" w:color="auto" w:fill="FFFFFF"/>
        </w:rPr>
        <w:t>Vol. 103 No. 3</w:t>
      </w:r>
      <w:r w:rsidR="00D945F9" w:rsidRPr="003E7EE5">
        <w:rPr>
          <w:rFonts w:eastAsia="Times New Roman"/>
          <w:color w:val="000000" w:themeColor="text1"/>
          <w:shd w:val="clear" w:color="auto" w:fill="FFFFFF"/>
        </w:rPr>
        <w:t xml:space="preserve">, </w:t>
      </w:r>
      <w:r w:rsidR="00F9415D" w:rsidRPr="003E7EE5">
        <w:rPr>
          <w:rFonts w:eastAsia="Times New Roman"/>
          <w:color w:val="000000" w:themeColor="text1"/>
          <w:shd w:val="clear" w:color="auto" w:fill="FFFFFF"/>
        </w:rPr>
        <w:t xml:space="preserve">pp. </w:t>
      </w:r>
      <w:r w:rsidR="00D945F9" w:rsidRPr="003E7EE5">
        <w:rPr>
          <w:rFonts w:eastAsia="Times New Roman"/>
          <w:color w:val="000000" w:themeColor="text1"/>
          <w:shd w:val="clear" w:color="auto" w:fill="FFFFFF"/>
        </w:rPr>
        <w:t>411–423.</w:t>
      </w:r>
    </w:p>
    <w:p w14:paraId="67B11660" w14:textId="7CA86917" w:rsidR="003B39C1" w:rsidRPr="003E7EE5" w:rsidRDefault="00F9415D" w:rsidP="00F12072">
      <w:pPr>
        <w:spacing w:line="360" w:lineRule="auto"/>
        <w:ind w:left="426" w:hanging="426"/>
        <w:jc w:val="both"/>
        <w:rPr>
          <w:rFonts w:eastAsia="Times New Roman"/>
          <w:color w:val="000000" w:themeColor="text1"/>
          <w:shd w:val="clear" w:color="auto" w:fill="FFFFFF"/>
        </w:rPr>
      </w:pPr>
      <w:r w:rsidRPr="003E7EE5">
        <w:rPr>
          <w:rFonts w:eastAsia="Times New Roman"/>
          <w:color w:val="000000" w:themeColor="text1"/>
          <w:shd w:val="clear" w:color="auto" w:fill="FFFFFF"/>
        </w:rPr>
        <w:t xml:space="preserve">Aragón-Correa, J.A.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Sharma</w:t>
      </w:r>
      <w:r w:rsidR="00DD30BE" w:rsidRPr="003E7EE5">
        <w:rPr>
          <w:rFonts w:eastAsia="Times New Roman"/>
          <w:color w:val="000000" w:themeColor="text1"/>
          <w:shd w:val="clear" w:color="auto" w:fill="FFFFFF"/>
        </w:rPr>
        <w:t>, S</w:t>
      </w:r>
      <w:r w:rsidR="003B39C1" w:rsidRPr="003E7EE5">
        <w:rPr>
          <w:rFonts w:eastAsia="Times New Roman"/>
          <w:color w:val="000000" w:themeColor="text1"/>
          <w:shd w:val="clear" w:color="auto" w:fill="FFFFFF"/>
        </w:rPr>
        <w:t xml:space="preserve"> (2003)</w:t>
      </w:r>
      <w:r w:rsidR="00073108"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 </w:t>
      </w:r>
      <w:r w:rsidR="00073108"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A contingent resource-based view of proactive corporate environmental strategy</w:t>
      </w:r>
      <w:r w:rsidR="00073108" w:rsidRPr="003E7EE5">
        <w:rPr>
          <w:rFonts w:eastAsia="Times New Roman"/>
          <w:color w:val="000000" w:themeColor="text1"/>
          <w:shd w:val="clear" w:color="auto" w:fill="FFFFFF"/>
        </w:rPr>
        <w:t>”</w:t>
      </w:r>
      <w:r w:rsidR="00EB187D" w:rsidRPr="003E7EE5">
        <w:rPr>
          <w:rFonts w:eastAsia="Times New Roman"/>
          <w:color w:val="000000" w:themeColor="text1"/>
          <w:shd w:val="clear" w:color="auto" w:fill="FFFFFF"/>
        </w:rPr>
        <w:t>,</w:t>
      </w:r>
      <w:r w:rsidR="003B39C1" w:rsidRPr="003E7EE5">
        <w:rPr>
          <w:rStyle w:val="apple-converted-space"/>
          <w:rFonts w:eastAsia="Times New Roman"/>
          <w:color w:val="000000" w:themeColor="text1"/>
          <w:shd w:val="clear" w:color="auto" w:fill="FFFFFF"/>
        </w:rPr>
        <w:t> </w:t>
      </w:r>
      <w:r w:rsidR="003B39C1" w:rsidRPr="003E7EE5">
        <w:rPr>
          <w:rFonts w:eastAsia="Times New Roman"/>
          <w:i/>
          <w:iCs/>
          <w:color w:val="000000" w:themeColor="text1"/>
        </w:rPr>
        <w:t xml:space="preserve">Academy of Management </w:t>
      </w:r>
      <w:r w:rsidR="00230562" w:rsidRPr="003E7EE5">
        <w:rPr>
          <w:rFonts w:eastAsia="Times New Roman"/>
          <w:i/>
          <w:iCs/>
          <w:color w:val="000000" w:themeColor="text1"/>
        </w:rPr>
        <w:t>R</w:t>
      </w:r>
      <w:r w:rsidR="003B39C1" w:rsidRPr="003E7EE5">
        <w:rPr>
          <w:rFonts w:eastAsia="Times New Roman"/>
          <w:i/>
          <w:iCs/>
          <w:color w:val="000000" w:themeColor="text1"/>
        </w:rPr>
        <w:t>eview</w:t>
      </w:r>
      <w:r w:rsidR="003B39C1" w:rsidRPr="003E7EE5">
        <w:rPr>
          <w:rFonts w:eastAsia="Times New Roman"/>
          <w:color w:val="000000" w:themeColor="text1"/>
          <w:shd w:val="clear" w:color="auto" w:fill="FFFFFF"/>
        </w:rPr>
        <w:t>,</w:t>
      </w:r>
      <w:r w:rsidR="003B39C1" w:rsidRPr="003E7EE5">
        <w:rPr>
          <w:rStyle w:val="apple-converted-space"/>
          <w:rFonts w:eastAsia="Times New Roman"/>
          <w:color w:val="000000" w:themeColor="text1"/>
          <w:shd w:val="clear" w:color="auto" w:fill="FFFFFF"/>
        </w:rPr>
        <w:t> </w:t>
      </w:r>
      <w:r w:rsidR="00073108" w:rsidRPr="003E7EE5">
        <w:rPr>
          <w:rFonts w:eastAsia="Times New Roman"/>
          <w:iCs/>
          <w:color w:val="000000" w:themeColor="text1"/>
        </w:rPr>
        <w:t>Vol. 28</w:t>
      </w:r>
      <w:r w:rsidR="00073108" w:rsidRPr="003E7EE5">
        <w:rPr>
          <w:rFonts w:eastAsia="Times New Roman"/>
          <w:color w:val="000000" w:themeColor="text1"/>
          <w:shd w:val="clear" w:color="auto" w:fill="FFFFFF"/>
        </w:rPr>
        <w:t xml:space="preserve"> No. </w:t>
      </w:r>
      <w:r w:rsidR="00D91A96" w:rsidRPr="003E7EE5">
        <w:rPr>
          <w:rFonts w:eastAsia="Times New Roman"/>
          <w:color w:val="000000" w:themeColor="text1"/>
          <w:shd w:val="clear" w:color="auto" w:fill="FFFFFF"/>
        </w:rPr>
        <w:t>1</w:t>
      </w:r>
      <w:r w:rsidR="003B39C1"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 xml:space="preserve">pp. </w:t>
      </w:r>
      <w:r w:rsidR="003B39C1" w:rsidRPr="003E7EE5">
        <w:rPr>
          <w:rFonts w:eastAsia="Times New Roman"/>
          <w:color w:val="000000" w:themeColor="text1"/>
          <w:shd w:val="clear" w:color="auto" w:fill="FFFFFF"/>
        </w:rPr>
        <w:t>71-88.</w:t>
      </w:r>
    </w:p>
    <w:p w14:paraId="0FB445F5" w14:textId="207AEECC" w:rsidR="003B39C1" w:rsidRPr="003E7EE5" w:rsidRDefault="004E68A6" w:rsidP="00F12072">
      <w:pPr>
        <w:autoSpaceDE w:val="0"/>
        <w:autoSpaceDN w:val="0"/>
        <w:adjustRightInd w:val="0"/>
        <w:spacing w:line="360" w:lineRule="auto"/>
        <w:ind w:left="426" w:hanging="426"/>
        <w:rPr>
          <w:color w:val="000000" w:themeColor="text1"/>
        </w:rPr>
      </w:pPr>
      <w:r w:rsidRPr="003E7EE5">
        <w:rPr>
          <w:color w:val="000000" w:themeColor="text1"/>
        </w:rPr>
        <w:t xml:space="preserve">Armstrong, J.S. </w:t>
      </w:r>
      <w:r w:rsidR="007E71B6" w:rsidRPr="003E7EE5">
        <w:rPr>
          <w:color w:val="000000" w:themeColor="text1"/>
        </w:rPr>
        <w:t>and</w:t>
      </w:r>
      <w:r w:rsidRPr="003E7EE5">
        <w:rPr>
          <w:color w:val="000000" w:themeColor="text1"/>
        </w:rPr>
        <w:t xml:space="preserve"> Overton</w:t>
      </w:r>
      <w:r w:rsidR="00DD30BE" w:rsidRPr="003E7EE5">
        <w:rPr>
          <w:color w:val="000000" w:themeColor="text1"/>
        </w:rPr>
        <w:t>, T.S.</w:t>
      </w:r>
      <w:r w:rsidR="003B39C1" w:rsidRPr="003E7EE5">
        <w:rPr>
          <w:color w:val="000000" w:themeColor="text1"/>
        </w:rPr>
        <w:t xml:space="preserve"> (1977)</w:t>
      </w:r>
      <w:r w:rsidR="00073108" w:rsidRPr="003E7EE5">
        <w:rPr>
          <w:color w:val="000000" w:themeColor="text1"/>
        </w:rPr>
        <w:t>,</w:t>
      </w:r>
      <w:r w:rsidR="003B39C1" w:rsidRPr="003E7EE5">
        <w:rPr>
          <w:color w:val="000000" w:themeColor="text1"/>
        </w:rPr>
        <w:t xml:space="preserve"> </w:t>
      </w:r>
      <w:r w:rsidR="00073108" w:rsidRPr="003E7EE5">
        <w:rPr>
          <w:color w:val="000000" w:themeColor="text1"/>
        </w:rPr>
        <w:t>“</w:t>
      </w:r>
      <w:r w:rsidR="003B39C1" w:rsidRPr="003E7EE5">
        <w:rPr>
          <w:color w:val="000000" w:themeColor="text1"/>
        </w:rPr>
        <w:t>Estimating no</w:t>
      </w:r>
      <w:r w:rsidR="007E24C9" w:rsidRPr="003E7EE5">
        <w:rPr>
          <w:color w:val="000000" w:themeColor="text1"/>
        </w:rPr>
        <w:t>n</w:t>
      </w:r>
      <w:r w:rsidR="00073108" w:rsidRPr="003E7EE5">
        <w:rPr>
          <w:color w:val="000000" w:themeColor="text1"/>
        </w:rPr>
        <w:t>-</w:t>
      </w:r>
      <w:r w:rsidR="007E24C9" w:rsidRPr="003E7EE5">
        <w:rPr>
          <w:color w:val="000000" w:themeColor="text1"/>
        </w:rPr>
        <w:t>response bias in mail surveys</w:t>
      </w:r>
      <w:r w:rsidR="00073108" w:rsidRPr="003E7EE5">
        <w:rPr>
          <w:color w:val="000000" w:themeColor="text1"/>
        </w:rPr>
        <w:t>”</w:t>
      </w:r>
      <w:r w:rsidR="0049601E">
        <w:rPr>
          <w:color w:val="000000" w:themeColor="text1"/>
        </w:rPr>
        <w:t>,</w:t>
      </w:r>
      <w:r w:rsidRPr="003E7EE5">
        <w:rPr>
          <w:color w:val="000000" w:themeColor="text1"/>
        </w:rPr>
        <w:t xml:space="preserve"> </w:t>
      </w:r>
      <w:r w:rsidR="007E24C9" w:rsidRPr="003E7EE5">
        <w:rPr>
          <w:i/>
          <w:iCs/>
          <w:color w:val="000000" w:themeColor="text1"/>
        </w:rPr>
        <w:t>Journal of Marketing Research</w:t>
      </w:r>
      <w:r w:rsidR="007E24C9" w:rsidRPr="005E1791">
        <w:rPr>
          <w:color w:val="000000" w:themeColor="text1"/>
        </w:rPr>
        <w:t>,</w:t>
      </w:r>
      <w:r w:rsidR="007E24C9" w:rsidRPr="003E7EE5">
        <w:rPr>
          <w:i/>
          <w:iCs/>
          <w:color w:val="000000" w:themeColor="text1"/>
        </w:rPr>
        <w:t xml:space="preserve"> </w:t>
      </w:r>
      <w:r w:rsidR="00073108" w:rsidRPr="003E7EE5">
        <w:rPr>
          <w:iCs/>
          <w:color w:val="000000" w:themeColor="text1"/>
        </w:rPr>
        <w:t xml:space="preserve">Vol. 14 No. </w:t>
      </w:r>
      <w:r w:rsidR="00B052F7" w:rsidRPr="003E7EE5">
        <w:rPr>
          <w:iCs/>
          <w:color w:val="000000" w:themeColor="text1"/>
        </w:rPr>
        <w:t>3</w:t>
      </w:r>
      <w:r w:rsidR="003B39C1" w:rsidRPr="003E7EE5">
        <w:rPr>
          <w:color w:val="000000" w:themeColor="text1"/>
        </w:rPr>
        <w:t xml:space="preserve">, </w:t>
      </w:r>
      <w:r w:rsidR="007E24C9" w:rsidRPr="003E7EE5">
        <w:rPr>
          <w:color w:val="000000" w:themeColor="text1"/>
        </w:rPr>
        <w:t xml:space="preserve">pp. </w:t>
      </w:r>
      <w:r w:rsidR="003B39C1" w:rsidRPr="003E7EE5">
        <w:rPr>
          <w:color w:val="000000" w:themeColor="text1"/>
        </w:rPr>
        <w:t>396–402.</w:t>
      </w:r>
    </w:p>
    <w:p w14:paraId="387ACD28" w14:textId="6BD5BD86" w:rsidR="003B39C1" w:rsidRPr="003E7EE5" w:rsidRDefault="007E24C9" w:rsidP="00F12072">
      <w:pPr>
        <w:spacing w:line="360" w:lineRule="auto"/>
        <w:ind w:left="426" w:hanging="426"/>
        <w:jc w:val="both"/>
        <w:rPr>
          <w:color w:val="000000" w:themeColor="text1"/>
        </w:rPr>
      </w:pPr>
      <w:r w:rsidRPr="003E7EE5">
        <w:rPr>
          <w:color w:val="000000" w:themeColor="text1"/>
        </w:rPr>
        <w:t xml:space="preserve">Baker, W.E. </w:t>
      </w:r>
      <w:r w:rsidR="007E71B6" w:rsidRPr="003E7EE5">
        <w:rPr>
          <w:color w:val="000000" w:themeColor="text1"/>
        </w:rPr>
        <w:t>and</w:t>
      </w:r>
      <w:r w:rsidRPr="003E7EE5">
        <w:rPr>
          <w:color w:val="000000" w:themeColor="text1"/>
        </w:rPr>
        <w:t xml:space="preserve"> Sinkula</w:t>
      </w:r>
      <w:r w:rsidR="00DD30BE" w:rsidRPr="003E7EE5">
        <w:rPr>
          <w:color w:val="000000" w:themeColor="text1"/>
        </w:rPr>
        <w:t>, J.M.</w:t>
      </w:r>
      <w:r w:rsidRPr="003E7EE5">
        <w:rPr>
          <w:color w:val="000000" w:themeColor="text1"/>
        </w:rPr>
        <w:t xml:space="preserve"> (2005)</w:t>
      </w:r>
      <w:r w:rsidR="008D7F00" w:rsidRPr="003E7EE5">
        <w:rPr>
          <w:color w:val="000000" w:themeColor="text1"/>
        </w:rPr>
        <w:t>,</w:t>
      </w:r>
      <w:r w:rsidRPr="003E7EE5">
        <w:rPr>
          <w:color w:val="000000" w:themeColor="text1"/>
        </w:rPr>
        <w:t xml:space="preserve"> </w:t>
      </w:r>
      <w:r w:rsidR="00073108" w:rsidRPr="003E7EE5">
        <w:rPr>
          <w:color w:val="000000" w:themeColor="text1"/>
        </w:rPr>
        <w:t>“</w:t>
      </w:r>
      <w:r w:rsidR="003B39C1" w:rsidRPr="003E7EE5">
        <w:rPr>
          <w:color w:val="000000" w:themeColor="text1"/>
        </w:rPr>
        <w:t>Market orientation and the new product paradox</w:t>
      </w:r>
      <w:r w:rsidR="00073108" w:rsidRPr="003E7EE5">
        <w:rPr>
          <w:color w:val="000000" w:themeColor="text1"/>
        </w:rPr>
        <w:t>”</w:t>
      </w:r>
      <w:r w:rsidR="0049601E">
        <w:rPr>
          <w:color w:val="000000" w:themeColor="text1"/>
        </w:rPr>
        <w:t>,</w:t>
      </w:r>
      <w:r w:rsidR="003B39C1" w:rsidRPr="003E7EE5">
        <w:rPr>
          <w:color w:val="000000" w:themeColor="text1"/>
        </w:rPr>
        <w:t xml:space="preserve"> </w:t>
      </w:r>
      <w:r w:rsidR="003B39C1" w:rsidRPr="003E7EE5">
        <w:rPr>
          <w:i/>
          <w:iCs/>
          <w:color w:val="000000" w:themeColor="text1"/>
        </w:rPr>
        <w:t>Journal of Product Innovation Management</w:t>
      </w:r>
      <w:r w:rsidR="003B39C1" w:rsidRPr="003E7EE5">
        <w:rPr>
          <w:color w:val="000000" w:themeColor="text1"/>
        </w:rPr>
        <w:t xml:space="preserve">, </w:t>
      </w:r>
      <w:r w:rsidR="008D7F00" w:rsidRPr="003E7EE5">
        <w:rPr>
          <w:iCs/>
          <w:color w:val="000000" w:themeColor="text1"/>
        </w:rPr>
        <w:t>Vol. 22 No.</w:t>
      </w:r>
      <w:r w:rsidR="00355436" w:rsidRPr="003E7EE5">
        <w:rPr>
          <w:iCs/>
          <w:color w:val="000000" w:themeColor="text1"/>
        </w:rPr>
        <w:t xml:space="preserve"> 6</w:t>
      </w:r>
      <w:r w:rsidRPr="003E7EE5">
        <w:rPr>
          <w:iCs/>
          <w:color w:val="000000" w:themeColor="text1"/>
        </w:rPr>
        <w:t>, pp.</w:t>
      </w:r>
      <w:r w:rsidR="003B39C1" w:rsidRPr="003E7EE5">
        <w:rPr>
          <w:color w:val="000000" w:themeColor="text1"/>
        </w:rPr>
        <w:t xml:space="preserve"> 483-502.</w:t>
      </w:r>
    </w:p>
    <w:p w14:paraId="5A1D5797" w14:textId="3096598C" w:rsidR="003B39C1" w:rsidRPr="003E7EE5" w:rsidRDefault="003B39C1" w:rsidP="00F12072">
      <w:pPr>
        <w:spacing w:line="360" w:lineRule="auto"/>
        <w:ind w:left="426" w:hanging="426"/>
        <w:jc w:val="both"/>
        <w:rPr>
          <w:rFonts w:eastAsia="Times New Roman"/>
          <w:color w:val="000000" w:themeColor="text1"/>
          <w:shd w:val="clear" w:color="auto" w:fill="FFFFFF"/>
        </w:rPr>
      </w:pPr>
      <w:r w:rsidRPr="003E7EE5">
        <w:rPr>
          <w:rFonts w:eastAsia="Times New Roman"/>
          <w:color w:val="000000" w:themeColor="text1"/>
          <w:shd w:val="clear" w:color="auto" w:fill="FFFFFF"/>
        </w:rPr>
        <w:t>Banerjee, S.B.,</w:t>
      </w:r>
      <w:r w:rsidR="007E24C9" w:rsidRPr="003E7EE5">
        <w:rPr>
          <w:rFonts w:eastAsia="Times New Roman"/>
          <w:color w:val="000000" w:themeColor="text1"/>
          <w:shd w:val="clear" w:color="auto" w:fill="FFFFFF"/>
        </w:rPr>
        <w:t xml:space="preserve"> Iyer, E.S. </w:t>
      </w:r>
      <w:r w:rsidR="007E71B6" w:rsidRPr="003E7EE5">
        <w:rPr>
          <w:rFonts w:eastAsia="Times New Roman"/>
          <w:color w:val="000000" w:themeColor="text1"/>
          <w:shd w:val="clear" w:color="auto" w:fill="FFFFFF"/>
        </w:rPr>
        <w:t>and</w:t>
      </w:r>
      <w:r w:rsidR="007E24C9" w:rsidRPr="003E7EE5">
        <w:rPr>
          <w:rFonts w:eastAsia="Times New Roman"/>
          <w:color w:val="000000" w:themeColor="text1"/>
          <w:shd w:val="clear" w:color="auto" w:fill="FFFFFF"/>
        </w:rPr>
        <w:t xml:space="preserve"> Kashyap</w:t>
      </w:r>
      <w:r w:rsidR="00DD30BE" w:rsidRPr="003E7EE5">
        <w:rPr>
          <w:rFonts w:eastAsia="Times New Roman"/>
          <w:color w:val="000000" w:themeColor="text1"/>
          <w:shd w:val="clear" w:color="auto" w:fill="FFFFFF"/>
        </w:rPr>
        <w:t xml:space="preserve">, R.K. </w:t>
      </w:r>
      <w:r w:rsidR="007E24C9" w:rsidRPr="003E7EE5">
        <w:rPr>
          <w:rFonts w:eastAsia="Times New Roman"/>
          <w:color w:val="000000" w:themeColor="text1"/>
          <w:shd w:val="clear" w:color="auto" w:fill="FFFFFF"/>
        </w:rPr>
        <w:t>(2003)</w:t>
      </w:r>
      <w:r w:rsidR="008D7F00" w:rsidRPr="003E7EE5">
        <w:rPr>
          <w:rFonts w:eastAsia="Times New Roman"/>
          <w:color w:val="000000" w:themeColor="text1"/>
          <w:shd w:val="clear" w:color="auto" w:fill="FFFFFF"/>
        </w:rPr>
        <w:t>,</w:t>
      </w:r>
      <w:r w:rsidR="007E24C9" w:rsidRPr="003E7EE5">
        <w:rPr>
          <w:rFonts w:eastAsia="Times New Roman"/>
          <w:color w:val="000000" w:themeColor="text1"/>
          <w:shd w:val="clear" w:color="auto" w:fill="FFFFFF"/>
        </w:rPr>
        <w:t xml:space="preserve"> </w:t>
      </w:r>
      <w:r w:rsidR="008D7F00"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Corporate environmentalism: Antecedents and influence of industry type</w:t>
      </w:r>
      <w:r w:rsidR="008D7F00"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w:t>
      </w:r>
      <w:r w:rsidRPr="003E7EE5">
        <w:rPr>
          <w:rFonts w:eastAsia="Times New Roman"/>
          <w:i/>
          <w:iCs/>
          <w:color w:val="000000" w:themeColor="text1"/>
        </w:rPr>
        <w:t>Journal of Marketing</w:t>
      </w:r>
      <w:r w:rsidRPr="003E7EE5">
        <w:rPr>
          <w:rFonts w:eastAsia="Times New Roman"/>
          <w:color w:val="000000" w:themeColor="text1"/>
          <w:shd w:val="clear" w:color="auto" w:fill="FFFFFF"/>
        </w:rPr>
        <w:t>, </w:t>
      </w:r>
      <w:r w:rsidR="008D7F00" w:rsidRPr="003E7EE5">
        <w:rPr>
          <w:rFonts w:eastAsia="Times New Roman"/>
          <w:iCs/>
          <w:color w:val="000000" w:themeColor="text1"/>
        </w:rPr>
        <w:t xml:space="preserve">Vol. 67 No. </w:t>
      </w:r>
      <w:r w:rsidR="00355436" w:rsidRPr="003E7EE5">
        <w:rPr>
          <w:rFonts w:eastAsia="Times New Roman"/>
          <w:iCs/>
          <w:color w:val="000000" w:themeColor="text1"/>
        </w:rPr>
        <w:t>2</w:t>
      </w:r>
      <w:r w:rsidRPr="003E7EE5">
        <w:rPr>
          <w:rFonts w:eastAsia="Times New Roman"/>
          <w:iCs/>
          <w:color w:val="000000" w:themeColor="text1"/>
          <w:shd w:val="clear" w:color="auto" w:fill="FFFFFF"/>
        </w:rPr>
        <w:t>,</w:t>
      </w:r>
      <w:r w:rsidR="007E24C9" w:rsidRPr="003E7EE5">
        <w:rPr>
          <w:rFonts w:eastAsia="Times New Roman"/>
          <w:color w:val="000000" w:themeColor="text1"/>
          <w:shd w:val="clear" w:color="auto" w:fill="FFFFFF"/>
        </w:rPr>
        <w:t xml:space="preserve"> pp.</w:t>
      </w:r>
      <w:r w:rsidRPr="003E7EE5">
        <w:rPr>
          <w:rFonts w:eastAsia="Times New Roman"/>
          <w:color w:val="000000" w:themeColor="text1"/>
          <w:shd w:val="clear" w:color="auto" w:fill="FFFFFF"/>
        </w:rPr>
        <w:t xml:space="preserve"> 106-122.</w:t>
      </w:r>
    </w:p>
    <w:p w14:paraId="32B61073" w14:textId="5BEDAB1F" w:rsidR="003B39C1" w:rsidRPr="003E7EE5" w:rsidRDefault="003B39C1"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Barrett, S. (1991)</w:t>
      </w:r>
      <w:r w:rsidR="008D7F00"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8D7F00"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Environmental regul</w:t>
      </w:r>
      <w:r w:rsidR="007E24C9" w:rsidRPr="003E7EE5">
        <w:rPr>
          <w:rFonts w:eastAsia="Times New Roman"/>
          <w:color w:val="000000" w:themeColor="text1"/>
          <w:shd w:val="clear" w:color="auto" w:fill="FFFFFF"/>
        </w:rPr>
        <w:t>ation for competitive advantage</w:t>
      </w:r>
      <w:r w:rsidR="008D7F00"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w:t>
      </w:r>
      <w:r w:rsidRPr="003E7EE5">
        <w:rPr>
          <w:rFonts w:eastAsia="Times New Roman"/>
          <w:i/>
          <w:iCs/>
          <w:color w:val="000000" w:themeColor="text1"/>
        </w:rPr>
        <w:t>Business Strategy Review</w:t>
      </w:r>
      <w:r w:rsidRPr="003E7EE5">
        <w:rPr>
          <w:rFonts w:eastAsia="Times New Roman"/>
          <w:color w:val="000000" w:themeColor="text1"/>
          <w:shd w:val="clear" w:color="auto" w:fill="FFFFFF"/>
        </w:rPr>
        <w:t>, </w:t>
      </w:r>
      <w:r w:rsidR="008D7F00" w:rsidRPr="003E7EE5">
        <w:rPr>
          <w:rFonts w:eastAsia="Times New Roman"/>
          <w:iCs/>
          <w:color w:val="000000" w:themeColor="text1"/>
        </w:rPr>
        <w:t xml:space="preserve">Vol. 2 No. </w:t>
      </w:r>
      <w:r w:rsidR="00355436" w:rsidRPr="003E7EE5">
        <w:rPr>
          <w:rFonts w:eastAsia="Times New Roman"/>
          <w:iCs/>
          <w:color w:val="000000" w:themeColor="text1"/>
        </w:rPr>
        <w:t>1</w:t>
      </w:r>
      <w:r w:rsidRPr="003E7EE5">
        <w:rPr>
          <w:rFonts w:eastAsia="Times New Roman"/>
          <w:color w:val="000000" w:themeColor="text1"/>
          <w:shd w:val="clear" w:color="auto" w:fill="FFFFFF"/>
        </w:rPr>
        <w:t>,</w:t>
      </w:r>
      <w:r w:rsidR="007E24C9" w:rsidRPr="003E7EE5">
        <w:rPr>
          <w:rFonts w:eastAsia="Times New Roman"/>
          <w:color w:val="000000" w:themeColor="text1"/>
          <w:shd w:val="clear" w:color="auto" w:fill="FFFFFF"/>
        </w:rPr>
        <w:t xml:space="preserve"> pp.</w:t>
      </w:r>
      <w:r w:rsidRPr="003E7EE5">
        <w:rPr>
          <w:rFonts w:eastAsia="Times New Roman"/>
          <w:color w:val="000000" w:themeColor="text1"/>
          <w:shd w:val="clear" w:color="auto" w:fill="FFFFFF"/>
        </w:rPr>
        <w:t xml:space="preserve"> 1-15.</w:t>
      </w:r>
    </w:p>
    <w:p w14:paraId="0F4B7847" w14:textId="12F626B4" w:rsidR="004344A9" w:rsidRPr="003E7EE5" w:rsidRDefault="004344A9" w:rsidP="004344A9">
      <w:pPr>
        <w:spacing w:line="360" w:lineRule="auto"/>
        <w:ind w:left="426" w:hanging="426"/>
        <w:rPr>
          <w:color w:val="000000" w:themeColor="text1"/>
          <w:shd w:val="clear" w:color="auto" w:fill="FFFFFF"/>
        </w:rPr>
      </w:pPr>
      <w:r w:rsidRPr="003E7EE5">
        <w:rPr>
          <w:color w:val="000000" w:themeColor="text1"/>
          <w:shd w:val="clear" w:color="auto" w:fill="FFFFFF"/>
        </w:rPr>
        <w:t xml:space="preserve">Bhattacharya, A., Good, V. and </w:t>
      </w:r>
      <w:proofErr w:type="spellStart"/>
      <w:r w:rsidRPr="003E7EE5">
        <w:rPr>
          <w:color w:val="000000" w:themeColor="text1"/>
          <w:shd w:val="clear" w:color="auto" w:fill="FFFFFF"/>
        </w:rPr>
        <w:t>Sardashti</w:t>
      </w:r>
      <w:proofErr w:type="spellEnd"/>
      <w:r w:rsidRPr="003E7EE5">
        <w:rPr>
          <w:color w:val="000000" w:themeColor="text1"/>
          <w:shd w:val="clear" w:color="auto" w:fill="FFFFFF"/>
        </w:rPr>
        <w:t>, H. (2020), “Doing good when times are bad: the impact of CSR on brands during recessions”, </w:t>
      </w:r>
      <w:r w:rsidRPr="003E7EE5">
        <w:rPr>
          <w:i/>
          <w:iCs/>
          <w:color w:val="000000" w:themeColor="text1"/>
          <w:shd w:val="clear" w:color="auto" w:fill="FFFFFF"/>
        </w:rPr>
        <w:t>European Journal of Marketing</w:t>
      </w:r>
      <w:r w:rsidRPr="003E7EE5">
        <w:rPr>
          <w:color w:val="000000" w:themeColor="text1"/>
          <w:shd w:val="clear" w:color="auto" w:fill="FFFFFF"/>
        </w:rPr>
        <w:t>, Vol. 54 No. 9, pp. 2049-2077.</w:t>
      </w:r>
    </w:p>
    <w:p w14:paraId="0DA1E864" w14:textId="08378EE0" w:rsidR="003B39C1" w:rsidRPr="003E7EE5" w:rsidRDefault="003B39C1" w:rsidP="00F12072">
      <w:pPr>
        <w:spacing w:line="360" w:lineRule="auto"/>
        <w:ind w:left="426" w:hanging="426"/>
        <w:rPr>
          <w:rFonts w:eastAsia="Times New Roman"/>
          <w:color w:val="000000" w:themeColor="text1"/>
          <w:shd w:val="clear" w:color="auto" w:fill="FFFFFF"/>
        </w:rPr>
      </w:pPr>
      <w:proofErr w:type="spellStart"/>
      <w:r w:rsidRPr="003E7EE5">
        <w:rPr>
          <w:rFonts w:eastAsia="Times New Roman"/>
          <w:color w:val="000000" w:themeColor="text1"/>
          <w:shd w:val="clear" w:color="auto" w:fill="FFFFFF"/>
        </w:rPr>
        <w:t>Birkie</w:t>
      </w:r>
      <w:proofErr w:type="spellEnd"/>
      <w:r w:rsidRPr="003E7EE5">
        <w:rPr>
          <w:rFonts w:eastAsia="Times New Roman"/>
          <w:color w:val="000000" w:themeColor="text1"/>
          <w:shd w:val="clear" w:color="auto" w:fill="FFFFFF"/>
        </w:rPr>
        <w:t>, S.E. (2016)</w:t>
      </w:r>
      <w:r w:rsidR="004538DF"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4538DF"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Operational resilience and lean: in search of synergies and trade-offs</w:t>
      </w:r>
      <w:r w:rsidR="004538DF"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Journal of Manufacturing Technology Management</w:t>
      </w:r>
      <w:r w:rsidR="007E24C9" w:rsidRPr="003E7EE5">
        <w:rPr>
          <w:rFonts w:eastAsia="Times New Roman"/>
          <w:color w:val="000000" w:themeColor="text1"/>
          <w:shd w:val="clear" w:color="auto" w:fill="FFFFFF"/>
        </w:rPr>
        <w:t xml:space="preserve">, </w:t>
      </w:r>
      <w:r w:rsidR="008D7F00" w:rsidRPr="003E7EE5">
        <w:rPr>
          <w:rFonts w:eastAsia="Times New Roman"/>
          <w:color w:val="000000" w:themeColor="text1"/>
          <w:shd w:val="clear" w:color="auto" w:fill="FFFFFF"/>
        </w:rPr>
        <w:t xml:space="preserve">Vol. 27 No. </w:t>
      </w:r>
      <w:r w:rsidR="00B052F7" w:rsidRPr="003E7EE5">
        <w:rPr>
          <w:rFonts w:eastAsia="Times New Roman"/>
          <w:color w:val="000000" w:themeColor="text1"/>
          <w:shd w:val="clear" w:color="auto" w:fill="FFFFFF"/>
        </w:rPr>
        <w:t>2</w:t>
      </w:r>
      <w:r w:rsidR="00AC2D9B" w:rsidRPr="003E7EE5">
        <w:rPr>
          <w:rFonts w:eastAsia="Times New Roman"/>
          <w:color w:val="000000" w:themeColor="text1"/>
          <w:shd w:val="clear" w:color="auto" w:fill="FFFFFF"/>
        </w:rPr>
        <w:t>, pp.</w:t>
      </w:r>
      <w:r w:rsidR="00300ACD">
        <w:rPr>
          <w:rFonts w:eastAsia="Times New Roman"/>
          <w:color w:val="000000" w:themeColor="text1"/>
          <w:shd w:val="clear" w:color="auto" w:fill="FFFFFF"/>
        </w:rPr>
        <w:t xml:space="preserve"> </w:t>
      </w:r>
      <w:r w:rsidR="00AC2D9B" w:rsidRPr="003E7EE5">
        <w:rPr>
          <w:rFonts w:eastAsia="Times New Roman"/>
          <w:color w:val="000000" w:themeColor="text1"/>
          <w:shd w:val="clear" w:color="auto" w:fill="FFFFFF"/>
        </w:rPr>
        <w:t>185-207.</w:t>
      </w:r>
    </w:p>
    <w:p w14:paraId="08489A65" w14:textId="5670E5CA" w:rsidR="003B39C1" w:rsidRDefault="00381D34" w:rsidP="00F12072">
      <w:pPr>
        <w:spacing w:line="360" w:lineRule="auto"/>
        <w:ind w:left="426" w:hanging="426"/>
        <w:jc w:val="both"/>
        <w:rPr>
          <w:color w:val="000000" w:themeColor="text1"/>
        </w:rPr>
      </w:pPr>
      <w:proofErr w:type="spellStart"/>
      <w:r w:rsidRPr="003E7EE5">
        <w:rPr>
          <w:color w:val="000000" w:themeColor="text1"/>
        </w:rPr>
        <w:t>Buysse</w:t>
      </w:r>
      <w:proofErr w:type="spellEnd"/>
      <w:r w:rsidRPr="003E7EE5">
        <w:rPr>
          <w:color w:val="000000" w:themeColor="text1"/>
        </w:rPr>
        <w:t xml:space="preserve">, K. </w:t>
      </w:r>
      <w:r w:rsidR="007E71B6" w:rsidRPr="003E7EE5">
        <w:rPr>
          <w:color w:val="000000" w:themeColor="text1"/>
        </w:rPr>
        <w:t>and</w:t>
      </w:r>
      <w:r w:rsidRPr="003E7EE5">
        <w:rPr>
          <w:color w:val="000000" w:themeColor="text1"/>
        </w:rPr>
        <w:t xml:space="preserve"> Verbeke</w:t>
      </w:r>
      <w:r w:rsidR="00624345" w:rsidRPr="003E7EE5">
        <w:rPr>
          <w:color w:val="000000" w:themeColor="text1"/>
        </w:rPr>
        <w:t>, A.</w:t>
      </w:r>
      <w:r w:rsidRPr="003E7EE5">
        <w:rPr>
          <w:color w:val="000000" w:themeColor="text1"/>
        </w:rPr>
        <w:t xml:space="preserve"> (2003)</w:t>
      </w:r>
      <w:r w:rsidR="004538DF" w:rsidRPr="003E7EE5">
        <w:rPr>
          <w:color w:val="000000" w:themeColor="text1"/>
        </w:rPr>
        <w:t>,</w:t>
      </w:r>
      <w:r w:rsidRPr="003E7EE5">
        <w:rPr>
          <w:color w:val="000000" w:themeColor="text1"/>
        </w:rPr>
        <w:t xml:space="preserve"> </w:t>
      </w:r>
      <w:r w:rsidR="004538DF" w:rsidRPr="003E7EE5">
        <w:rPr>
          <w:color w:val="000000" w:themeColor="text1"/>
        </w:rPr>
        <w:t>“</w:t>
      </w:r>
      <w:r w:rsidR="003B39C1" w:rsidRPr="003E7EE5">
        <w:rPr>
          <w:color w:val="000000" w:themeColor="text1"/>
        </w:rPr>
        <w:t>Proactive environmental strategies: a sta</w:t>
      </w:r>
      <w:r w:rsidRPr="003E7EE5">
        <w:rPr>
          <w:color w:val="000000" w:themeColor="text1"/>
        </w:rPr>
        <w:t>keholder management perspective</w:t>
      </w:r>
      <w:r w:rsidR="004538DF" w:rsidRPr="003E7EE5">
        <w:rPr>
          <w:color w:val="000000" w:themeColor="text1"/>
        </w:rPr>
        <w:t>”,</w:t>
      </w:r>
      <w:r w:rsidR="003B39C1" w:rsidRPr="003E7EE5">
        <w:rPr>
          <w:color w:val="000000" w:themeColor="text1"/>
        </w:rPr>
        <w:t xml:space="preserve"> </w:t>
      </w:r>
      <w:r w:rsidR="003B39C1" w:rsidRPr="003E7EE5">
        <w:rPr>
          <w:i/>
          <w:iCs/>
          <w:color w:val="000000" w:themeColor="text1"/>
        </w:rPr>
        <w:t>Strategic Management Journal</w:t>
      </w:r>
      <w:r w:rsidR="003B39C1" w:rsidRPr="003E7EE5">
        <w:rPr>
          <w:color w:val="000000" w:themeColor="text1"/>
        </w:rPr>
        <w:t xml:space="preserve">, </w:t>
      </w:r>
      <w:r w:rsidR="004538DF" w:rsidRPr="003E7EE5">
        <w:rPr>
          <w:color w:val="000000" w:themeColor="text1"/>
        </w:rPr>
        <w:t xml:space="preserve">Vol. </w:t>
      </w:r>
      <w:r w:rsidR="00D55A08" w:rsidRPr="003E7EE5">
        <w:rPr>
          <w:iCs/>
          <w:color w:val="000000" w:themeColor="text1"/>
        </w:rPr>
        <w:t>24</w:t>
      </w:r>
      <w:r w:rsidR="004538DF" w:rsidRPr="003E7EE5">
        <w:rPr>
          <w:iCs/>
          <w:color w:val="000000" w:themeColor="text1"/>
        </w:rPr>
        <w:t xml:space="preserve"> No.</w:t>
      </w:r>
      <w:r w:rsidR="00355436" w:rsidRPr="003E7EE5">
        <w:rPr>
          <w:iCs/>
          <w:color w:val="000000" w:themeColor="text1"/>
        </w:rPr>
        <w:t xml:space="preserve"> 5</w:t>
      </w:r>
      <w:r w:rsidR="003B39C1" w:rsidRPr="003E7EE5">
        <w:rPr>
          <w:color w:val="000000" w:themeColor="text1"/>
        </w:rPr>
        <w:t xml:space="preserve">, </w:t>
      </w:r>
      <w:r w:rsidR="00D55A08" w:rsidRPr="003E7EE5">
        <w:rPr>
          <w:color w:val="000000" w:themeColor="text1"/>
        </w:rPr>
        <w:t xml:space="preserve">pp. </w:t>
      </w:r>
      <w:r w:rsidR="003B39C1" w:rsidRPr="003E7EE5">
        <w:rPr>
          <w:color w:val="000000" w:themeColor="text1"/>
        </w:rPr>
        <w:t>453-470.</w:t>
      </w:r>
    </w:p>
    <w:p w14:paraId="55C12A08" w14:textId="5FA8B684" w:rsidR="0003170C" w:rsidRPr="003E7EE5" w:rsidRDefault="0003170C" w:rsidP="0003170C">
      <w:pPr>
        <w:spacing w:after="120"/>
        <w:ind w:left="567" w:hanging="567"/>
        <w:jc w:val="both"/>
        <w:outlineLvl w:val="0"/>
        <w:rPr>
          <w:color w:val="000000" w:themeColor="text1"/>
        </w:rPr>
      </w:pPr>
      <w:proofErr w:type="spellStart"/>
      <w:r>
        <w:rPr>
          <w:color w:val="000000" w:themeColor="text1"/>
        </w:rPr>
        <w:t>Byars</w:t>
      </w:r>
      <w:proofErr w:type="spellEnd"/>
      <w:r>
        <w:rPr>
          <w:color w:val="000000" w:themeColor="text1"/>
        </w:rPr>
        <w:t>, T.</w:t>
      </w:r>
      <w:r w:rsidRPr="00B15889">
        <w:rPr>
          <w:color w:val="000000" w:themeColor="text1"/>
        </w:rPr>
        <w:t xml:space="preserve"> (2020). “Patagonia statement regarding 2019 and our supply chain”, available at: </w:t>
      </w:r>
      <w:hyperlink r:id="rId8" w:history="1">
        <w:r w:rsidRPr="00B15889">
          <w:rPr>
            <w:rStyle w:val="Hyperlink"/>
            <w:color w:val="000000" w:themeColor="text1"/>
          </w:rPr>
          <w:t>https://www.patagoniaworks.com/press/2020/4/27/patagonia-statement-regarding-covid-19-and-our-supply-chain</w:t>
        </w:r>
      </w:hyperlink>
      <w:r w:rsidRPr="00B15889">
        <w:rPr>
          <w:color w:val="000000" w:themeColor="text1"/>
        </w:rPr>
        <w:t xml:space="preserve"> (accessed 9 February 2024)</w:t>
      </w:r>
    </w:p>
    <w:p w14:paraId="3A89DA0E" w14:textId="1A7F848D" w:rsidR="000A11F6" w:rsidRPr="003E7EE5" w:rsidRDefault="000A11F6" w:rsidP="00F12072">
      <w:pPr>
        <w:spacing w:line="360" w:lineRule="auto"/>
        <w:ind w:left="426" w:hanging="426"/>
        <w:rPr>
          <w:color w:val="000000" w:themeColor="text1"/>
        </w:rPr>
      </w:pPr>
      <w:proofErr w:type="spellStart"/>
      <w:r w:rsidRPr="003E7EE5">
        <w:rPr>
          <w:color w:val="000000" w:themeColor="text1"/>
        </w:rPr>
        <w:t>Calantone</w:t>
      </w:r>
      <w:proofErr w:type="spellEnd"/>
      <w:r w:rsidRPr="003E7EE5">
        <w:rPr>
          <w:color w:val="000000" w:themeColor="text1"/>
        </w:rPr>
        <w:t xml:space="preserve">, R. </w:t>
      </w:r>
      <w:r w:rsidR="007E71B6" w:rsidRPr="003E7EE5">
        <w:rPr>
          <w:color w:val="000000" w:themeColor="text1"/>
        </w:rPr>
        <w:t>and</w:t>
      </w:r>
      <w:r w:rsidR="00CD2DE4" w:rsidRPr="003E7EE5">
        <w:rPr>
          <w:color w:val="000000" w:themeColor="text1"/>
        </w:rPr>
        <w:t xml:space="preserve"> </w:t>
      </w:r>
      <w:r w:rsidRPr="003E7EE5">
        <w:rPr>
          <w:color w:val="000000" w:themeColor="text1"/>
        </w:rPr>
        <w:t>Saw</w:t>
      </w:r>
      <w:r w:rsidR="00CD2DE4" w:rsidRPr="003E7EE5">
        <w:rPr>
          <w:color w:val="000000" w:themeColor="text1"/>
        </w:rPr>
        <w:t>yer</w:t>
      </w:r>
      <w:r w:rsidR="00624345" w:rsidRPr="003E7EE5">
        <w:rPr>
          <w:color w:val="000000" w:themeColor="text1"/>
        </w:rPr>
        <w:t xml:space="preserve">, A. </w:t>
      </w:r>
      <w:r w:rsidRPr="003E7EE5">
        <w:rPr>
          <w:color w:val="000000" w:themeColor="text1"/>
        </w:rPr>
        <w:t>(1978)</w:t>
      </w:r>
      <w:r w:rsidR="00EB187D" w:rsidRPr="003E7EE5">
        <w:rPr>
          <w:color w:val="000000" w:themeColor="text1"/>
        </w:rPr>
        <w:t>,</w:t>
      </w:r>
      <w:r w:rsidRPr="003E7EE5">
        <w:rPr>
          <w:color w:val="000000" w:themeColor="text1"/>
        </w:rPr>
        <w:t xml:space="preserve"> </w:t>
      </w:r>
      <w:r w:rsidR="00EB187D" w:rsidRPr="003E7EE5">
        <w:rPr>
          <w:color w:val="000000" w:themeColor="text1"/>
        </w:rPr>
        <w:t>“</w:t>
      </w:r>
      <w:r w:rsidRPr="003E7EE5">
        <w:rPr>
          <w:color w:val="000000" w:themeColor="text1"/>
        </w:rPr>
        <w:t xml:space="preserve">The </w:t>
      </w:r>
      <w:r w:rsidR="0049601E">
        <w:rPr>
          <w:color w:val="000000" w:themeColor="text1"/>
        </w:rPr>
        <w:t>s</w:t>
      </w:r>
      <w:r w:rsidRPr="003E7EE5">
        <w:rPr>
          <w:color w:val="000000" w:themeColor="text1"/>
        </w:rPr>
        <w:t xml:space="preserve">tability of </w:t>
      </w:r>
      <w:r w:rsidR="0049601E">
        <w:rPr>
          <w:color w:val="000000" w:themeColor="text1"/>
        </w:rPr>
        <w:t>b</w:t>
      </w:r>
      <w:r w:rsidRPr="003E7EE5">
        <w:rPr>
          <w:color w:val="000000" w:themeColor="text1"/>
        </w:rPr>
        <w:t>en</w:t>
      </w:r>
      <w:r w:rsidR="002C19C7" w:rsidRPr="003E7EE5">
        <w:rPr>
          <w:color w:val="000000" w:themeColor="text1"/>
        </w:rPr>
        <w:t xml:space="preserve">efit </w:t>
      </w:r>
      <w:r w:rsidR="0049601E">
        <w:rPr>
          <w:color w:val="000000" w:themeColor="text1"/>
        </w:rPr>
        <w:t>s</w:t>
      </w:r>
      <w:r w:rsidR="002C19C7" w:rsidRPr="003E7EE5">
        <w:rPr>
          <w:color w:val="000000" w:themeColor="text1"/>
        </w:rPr>
        <w:t>egments</w:t>
      </w:r>
      <w:r w:rsidR="00EB187D" w:rsidRPr="003E7EE5">
        <w:rPr>
          <w:color w:val="000000" w:themeColor="text1"/>
        </w:rPr>
        <w:t>”,</w:t>
      </w:r>
      <w:r w:rsidR="00624345" w:rsidRPr="003E7EE5">
        <w:rPr>
          <w:color w:val="000000" w:themeColor="text1"/>
        </w:rPr>
        <w:t xml:space="preserve"> </w:t>
      </w:r>
      <w:r w:rsidRPr="003E7EE5">
        <w:rPr>
          <w:i/>
          <w:iCs/>
          <w:color w:val="000000" w:themeColor="text1"/>
        </w:rPr>
        <w:t>Journal of Marketing Research</w:t>
      </w:r>
      <w:r w:rsidRPr="005E1791">
        <w:rPr>
          <w:color w:val="000000" w:themeColor="text1"/>
        </w:rPr>
        <w:t>,</w:t>
      </w:r>
      <w:r w:rsidR="00EB187D" w:rsidRPr="003E7EE5">
        <w:rPr>
          <w:i/>
          <w:iCs/>
          <w:color w:val="000000" w:themeColor="text1"/>
        </w:rPr>
        <w:t xml:space="preserve"> </w:t>
      </w:r>
      <w:r w:rsidR="00EB187D" w:rsidRPr="003E7EE5">
        <w:rPr>
          <w:color w:val="000000" w:themeColor="text1"/>
        </w:rPr>
        <w:t>Vol.</w:t>
      </w:r>
      <w:r w:rsidR="002C19C7" w:rsidRPr="003E7EE5">
        <w:rPr>
          <w:color w:val="000000" w:themeColor="text1"/>
        </w:rPr>
        <w:t xml:space="preserve"> 15</w:t>
      </w:r>
      <w:r w:rsidR="00EB187D" w:rsidRPr="003E7EE5">
        <w:rPr>
          <w:color w:val="000000" w:themeColor="text1"/>
        </w:rPr>
        <w:t xml:space="preserve"> No.</w:t>
      </w:r>
      <w:r w:rsidR="00EB187D" w:rsidRPr="003E7EE5">
        <w:rPr>
          <w:i/>
          <w:iCs/>
          <w:color w:val="000000" w:themeColor="text1"/>
        </w:rPr>
        <w:t xml:space="preserve"> </w:t>
      </w:r>
      <w:r w:rsidR="00355436" w:rsidRPr="003E7EE5">
        <w:rPr>
          <w:color w:val="000000" w:themeColor="text1"/>
        </w:rPr>
        <w:t>3</w:t>
      </w:r>
      <w:r w:rsidRPr="003E7EE5">
        <w:rPr>
          <w:color w:val="000000" w:themeColor="text1"/>
        </w:rPr>
        <w:t xml:space="preserve">, </w:t>
      </w:r>
      <w:r w:rsidR="002C19C7" w:rsidRPr="003E7EE5">
        <w:rPr>
          <w:color w:val="000000" w:themeColor="text1"/>
        </w:rPr>
        <w:t xml:space="preserve">pp. </w:t>
      </w:r>
      <w:r w:rsidRPr="003E7EE5">
        <w:rPr>
          <w:color w:val="000000" w:themeColor="text1"/>
        </w:rPr>
        <w:t>395–404.</w:t>
      </w:r>
    </w:p>
    <w:p w14:paraId="6457C385" w14:textId="290CD12B" w:rsidR="003B39C1" w:rsidRPr="003E7EE5" w:rsidRDefault="002C19C7"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Campbell, J.L. (2007)</w:t>
      </w:r>
      <w:r w:rsidR="00EB187D"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EB187D"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Why would corporations behave in socially responsible ways? An institutional theory of corporate social responsibility</w:t>
      </w:r>
      <w:r w:rsidR="00EB187D"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3B39C1" w:rsidRPr="003E7EE5">
        <w:rPr>
          <w:rFonts w:eastAsia="Times New Roman"/>
          <w:i/>
          <w:iCs/>
          <w:color w:val="000000" w:themeColor="text1"/>
        </w:rPr>
        <w:t xml:space="preserve">Academy of </w:t>
      </w:r>
      <w:r w:rsidR="0017312F" w:rsidRPr="003E7EE5">
        <w:rPr>
          <w:rFonts w:eastAsia="Times New Roman"/>
          <w:i/>
          <w:iCs/>
          <w:color w:val="000000" w:themeColor="text1"/>
        </w:rPr>
        <w:t>M</w:t>
      </w:r>
      <w:r w:rsidR="003B39C1" w:rsidRPr="003E7EE5">
        <w:rPr>
          <w:rFonts w:eastAsia="Times New Roman"/>
          <w:i/>
          <w:iCs/>
          <w:color w:val="000000" w:themeColor="text1"/>
        </w:rPr>
        <w:t>anagement Review</w:t>
      </w:r>
      <w:r w:rsidR="003B39C1"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EB187D" w:rsidRPr="003E7EE5">
        <w:rPr>
          <w:rStyle w:val="apple-converted-space"/>
          <w:color w:val="000000" w:themeColor="text1"/>
          <w:shd w:val="clear" w:color="auto" w:fill="FFFFFF"/>
        </w:rPr>
        <w:t xml:space="preserve">Vol. </w:t>
      </w:r>
      <w:r w:rsidRPr="003E7EE5">
        <w:rPr>
          <w:rFonts w:eastAsia="Times New Roman"/>
          <w:iCs/>
          <w:color w:val="000000" w:themeColor="text1"/>
        </w:rPr>
        <w:t>32</w:t>
      </w:r>
      <w:r w:rsidR="00EB187D" w:rsidRPr="003E7EE5">
        <w:rPr>
          <w:rFonts w:eastAsia="Times New Roman"/>
          <w:iCs/>
          <w:color w:val="000000" w:themeColor="text1"/>
        </w:rPr>
        <w:t>, No.</w:t>
      </w:r>
      <w:r w:rsidR="00EB187D" w:rsidRPr="003E7EE5">
        <w:rPr>
          <w:rFonts w:eastAsia="Times New Roman"/>
          <w:i/>
          <w:color w:val="000000" w:themeColor="text1"/>
        </w:rPr>
        <w:t xml:space="preserve"> </w:t>
      </w:r>
      <w:r w:rsidR="00355436" w:rsidRPr="003E7EE5">
        <w:rPr>
          <w:rFonts w:eastAsia="Times New Roman"/>
          <w:iCs/>
          <w:color w:val="000000" w:themeColor="text1"/>
        </w:rPr>
        <w:t>3</w:t>
      </w:r>
      <w:r w:rsidR="003B39C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pp.</w:t>
      </w:r>
      <w:r w:rsidR="003B39C1" w:rsidRPr="003E7EE5">
        <w:rPr>
          <w:rFonts w:eastAsia="Times New Roman"/>
          <w:color w:val="000000" w:themeColor="text1"/>
          <w:shd w:val="clear" w:color="auto" w:fill="FFFFFF"/>
        </w:rPr>
        <w:t xml:space="preserve"> 946-967.</w:t>
      </w:r>
    </w:p>
    <w:p w14:paraId="678FD06A" w14:textId="64716602" w:rsidR="003B39C1" w:rsidRPr="003E7EE5" w:rsidRDefault="002C19C7" w:rsidP="00F12072">
      <w:pPr>
        <w:spacing w:line="360" w:lineRule="auto"/>
        <w:ind w:left="426" w:hanging="426"/>
        <w:rPr>
          <w:rFonts w:eastAsia="Times New Roman"/>
          <w:color w:val="000000" w:themeColor="text1"/>
        </w:rPr>
      </w:pPr>
      <w:r w:rsidRPr="003E7EE5">
        <w:rPr>
          <w:rFonts w:eastAsia="Times New Roman"/>
          <w:color w:val="000000" w:themeColor="text1"/>
          <w:shd w:val="clear" w:color="auto" w:fill="FFFFFF"/>
        </w:rPr>
        <w:lastRenderedPageBreak/>
        <w:t xml:space="preserve">Cavaco, N.M.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Machado</w:t>
      </w:r>
      <w:r w:rsidR="00624345" w:rsidRPr="003E7EE5">
        <w:rPr>
          <w:rFonts w:eastAsia="Times New Roman"/>
          <w:color w:val="000000" w:themeColor="text1"/>
          <w:shd w:val="clear" w:color="auto" w:fill="FFFFFF"/>
        </w:rPr>
        <w:t>, V.C.</w:t>
      </w:r>
      <w:r w:rsidR="00187FE6" w:rsidRPr="003E7EE5">
        <w:rPr>
          <w:rFonts w:eastAsia="Times New Roman"/>
          <w:color w:val="000000" w:themeColor="text1"/>
          <w:shd w:val="clear" w:color="auto" w:fill="FFFFFF"/>
        </w:rPr>
        <w:t xml:space="preserve"> (2015)</w:t>
      </w:r>
      <w:r w:rsidR="00EB187D"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EB187D"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Sustainable competitiveness based on resilience and innovation–an alternative approach</w:t>
      </w:r>
      <w:r w:rsidR="00EB187D" w:rsidRPr="003E7EE5">
        <w:rPr>
          <w:rFonts w:eastAsia="Times New Roman"/>
          <w:color w:val="000000" w:themeColor="text1"/>
          <w:shd w:val="clear" w:color="auto" w:fill="FFFFFF"/>
        </w:rPr>
        <w:t>”,</w:t>
      </w:r>
      <w:r w:rsidR="00624345" w:rsidRPr="003E7EE5">
        <w:rPr>
          <w:rFonts w:eastAsia="Times New Roman"/>
          <w:color w:val="000000" w:themeColor="text1"/>
          <w:shd w:val="clear" w:color="auto" w:fill="FFFFFF"/>
        </w:rPr>
        <w:t xml:space="preserve"> </w:t>
      </w:r>
      <w:r w:rsidR="003B39C1" w:rsidRPr="003E7EE5">
        <w:rPr>
          <w:rFonts w:eastAsia="Times New Roman"/>
          <w:i/>
          <w:iCs/>
          <w:color w:val="000000" w:themeColor="text1"/>
        </w:rPr>
        <w:t>International Journal of Management Science and Engineering Management</w:t>
      </w:r>
      <w:r w:rsidR="003B39C1"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EB187D" w:rsidRPr="003E7EE5">
        <w:rPr>
          <w:rStyle w:val="apple-converted-space"/>
          <w:color w:val="000000" w:themeColor="text1"/>
          <w:shd w:val="clear" w:color="auto" w:fill="FFFFFF"/>
        </w:rPr>
        <w:t xml:space="preserve">Vol. </w:t>
      </w:r>
      <w:r w:rsidRPr="003E7EE5">
        <w:rPr>
          <w:rFonts w:eastAsia="Times New Roman"/>
          <w:color w:val="000000" w:themeColor="text1"/>
        </w:rPr>
        <w:t>10</w:t>
      </w:r>
      <w:r w:rsidR="00EB187D" w:rsidRPr="003E7EE5">
        <w:rPr>
          <w:rFonts w:eastAsia="Times New Roman"/>
          <w:color w:val="000000" w:themeColor="text1"/>
        </w:rPr>
        <w:t xml:space="preserve"> No.</w:t>
      </w:r>
      <w:r w:rsidR="00EB187D" w:rsidRPr="003E7EE5">
        <w:rPr>
          <w:rFonts w:eastAsia="Times New Roman"/>
          <w:i/>
          <w:color w:val="000000" w:themeColor="text1"/>
        </w:rPr>
        <w:t xml:space="preserve"> </w:t>
      </w:r>
      <w:r w:rsidR="00355436" w:rsidRPr="003E7EE5">
        <w:rPr>
          <w:rFonts w:eastAsia="Times New Roman"/>
          <w:iCs/>
          <w:color w:val="000000" w:themeColor="text1"/>
        </w:rPr>
        <w:t>2</w:t>
      </w:r>
      <w:r w:rsidR="003B39C1"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 xml:space="preserve">pp. </w:t>
      </w:r>
      <w:r w:rsidR="003B39C1" w:rsidRPr="003E7EE5">
        <w:rPr>
          <w:rFonts w:eastAsia="Times New Roman"/>
          <w:color w:val="000000" w:themeColor="text1"/>
          <w:shd w:val="clear" w:color="auto" w:fill="FFFFFF"/>
        </w:rPr>
        <w:t>155-164.</w:t>
      </w:r>
    </w:p>
    <w:p w14:paraId="6A554C6E" w14:textId="2AEEDE0C" w:rsidR="00F47BC5" w:rsidRPr="003E7EE5" w:rsidRDefault="00F47BC5">
      <w:pPr>
        <w:spacing w:line="360" w:lineRule="auto"/>
        <w:ind w:left="426" w:hanging="426"/>
        <w:rPr>
          <w:rFonts w:eastAsia="Times New Roman"/>
          <w:color w:val="000000" w:themeColor="text1"/>
        </w:rPr>
      </w:pPr>
      <w:r w:rsidRPr="003E7EE5">
        <w:rPr>
          <w:rFonts w:eastAsia="Times New Roman"/>
          <w:color w:val="000000" w:themeColor="text1"/>
          <w:shd w:val="clear" w:color="auto" w:fill="FFFFFF"/>
        </w:rPr>
        <w:t>Chan, H.K.,</w:t>
      </w:r>
      <w:r w:rsidR="00F9509F" w:rsidRPr="003E7EE5">
        <w:rPr>
          <w:rFonts w:eastAsia="Times New Roman"/>
          <w:color w:val="000000" w:themeColor="text1"/>
          <w:shd w:val="clear" w:color="auto" w:fill="FFFFFF"/>
        </w:rPr>
        <w:t xml:space="preserve"> Yee</w:t>
      </w:r>
      <w:r w:rsidRPr="003E7EE5">
        <w:rPr>
          <w:rFonts w:eastAsia="Times New Roman"/>
          <w:color w:val="000000" w:themeColor="text1"/>
          <w:shd w:val="clear" w:color="auto" w:fill="FFFFFF"/>
        </w:rPr>
        <w:t>,</w:t>
      </w:r>
      <w:r w:rsidR="00624345" w:rsidRPr="003E7EE5">
        <w:rPr>
          <w:rFonts w:eastAsia="Times New Roman"/>
          <w:color w:val="000000" w:themeColor="text1"/>
          <w:shd w:val="clear" w:color="auto" w:fill="FFFFFF"/>
        </w:rPr>
        <w:t xml:space="preserve"> R.W.,</w:t>
      </w:r>
      <w:r w:rsidR="00F9509F" w:rsidRPr="003E7EE5">
        <w:rPr>
          <w:rFonts w:eastAsia="Times New Roman"/>
          <w:color w:val="000000" w:themeColor="text1"/>
          <w:shd w:val="clear" w:color="auto" w:fill="FFFFFF"/>
        </w:rPr>
        <w:t xml:space="preserve"> Dai</w:t>
      </w:r>
      <w:r w:rsidR="00624345" w:rsidRPr="003E7EE5">
        <w:rPr>
          <w:rFonts w:eastAsia="Times New Roman"/>
          <w:color w:val="000000" w:themeColor="text1"/>
          <w:shd w:val="clear" w:color="auto" w:fill="FFFFFF"/>
        </w:rPr>
        <w:t>, J.</w:t>
      </w:r>
      <w:r w:rsidR="00F9509F"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F9509F" w:rsidRPr="003E7EE5">
        <w:rPr>
          <w:rFonts w:eastAsia="Times New Roman"/>
          <w:color w:val="000000" w:themeColor="text1"/>
          <w:shd w:val="clear" w:color="auto" w:fill="FFFFFF"/>
        </w:rPr>
        <w:t xml:space="preserve"> Lim</w:t>
      </w:r>
      <w:r w:rsidR="00624345" w:rsidRPr="003E7EE5">
        <w:rPr>
          <w:rFonts w:eastAsia="Times New Roman"/>
          <w:color w:val="000000" w:themeColor="text1"/>
          <w:shd w:val="clear" w:color="auto" w:fill="FFFFFF"/>
        </w:rPr>
        <w:t>, M.K.</w:t>
      </w:r>
      <w:r w:rsidRPr="003E7EE5">
        <w:rPr>
          <w:rFonts w:eastAsia="Times New Roman"/>
          <w:color w:val="000000" w:themeColor="text1"/>
          <w:shd w:val="clear" w:color="auto" w:fill="FFFFFF"/>
        </w:rPr>
        <w:t xml:space="preserve"> (2016)</w:t>
      </w:r>
      <w:r w:rsidR="00EB187D"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EB187D"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The moderating effect of environmental dynamism on green product innovation and performance</w:t>
      </w:r>
      <w:r w:rsidR="00EB187D" w:rsidRPr="003E7EE5">
        <w:rPr>
          <w:rFonts w:eastAsia="Times New Roman"/>
          <w:color w:val="000000" w:themeColor="text1"/>
          <w:shd w:val="clear" w:color="auto" w:fill="FFFFFF"/>
        </w:rPr>
        <w:t>”,</w:t>
      </w:r>
      <w:r w:rsidR="00617A5D" w:rsidRPr="003E7EE5">
        <w:rPr>
          <w:rFonts w:eastAsia="Times New Roman"/>
          <w:color w:val="000000" w:themeColor="text1"/>
          <w:shd w:val="clear" w:color="auto" w:fill="FFFFFF"/>
        </w:rPr>
        <w:t xml:space="preserve"> </w:t>
      </w:r>
      <w:r w:rsidRPr="003E7EE5">
        <w:rPr>
          <w:rFonts w:eastAsia="Times New Roman"/>
          <w:i/>
          <w:iCs/>
          <w:color w:val="000000" w:themeColor="text1"/>
        </w:rPr>
        <w:t>International Journal of Production Economics</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BE5802" w:rsidRPr="003E7EE5">
        <w:rPr>
          <w:rStyle w:val="apple-converted-space"/>
          <w:color w:val="000000" w:themeColor="text1"/>
          <w:shd w:val="clear" w:color="auto" w:fill="FFFFFF"/>
        </w:rPr>
        <w:t>Vol.</w:t>
      </w:r>
      <w:r w:rsidR="00F9509F" w:rsidRPr="003E7EE5">
        <w:rPr>
          <w:rFonts w:eastAsia="Times New Roman"/>
          <w:iCs/>
          <w:color w:val="000000" w:themeColor="text1"/>
        </w:rPr>
        <w:t>181</w:t>
      </w:r>
      <w:r w:rsidR="00BE5802" w:rsidRPr="003E7EE5">
        <w:rPr>
          <w:rFonts w:eastAsia="Times New Roman"/>
          <w:iCs/>
          <w:color w:val="000000" w:themeColor="text1"/>
        </w:rPr>
        <w:t xml:space="preserve"> </w:t>
      </w:r>
      <w:r w:rsidR="00B052F7" w:rsidRPr="003E7EE5">
        <w:rPr>
          <w:rFonts w:eastAsia="Times New Roman"/>
          <w:iCs/>
          <w:color w:val="000000" w:themeColor="text1"/>
        </w:rPr>
        <w:t>Part. B</w:t>
      </w:r>
      <w:r w:rsidRPr="003E7EE5">
        <w:rPr>
          <w:rFonts w:eastAsia="Times New Roman"/>
          <w:color w:val="000000" w:themeColor="text1"/>
          <w:shd w:val="clear" w:color="auto" w:fill="FFFFFF"/>
        </w:rPr>
        <w:t xml:space="preserve">, </w:t>
      </w:r>
      <w:r w:rsidR="00F9509F"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384-391.</w:t>
      </w:r>
    </w:p>
    <w:p w14:paraId="3E58FADE" w14:textId="395755FB" w:rsidR="003B39C1" w:rsidRPr="003E7EE5" w:rsidRDefault="003B39C1" w:rsidP="00F12072">
      <w:pPr>
        <w:widowControl w:val="0"/>
        <w:autoSpaceDE w:val="0"/>
        <w:autoSpaceDN w:val="0"/>
        <w:adjustRightInd w:val="0"/>
        <w:spacing w:line="360" w:lineRule="auto"/>
        <w:ind w:left="426" w:hanging="426"/>
        <w:rPr>
          <w:rFonts w:eastAsia="MS Mincho"/>
          <w:color w:val="000000" w:themeColor="text1"/>
        </w:rPr>
      </w:pPr>
      <w:r w:rsidRPr="003E7EE5">
        <w:rPr>
          <w:color w:val="000000" w:themeColor="text1"/>
        </w:rPr>
        <w:t>Chattopadhyay, P.,</w:t>
      </w:r>
      <w:r w:rsidR="000B79A5" w:rsidRPr="003E7EE5">
        <w:rPr>
          <w:color w:val="000000" w:themeColor="text1"/>
        </w:rPr>
        <w:t xml:space="preserve"> </w:t>
      </w:r>
      <w:r w:rsidR="008020DC" w:rsidRPr="003E7EE5">
        <w:rPr>
          <w:color w:val="000000" w:themeColor="text1"/>
        </w:rPr>
        <w:t>Glick</w:t>
      </w:r>
      <w:r w:rsidR="00624345" w:rsidRPr="003E7EE5">
        <w:rPr>
          <w:color w:val="000000" w:themeColor="text1"/>
        </w:rPr>
        <w:t>, W.H.</w:t>
      </w:r>
      <w:r w:rsidR="0049355C" w:rsidRPr="003E7EE5">
        <w:rPr>
          <w:color w:val="000000" w:themeColor="text1"/>
        </w:rPr>
        <w:t xml:space="preserve"> </w:t>
      </w:r>
      <w:r w:rsidR="007E71B6" w:rsidRPr="003E7EE5">
        <w:rPr>
          <w:color w:val="000000" w:themeColor="text1"/>
        </w:rPr>
        <w:t>and</w:t>
      </w:r>
      <w:r w:rsidR="0049355C" w:rsidRPr="003E7EE5">
        <w:rPr>
          <w:color w:val="000000" w:themeColor="text1"/>
        </w:rPr>
        <w:t xml:space="preserve"> </w:t>
      </w:r>
      <w:r w:rsidR="008020DC" w:rsidRPr="003E7EE5">
        <w:rPr>
          <w:color w:val="000000" w:themeColor="text1"/>
        </w:rPr>
        <w:t>Huber</w:t>
      </w:r>
      <w:r w:rsidR="00624345" w:rsidRPr="003E7EE5">
        <w:rPr>
          <w:color w:val="000000" w:themeColor="text1"/>
        </w:rPr>
        <w:t xml:space="preserve">, G.P. </w:t>
      </w:r>
      <w:r w:rsidRPr="003E7EE5">
        <w:rPr>
          <w:color w:val="000000" w:themeColor="text1"/>
        </w:rPr>
        <w:t>(2001)</w:t>
      </w:r>
      <w:r w:rsidR="00BE5802" w:rsidRPr="003E7EE5">
        <w:rPr>
          <w:color w:val="000000" w:themeColor="text1"/>
        </w:rPr>
        <w:t>,</w:t>
      </w:r>
      <w:r w:rsidRPr="003E7EE5">
        <w:rPr>
          <w:color w:val="000000" w:themeColor="text1"/>
        </w:rPr>
        <w:t xml:space="preserve"> </w:t>
      </w:r>
      <w:r w:rsidR="00BE5802" w:rsidRPr="003E7EE5">
        <w:rPr>
          <w:color w:val="000000" w:themeColor="text1"/>
        </w:rPr>
        <w:t>“</w:t>
      </w:r>
      <w:r w:rsidRPr="003E7EE5">
        <w:rPr>
          <w:color w:val="000000" w:themeColor="text1"/>
        </w:rPr>
        <w:t>Organizational action in response to threats and opp</w:t>
      </w:r>
      <w:r w:rsidR="008020DC" w:rsidRPr="003E7EE5">
        <w:rPr>
          <w:color w:val="000000" w:themeColor="text1"/>
        </w:rPr>
        <w:t>ortunities</w:t>
      </w:r>
      <w:r w:rsidR="00BE5802" w:rsidRPr="003E7EE5">
        <w:rPr>
          <w:color w:val="000000" w:themeColor="text1"/>
        </w:rPr>
        <w:t>”,</w:t>
      </w:r>
      <w:r w:rsidRPr="003E7EE5">
        <w:rPr>
          <w:color w:val="000000" w:themeColor="text1"/>
        </w:rPr>
        <w:t xml:space="preserve"> </w:t>
      </w:r>
      <w:r w:rsidRPr="003E7EE5">
        <w:rPr>
          <w:i/>
          <w:color w:val="000000" w:themeColor="text1"/>
        </w:rPr>
        <w:t>Academy of Management Journal</w:t>
      </w:r>
      <w:r w:rsidR="008020DC" w:rsidRPr="003E7EE5">
        <w:rPr>
          <w:color w:val="000000" w:themeColor="text1"/>
        </w:rPr>
        <w:t xml:space="preserve">, </w:t>
      </w:r>
      <w:r w:rsidR="00BE5802" w:rsidRPr="003E7EE5">
        <w:rPr>
          <w:color w:val="000000" w:themeColor="text1"/>
        </w:rPr>
        <w:t xml:space="preserve">Vol. </w:t>
      </w:r>
      <w:r w:rsidR="008020DC" w:rsidRPr="003E7EE5">
        <w:rPr>
          <w:color w:val="000000" w:themeColor="text1"/>
        </w:rPr>
        <w:t>44</w:t>
      </w:r>
      <w:r w:rsidR="00BE5802" w:rsidRPr="003E7EE5">
        <w:rPr>
          <w:color w:val="000000" w:themeColor="text1"/>
        </w:rPr>
        <w:t xml:space="preserve"> No.</w:t>
      </w:r>
      <w:r w:rsidR="00BE5802" w:rsidRPr="003E7EE5">
        <w:rPr>
          <w:i/>
          <w:iCs/>
          <w:color w:val="000000" w:themeColor="text1"/>
        </w:rPr>
        <w:t xml:space="preserve"> </w:t>
      </w:r>
      <w:r w:rsidR="00355436" w:rsidRPr="003E7EE5">
        <w:rPr>
          <w:color w:val="000000" w:themeColor="text1"/>
        </w:rPr>
        <w:t>5</w:t>
      </w:r>
      <w:r w:rsidRPr="003E7EE5">
        <w:rPr>
          <w:color w:val="000000" w:themeColor="text1"/>
        </w:rPr>
        <w:t xml:space="preserve">, </w:t>
      </w:r>
      <w:r w:rsidR="00BE5802" w:rsidRPr="003E7EE5">
        <w:rPr>
          <w:color w:val="000000" w:themeColor="text1"/>
        </w:rPr>
        <w:t xml:space="preserve">pp. </w:t>
      </w:r>
      <w:r w:rsidRPr="003E7EE5">
        <w:rPr>
          <w:color w:val="000000" w:themeColor="text1"/>
        </w:rPr>
        <w:t>937–955.</w:t>
      </w:r>
    </w:p>
    <w:p w14:paraId="3BDDD7DC" w14:textId="6300FFA1" w:rsidR="00BF2E17" w:rsidRDefault="00BF2E17" w:rsidP="00F12072">
      <w:pPr>
        <w:spacing w:line="360" w:lineRule="auto"/>
        <w:ind w:left="426" w:hanging="426"/>
        <w:rPr>
          <w:rFonts w:eastAsia="Times New Roman"/>
          <w:color w:val="000000" w:themeColor="text1"/>
          <w:szCs w:val="20"/>
          <w:shd w:val="clear" w:color="auto" w:fill="FFFFFF"/>
        </w:rPr>
      </w:pPr>
      <w:proofErr w:type="spellStart"/>
      <w:r w:rsidRPr="003E7EE5">
        <w:rPr>
          <w:rFonts w:eastAsia="Times New Roman"/>
          <w:color w:val="000000" w:themeColor="text1"/>
          <w:szCs w:val="20"/>
          <w:shd w:val="clear" w:color="auto" w:fill="FFFFFF"/>
        </w:rPr>
        <w:t>Chemmanur</w:t>
      </w:r>
      <w:proofErr w:type="spellEnd"/>
      <w:r w:rsidRPr="003E7EE5">
        <w:rPr>
          <w:rFonts w:eastAsia="Times New Roman"/>
          <w:color w:val="000000" w:themeColor="text1"/>
          <w:szCs w:val="20"/>
          <w:shd w:val="clear" w:color="auto" w:fill="FFFFFF"/>
        </w:rPr>
        <w:t xml:space="preserve">, T.J., </w:t>
      </w:r>
      <w:proofErr w:type="spellStart"/>
      <w:r w:rsidRPr="003E7EE5">
        <w:rPr>
          <w:rFonts w:eastAsia="Times New Roman"/>
          <w:color w:val="000000" w:themeColor="text1"/>
          <w:szCs w:val="20"/>
          <w:shd w:val="clear" w:color="auto" w:fill="FFFFFF"/>
        </w:rPr>
        <w:t>Gounopoulos</w:t>
      </w:r>
      <w:proofErr w:type="spellEnd"/>
      <w:r w:rsidRPr="003E7EE5">
        <w:rPr>
          <w:rFonts w:eastAsia="Times New Roman"/>
          <w:color w:val="000000" w:themeColor="text1"/>
          <w:szCs w:val="20"/>
          <w:shd w:val="clear" w:color="auto" w:fill="FFFFFF"/>
        </w:rPr>
        <w:t xml:space="preserve">, </w:t>
      </w:r>
      <w:r w:rsidR="00786242" w:rsidRPr="003E7EE5">
        <w:rPr>
          <w:rFonts w:eastAsia="Times New Roman"/>
          <w:color w:val="000000" w:themeColor="text1"/>
          <w:szCs w:val="20"/>
          <w:shd w:val="clear" w:color="auto" w:fill="FFFFFF"/>
        </w:rPr>
        <w:t xml:space="preserve">D., </w:t>
      </w:r>
      <w:proofErr w:type="spellStart"/>
      <w:r w:rsidRPr="003E7EE5">
        <w:rPr>
          <w:rFonts w:eastAsia="Times New Roman"/>
          <w:color w:val="000000" w:themeColor="text1"/>
          <w:szCs w:val="20"/>
          <w:shd w:val="clear" w:color="auto" w:fill="FFFFFF"/>
        </w:rPr>
        <w:t>Koutroumpis</w:t>
      </w:r>
      <w:proofErr w:type="spellEnd"/>
      <w:r w:rsidR="00786242" w:rsidRPr="003E7EE5">
        <w:rPr>
          <w:rFonts w:eastAsia="Times New Roman"/>
          <w:color w:val="000000" w:themeColor="text1"/>
          <w:szCs w:val="20"/>
          <w:shd w:val="clear" w:color="auto" w:fill="FFFFFF"/>
        </w:rPr>
        <w:t>, P.</w:t>
      </w:r>
      <w:r w:rsidRPr="003E7EE5">
        <w:rPr>
          <w:rFonts w:eastAsia="Times New Roman"/>
          <w:color w:val="000000" w:themeColor="text1"/>
          <w:szCs w:val="20"/>
          <w:shd w:val="clear" w:color="auto" w:fill="FFFFFF"/>
        </w:rPr>
        <w:t xml:space="preserve">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Zhang</w:t>
      </w:r>
      <w:r w:rsidR="00786242" w:rsidRPr="003E7EE5">
        <w:rPr>
          <w:rFonts w:eastAsia="Times New Roman"/>
          <w:color w:val="000000" w:themeColor="text1"/>
          <w:szCs w:val="20"/>
          <w:shd w:val="clear" w:color="auto" w:fill="FFFFFF"/>
        </w:rPr>
        <w:t>, Y.</w:t>
      </w:r>
      <w:r w:rsidRPr="003E7EE5">
        <w:rPr>
          <w:rFonts w:eastAsia="Times New Roman"/>
          <w:color w:val="000000" w:themeColor="text1"/>
          <w:szCs w:val="20"/>
          <w:shd w:val="clear" w:color="auto" w:fill="FFFFFF"/>
        </w:rPr>
        <w:t xml:space="preserve"> (2021)</w:t>
      </w:r>
      <w:r w:rsidR="00BE5802"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BE5802"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CSR and </w:t>
      </w:r>
      <w:r w:rsidR="0049601E" w:rsidRPr="003E7EE5">
        <w:rPr>
          <w:rFonts w:eastAsia="Times New Roman"/>
          <w:color w:val="000000" w:themeColor="text1"/>
          <w:szCs w:val="20"/>
          <w:shd w:val="clear" w:color="auto" w:fill="FFFFFF"/>
        </w:rPr>
        <w:t>firm survival: evidence from the climate and pandemic cris</w:t>
      </w:r>
      <w:r w:rsidRPr="003E7EE5">
        <w:rPr>
          <w:rFonts w:eastAsia="Times New Roman"/>
          <w:color w:val="000000" w:themeColor="text1"/>
          <w:szCs w:val="20"/>
          <w:shd w:val="clear" w:color="auto" w:fill="FFFFFF"/>
        </w:rPr>
        <w:t>es</w:t>
      </w:r>
      <w:r w:rsidR="00BE5802"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49601E">
        <w:rPr>
          <w:rStyle w:val="apple-converted-space"/>
          <w:color w:val="000000" w:themeColor="text1"/>
          <w:szCs w:val="20"/>
          <w:shd w:val="clear" w:color="auto" w:fill="FFFFFF"/>
        </w:rPr>
        <w:t>w</w:t>
      </w:r>
      <w:r w:rsidR="0049601E">
        <w:t>orking paper No. 935,</w:t>
      </w:r>
      <w:r w:rsidR="0049601E" w:rsidRPr="0049601E">
        <w:t xml:space="preserve"> </w:t>
      </w:r>
      <w:r w:rsidR="0049601E">
        <w:t>Queen Mary University of London</w:t>
      </w:r>
      <w:r w:rsidRPr="003E7EE5">
        <w:rPr>
          <w:rFonts w:eastAsia="Times New Roman"/>
          <w:color w:val="000000" w:themeColor="text1"/>
          <w:szCs w:val="20"/>
          <w:shd w:val="clear" w:color="auto" w:fill="FFFFFF"/>
        </w:rPr>
        <w:t>.</w:t>
      </w:r>
    </w:p>
    <w:p w14:paraId="01351DCB" w14:textId="2AF17AB1" w:rsidR="00972DE4" w:rsidRPr="00972DE4" w:rsidRDefault="00972DE4" w:rsidP="00972DE4">
      <w:pPr>
        <w:spacing w:line="360" w:lineRule="auto"/>
        <w:ind w:left="426" w:hanging="426"/>
        <w:rPr>
          <w:color w:val="222222"/>
          <w:shd w:val="clear" w:color="auto" w:fill="FFFFFF"/>
        </w:rPr>
      </w:pPr>
      <w:r w:rsidRPr="007B1AF9">
        <w:rPr>
          <w:color w:val="222222"/>
          <w:shd w:val="clear" w:color="auto" w:fill="FFFFFF"/>
        </w:rPr>
        <w:t xml:space="preserve">Choi, J., Chang, Y. K., Jessica Li, Y., </w:t>
      </w:r>
      <w:r>
        <w:rPr>
          <w:color w:val="222222"/>
          <w:shd w:val="clear" w:color="auto" w:fill="FFFFFF"/>
        </w:rPr>
        <w:t>and</w:t>
      </w:r>
      <w:r w:rsidRPr="007B1AF9">
        <w:rPr>
          <w:color w:val="222222"/>
          <w:shd w:val="clear" w:color="auto" w:fill="FFFFFF"/>
        </w:rPr>
        <w:t xml:space="preserve"> Jang, M. G. (2016)</w:t>
      </w:r>
      <w:r>
        <w:rPr>
          <w:color w:val="222222"/>
          <w:shd w:val="clear" w:color="auto" w:fill="FFFFFF"/>
        </w:rPr>
        <w:t>,</w:t>
      </w:r>
      <w:r w:rsidRPr="007B1AF9">
        <w:rPr>
          <w:color w:val="222222"/>
          <w:shd w:val="clear" w:color="auto" w:fill="FFFFFF"/>
        </w:rPr>
        <w:t xml:space="preserve"> </w:t>
      </w:r>
      <w:r>
        <w:rPr>
          <w:color w:val="222222"/>
          <w:shd w:val="clear" w:color="auto" w:fill="FFFFFF"/>
        </w:rPr>
        <w:t>“</w:t>
      </w:r>
      <w:r w:rsidRPr="007B1AF9">
        <w:rPr>
          <w:color w:val="222222"/>
          <w:shd w:val="clear" w:color="auto" w:fill="FFFFFF"/>
        </w:rPr>
        <w:t>Doing good in another neighborhood: Attributions of CSR motives depend on corporate nationality and cultural orientation</w:t>
      </w:r>
      <w:r>
        <w:rPr>
          <w:color w:val="222222"/>
          <w:shd w:val="clear" w:color="auto" w:fill="FFFFFF"/>
        </w:rPr>
        <w:t xml:space="preserve">”, </w:t>
      </w:r>
      <w:r w:rsidRPr="007B1AF9">
        <w:rPr>
          <w:i/>
          <w:iCs/>
          <w:color w:val="222222"/>
          <w:shd w:val="clear" w:color="auto" w:fill="FFFFFF"/>
        </w:rPr>
        <w:t>Journal of International Marketing</w:t>
      </w:r>
      <w:r w:rsidRPr="007B1AF9">
        <w:rPr>
          <w:color w:val="222222"/>
          <w:shd w:val="clear" w:color="auto" w:fill="FFFFFF"/>
        </w:rPr>
        <w:t>, </w:t>
      </w:r>
      <w:r>
        <w:rPr>
          <w:color w:val="222222"/>
          <w:shd w:val="clear" w:color="auto" w:fill="FFFFFF"/>
        </w:rPr>
        <w:t xml:space="preserve">Vol. </w:t>
      </w:r>
      <w:r w:rsidRPr="007B1AF9">
        <w:rPr>
          <w:color w:val="222222"/>
          <w:shd w:val="clear" w:color="auto" w:fill="FFFFFF"/>
        </w:rPr>
        <w:t>24 No.</w:t>
      </w:r>
      <w:r>
        <w:rPr>
          <w:i/>
          <w:iCs/>
          <w:color w:val="222222"/>
          <w:shd w:val="clear" w:color="auto" w:fill="FFFFFF"/>
        </w:rPr>
        <w:t xml:space="preserve"> </w:t>
      </w:r>
      <w:r w:rsidRPr="007B1AF9">
        <w:rPr>
          <w:color w:val="222222"/>
          <w:shd w:val="clear" w:color="auto" w:fill="FFFFFF"/>
        </w:rPr>
        <w:t xml:space="preserve">4, </w:t>
      </w:r>
      <w:r>
        <w:rPr>
          <w:color w:val="222222"/>
          <w:shd w:val="clear" w:color="auto" w:fill="FFFFFF"/>
        </w:rPr>
        <w:t xml:space="preserve">pp. </w:t>
      </w:r>
      <w:r w:rsidRPr="007B1AF9">
        <w:rPr>
          <w:color w:val="222222"/>
          <w:shd w:val="clear" w:color="auto" w:fill="FFFFFF"/>
        </w:rPr>
        <w:t>82-102.</w:t>
      </w:r>
    </w:p>
    <w:p w14:paraId="15C3D1AF" w14:textId="47CE5613" w:rsidR="00972DE4" w:rsidRPr="003E7EE5" w:rsidRDefault="00BF2E17" w:rsidP="00972DE4">
      <w:pPr>
        <w:widowControl w:val="0"/>
        <w:autoSpaceDE w:val="0"/>
        <w:autoSpaceDN w:val="0"/>
        <w:adjustRightInd w:val="0"/>
        <w:spacing w:line="360" w:lineRule="auto"/>
        <w:ind w:left="426" w:hanging="426"/>
        <w:rPr>
          <w:color w:val="000000" w:themeColor="text1"/>
          <w:szCs w:val="30"/>
        </w:rPr>
      </w:pPr>
      <w:r w:rsidRPr="003E7EE5">
        <w:rPr>
          <w:color w:val="000000" w:themeColor="text1"/>
          <w:szCs w:val="30"/>
        </w:rPr>
        <w:t>Choi, D., Gao,</w:t>
      </w:r>
      <w:r w:rsidR="00786242" w:rsidRPr="003E7EE5">
        <w:rPr>
          <w:color w:val="000000" w:themeColor="text1"/>
          <w:szCs w:val="30"/>
        </w:rPr>
        <w:t xml:space="preserve"> Z.</w:t>
      </w:r>
      <w:r w:rsidR="0049355C" w:rsidRPr="003E7EE5">
        <w:rPr>
          <w:color w:val="000000" w:themeColor="text1"/>
          <w:szCs w:val="30"/>
        </w:rPr>
        <w:t xml:space="preserve"> </w:t>
      </w:r>
      <w:r w:rsidR="007E71B6" w:rsidRPr="003E7EE5">
        <w:rPr>
          <w:color w:val="000000" w:themeColor="text1"/>
          <w:szCs w:val="30"/>
        </w:rPr>
        <w:t>and</w:t>
      </w:r>
      <w:r w:rsidR="0049355C" w:rsidRPr="003E7EE5">
        <w:rPr>
          <w:color w:val="000000" w:themeColor="text1"/>
          <w:szCs w:val="30"/>
        </w:rPr>
        <w:t xml:space="preserve"> </w:t>
      </w:r>
      <w:r w:rsidRPr="003E7EE5">
        <w:rPr>
          <w:color w:val="000000" w:themeColor="text1"/>
          <w:szCs w:val="30"/>
        </w:rPr>
        <w:t>Jiang</w:t>
      </w:r>
      <w:r w:rsidR="00786242" w:rsidRPr="003E7EE5">
        <w:rPr>
          <w:color w:val="000000" w:themeColor="text1"/>
          <w:szCs w:val="30"/>
        </w:rPr>
        <w:t>, W.</w:t>
      </w:r>
      <w:r w:rsidRPr="003E7EE5">
        <w:rPr>
          <w:color w:val="000000" w:themeColor="text1"/>
          <w:szCs w:val="30"/>
        </w:rPr>
        <w:t xml:space="preserve"> (2020)</w:t>
      </w:r>
      <w:r w:rsidR="00BE5802" w:rsidRPr="003E7EE5">
        <w:rPr>
          <w:color w:val="000000" w:themeColor="text1"/>
          <w:szCs w:val="30"/>
        </w:rPr>
        <w:t>,</w:t>
      </w:r>
      <w:r w:rsidRPr="003E7EE5">
        <w:rPr>
          <w:color w:val="000000" w:themeColor="text1"/>
          <w:szCs w:val="30"/>
        </w:rPr>
        <w:t xml:space="preserve"> </w:t>
      </w:r>
      <w:r w:rsidR="00BE5802" w:rsidRPr="003E7EE5">
        <w:rPr>
          <w:color w:val="000000" w:themeColor="text1"/>
          <w:szCs w:val="30"/>
        </w:rPr>
        <w:t>“</w:t>
      </w:r>
      <w:r w:rsidRPr="003E7EE5">
        <w:rPr>
          <w:color w:val="000000" w:themeColor="text1"/>
          <w:szCs w:val="30"/>
        </w:rPr>
        <w:t>Attention to global warming</w:t>
      </w:r>
      <w:r w:rsidR="00BE5802" w:rsidRPr="003E7EE5">
        <w:rPr>
          <w:color w:val="000000" w:themeColor="text1"/>
          <w:szCs w:val="30"/>
        </w:rPr>
        <w:t>”,</w:t>
      </w:r>
      <w:r w:rsidRPr="003E7EE5">
        <w:rPr>
          <w:color w:val="000000" w:themeColor="text1"/>
          <w:szCs w:val="30"/>
        </w:rPr>
        <w:t xml:space="preserve"> </w:t>
      </w:r>
      <w:r w:rsidRPr="003E7EE5">
        <w:rPr>
          <w:i/>
          <w:iCs/>
          <w:color w:val="000000" w:themeColor="text1"/>
          <w:szCs w:val="30"/>
        </w:rPr>
        <w:t>Review of Financial Studies</w:t>
      </w:r>
      <w:r w:rsidRPr="003E7EE5">
        <w:rPr>
          <w:color w:val="000000" w:themeColor="text1"/>
          <w:szCs w:val="30"/>
        </w:rPr>
        <w:t xml:space="preserve">, </w:t>
      </w:r>
      <w:r w:rsidR="00BE5802" w:rsidRPr="003E7EE5">
        <w:rPr>
          <w:color w:val="000000" w:themeColor="text1"/>
          <w:szCs w:val="30"/>
        </w:rPr>
        <w:t xml:space="preserve">Vol. 33 No. </w:t>
      </w:r>
      <w:r w:rsidR="00B052F7" w:rsidRPr="003E7EE5">
        <w:rPr>
          <w:color w:val="000000" w:themeColor="text1"/>
          <w:szCs w:val="30"/>
        </w:rPr>
        <w:t>3</w:t>
      </w:r>
      <w:r w:rsidRPr="003E7EE5">
        <w:rPr>
          <w:color w:val="000000" w:themeColor="text1"/>
          <w:szCs w:val="30"/>
        </w:rPr>
        <w:t>, pp.</w:t>
      </w:r>
      <w:r w:rsidR="0049601E">
        <w:rPr>
          <w:color w:val="000000" w:themeColor="text1"/>
          <w:szCs w:val="30"/>
        </w:rPr>
        <w:t xml:space="preserve"> </w:t>
      </w:r>
      <w:r w:rsidRPr="003E7EE5">
        <w:rPr>
          <w:color w:val="000000" w:themeColor="text1"/>
          <w:szCs w:val="30"/>
        </w:rPr>
        <w:t xml:space="preserve">1112-1145. </w:t>
      </w:r>
    </w:p>
    <w:p w14:paraId="12AE14C0" w14:textId="3D6BF7F9" w:rsidR="00BF2E17" w:rsidRPr="003E7EE5" w:rsidRDefault="00BF2E17" w:rsidP="00F12072">
      <w:pPr>
        <w:spacing w:line="360" w:lineRule="auto"/>
        <w:ind w:left="426" w:hanging="426"/>
        <w:rPr>
          <w:rFonts w:eastAsia="Times New Roman"/>
          <w:color w:val="000000" w:themeColor="text1"/>
          <w:sz w:val="36"/>
        </w:rPr>
      </w:pPr>
      <w:r w:rsidRPr="003E7EE5">
        <w:rPr>
          <w:rFonts w:eastAsia="Times New Roman"/>
          <w:color w:val="000000" w:themeColor="text1"/>
          <w:szCs w:val="20"/>
          <w:shd w:val="clear" w:color="auto" w:fill="FFFFFF"/>
        </w:rPr>
        <w:t>Clarkson, P.M., Li,</w:t>
      </w:r>
      <w:r w:rsidR="00786242" w:rsidRPr="003E7EE5">
        <w:rPr>
          <w:rFonts w:eastAsia="Times New Roman"/>
          <w:color w:val="000000" w:themeColor="text1"/>
          <w:szCs w:val="20"/>
          <w:shd w:val="clear" w:color="auto" w:fill="FFFFFF"/>
        </w:rPr>
        <w:t xml:space="preserve"> Y.,</w:t>
      </w:r>
      <w:r w:rsidRPr="003E7EE5">
        <w:rPr>
          <w:rFonts w:eastAsia="Times New Roman"/>
          <w:color w:val="000000" w:themeColor="text1"/>
          <w:szCs w:val="20"/>
          <w:shd w:val="clear" w:color="auto" w:fill="FFFFFF"/>
        </w:rPr>
        <w:t xml:space="preserve"> Richardson</w:t>
      </w:r>
      <w:r w:rsidR="00786242" w:rsidRPr="003E7EE5">
        <w:rPr>
          <w:rFonts w:eastAsia="Times New Roman"/>
          <w:color w:val="000000" w:themeColor="text1"/>
          <w:szCs w:val="20"/>
          <w:shd w:val="clear" w:color="auto" w:fill="FFFFFF"/>
        </w:rPr>
        <w:t>, G.D.</w:t>
      </w:r>
      <w:r w:rsidRPr="003E7EE5">
        <w:rPr>
          <w:rFonts w:eastAsia="Times New Roman"/>
          <w:color w:val="000000" w:themeColor="text1"/>
          <w:szCs w:val="20"/>
          <w:shd w:val="clear" w:color="auto" w:fill="FFFFFF"/>
        </w:rPr>
        <w:t xml:space="preserve">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w:t>
      </w:r>
      <w:proofErr w:type="spellStart"/>
      <w:r w:rsidRPr="003E7EE5">
        <w:rPr>
          <w:rFonts w:eastAsia="Times New Roman"/>
          <w:color w:val="000000" w:themeColor="text1"/>
          <w:szCs w:val="20"/>
          <w:shd w:val="clear" w:color="auto" w:fill="FFFFFF"/>
        </w:rPr>
        <w:t>Vasvari</w:t>
      </w:r>
      <w:proofErr w:type="spellEnd"/>
      <w:r w:rsidR="00786242" w:rsidRPr="003E7EE5">
        <w:rPr>
          <w:rFonts w:eastAsia="Times New Roman"/>
          <w:color w:val="000000" w:themeColor="text1"/>
          <w:szCs w:val="20"/>
          <w:shd w:val="clear" w:color="auto" w:fill="FFFFFF"/>
        </w:rPr>
        <w:t>, F.P.</w:t>
      </w:r>
      <w:r w:rsidRPr="003E7EE5">
        <w:rPr>
          <w:rFonts w:eastAsia="Times New Roman"/>
          <w:color w:val="000000" w:themeColor="text1"/>
          <w:szCs w:val="20"/>
          <w:shd w:val="clear" w:color="auto" w:fill="FFFFFF"/>
        </w:rPr>
        <w:t xml:space="preserve"> (2008)</w:t>
      </w:r>
      <w:r w:rsidR="00BE5802"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BE5802"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Revisiting the relation between environmental performance and environmental disclosure: </w:t>
      </w:r>
      <w:r w:rsidR="0049601E">
        <w:rPr>
          <w:rFonts w:eastAsia="Times New Roman"/>
          <w:color w:val="000000" w:themeColor="text1"/>
          <w:szCs w:val="20"/>
          <w:shd w:val="clear" w:color="auto" w:fill="FFFFFF"/>
        </w:rPr>
        <w:t>a</w:t>
      </w:r>
      <w:r w:rsidRPr="003E7EE5">
        <w:rPr>
          <w:rFonts w:eastAsia="Times New Roman"/>
          <w:color w:val="000000" w:themeColor="text1"/>
          <w:szCs w:val="20"/>
          <w:shd w:val="clear" w:color="auto" w:fill="FFFFFF"/>
        </w:rPr>
        <w:t>n empirical analysis</w:t>
      </w:r>
      <w:r w:rsidR="00BE5802"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Pr="003E7EE5">
        <w:rPr>
          <w:rFonts w:eastAsia="Times New Roman"/>
          <w:i/>
          <w:iCs/>
          <w:color w:val="000000" w:themeColor="text1"/>
          <w:szCs w:val="20"/>
        </w:rPr>
        <w:t xml:space="preserve">Accounting, </w:t>
      </w:r>
      <w:r w:rsidR="0017312F" w:rsidRPr="003E7EE5">
        <w:rPr>
          <w:rFonts w:eastAsia="Times New Roman"/>
          <w:i/>
          <w:iCs/>
          <w:color w:val="000000" w:themeColor="text1"/>
          <w:szCs w:val="20"/>
        </w:rPr>
        <w:t>O</w:t>
      </w:r>
      <w:r w:rsidRPr="003E7EE5">
        <w:rPr>
          <w:rFonts w:eastAsia="Times New Roman"/>
          <w:i/>
          <w:iCs/>
          <w:color w:val="000000" w:themeColor="text1"/>
          <w:szCs w:val="20"/>
        </w:rPr>
        <w:t xml:space="preserve">rganizations and </w:t>
      </w:r>
      <w:r w:rsidR="0017312F" w:rsidRPr="003E7EE5">
        <w:rPr>
          <w:rFonts w:eastAsia="Times New Roman"/>
          <w:i/>
          <w:iCs/>
          <w:color w:val="000000" w:themeColor="text1"/>
          <w:szCs w:val="20"/>
        </w:rPr>
        <w:t>S</w:t>
      </w:r>
      <w:r w:rsidRPr="003E7EE5">
        <w:rPr>
          <w:rFonts w:eastAsia="Times New Roman"/>
          <w:i/>
          <w:iCs/>
          <w:color w:val="000000" w:themeColor="text1"/>
          <w:szCs w:val="20"/>
        </w:rPr>
        <w:t>ociety</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BE5802" w:rsidRPr="003E7EE5">
        <w:rPr>
          <w:rFonts w:eastAsia="Times New Roman"/>
          <w:iCs/>
          <w:color w:val="000000" w:themeColor="text1"/>
          <w:szCs w:val="20"/>
        </w:rPr>
        <w:t>Vol. 33 No. 4</w:t>
      </w:r>
      <w:r w:rsidRPr="003E7EE5">
        <w:rPr>
          <w:rFonts w:eastAsia="Times New Roman"/>
          <w:color w:val="000000" w:themeColor="text1"/>
          <w:szCs w:val="20"/>
          <w:shd w:val="clear" w:color="auto" w:fill="FFFFFF"/>
        </w:rPr>
        <w:t>, pp.</w:t>
      </w:r>
      <w:r w:rsidR="0049601E">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303-327.</w:t>
      </w:r>
    </w:p>
    <w:p w14:paraId="6FC08709" w14:textId="1C06AC8D" w:rsidR="003B39C1" w:rsidRPr="003E7EE5" w:rsidRDefault="003B39C1" w:rsidP="00F12072">
      <w:pPr>
        <w:widowControl w:val="0"/>
        <w:autoSpaceDE w:val="0"/>
        <w:autoSpaceDN w:val="0"/>
        <w:adjustRightInd w:val="0"/>
        <w:spacing w:line="360" w:lineRule="auto"/>
        <w:ind w:left="426" w:hanging="426"/>
        <w:rPr>
          <w:color w:val="000000" w:themeColor="text1"/>
        </w:rPr>
      </w:pPr>
      <w:r w:rsidRPr="003E7EE5">
        <w:rPr>
          <w:color w:val="000000" w:themeColor="text1"/>
        </w:rPr>
        <w:t xml:space="preserve">Craighead, C.W., </w:t>
      </w:r>
      <w:r w:rsidR="00773F33" w:rsidRPr="003E7EE5">
        <w:rPr>
          <w:color w:val="000000" w:themeColor="text1"/>
        </w:rPr>
        <w:t>Blackhurst,</w:t>
      </w:r>
      <w:r w:rsidR="00786242" w:rsidRPr="003E7EE5">
        <w:rPr>
          <w:color w:val="000000" w:themeColor="text1"/>
        </w:rPr>
        <w:t xml:space="preserve"> J.,</w:t>
      </w:r>
      <w:r w:rsidR="00773F33" w:rsidRPr="003E7EE5">
        <w:rPr>
          <w:color w:val="000000" w:themeColor="text1"/>
        </w:rPr>
        <w:t xml:space="preserve"> </w:t>
      </w:r>
      <w:proofErr w:type="spellStart"/>
      <w:r w:rsidR="00773F33" w:rsidRPr="003E7EE5">
        <w:rPr>
          <w:color w:val="000000" w:themeColor="text1"/>
        </w:rPr>
        <w:t>Rungtusanatham</w:t>
      </w:r>
      <w:proofErr w:type="spellEnd"/>
      <w:r w:rsidR="00786242" w:rsidRPr="003E7EE5">
        <w:rPr>
          <w:color w:val="000000" w:themeColor="text1"/>
        </w:rPr>
        <w:t>, M.J.</w:t>
      </w:r>
      <w:r w:rsidR="00617A5D" w:rsidRPr="003E7EE5">
        <w:rPr>
          <w:color w:val="000000" w:themeColor="text1"/>
        </w:rPr>
        <w:t xml:space="preserve"> </w:t>
      </w:r>
      <w:r w:rsidR="007E71B6" w:rsidRPr="003E7EE5">
        <w:rPr>
          <w:color w:val="000000" w:themeColor="text1"/>
        </w:rPr>
        <w:t>and</w:t>
      </w:r>
      <w:r w:rsidRPr="003E7EE5">
        <w:rPr>
          <w:color w:val="000000" w:themeColor="text1"/>
        </w:rPr>
        <w:t xml:space="preserve"> </w:t>
      </w:r>
      <w:r w:rsidR="00187FE6" w:rsidRPr="003E7EE5">
        <w:rPr>
          <w:color w:val="000000" w:themeColor="text1"/>
        </w:rPr>
        <w:t>Handfield</w:t>
      </w:r>
      <w:r w:rsidR="00786242" w:rsidRPr="003E7EE5">
        <w:rPr>
          <w:color w:val="000000" w:themeColor="text1"/>
        </w:rPr>
        <w:t>, R.B.</w:t>
      </w:r>
      <w:r w:rsidR="00187FE6" w:rsidRPr="003E7EE5">
        <w:rPr>
          <w:color w:val="000000" w:themeColor="text1"/>
        </w:rPr>
        <w:t xml:space="preserve"> (2007)</w:t>
      </w:r>
      <w:r w:rsidR="00BE5802" w:rsidRPr="003E7EE5">
        <w:rPr>
          <w:color w:val="000000" w:themeColor="text1"/>
        </w:rPr>
        <w:t>,</w:t>
      </w:r>
      <w:r w:rsidR="00187FE6" w:rsidRPr="003E7EE5">
        <w:rPr>
          <w:color w:val="000000" w:themeColor="text1"/>
        </w:rPr>
        <w:t xml:space="preserve"> </w:t>
      </w:r>
      <w:r w:rsidR="00BE5802" w:rsidRPr="003E7EE5">
        <w:rPr>
          <w:color w:val="000000" w:themeColor="text1"/>
        </w:rPr>
        <w:t>“</w:t>
      </w:r>
      <w:r w:rsidRPr="003E7EE5">
        <w:rPr>
          <w:color w:val="000000" w:themeColor="text1"/>
        </w:rPr>
        <w:t>The severity of supply chain disruptions: design characterist</w:t>
      </w:r>
      <w:r w:rsidR="00187FE6" w:rsidRPr="003E7EE5">
        <w:rPr>
          <w:color w:val="000000" w:themeColor="text1"/>
        </w:rPr>
        <w:t>ics and mitigation capabilities</w:t>
      </w:r>
      <w:r w:rsidR="00BE5802" w:rsidRPr="003E7EE5">
        <w:rPr>
          <w:color w:val="000000" w:themeColor="text1"/>
        </w:rPr>
        <w:t>”</w:t>
      </w:r>
      <w:r w:rsidR="00300ACD">
        <w:rPr>
          <w:color w:val="000000" w:themeColor="text1"/>
        </w:rPr>
        <w:t>,</w:t>
      </w:r>
      <w:r w:rsidRPr="003E7EE5">
        <w:rPr>
          <w:color w:val="000000" w:themeColor="text1"/>
        </w:rPr>
        <w:t xml:space="preserve"> </w:t>
      </w:r>
      <w:r w:rsidRPr="003E7EE5">
        <w:rPr>
          <w:i/>
          <w:color w:val="000000" w:themeColor="text1"/>
        </w:rPr>
        <w:t>Decision Sciences</w:t>
      </w:r>
      <w:r w:rsidR="00786242" w:rsidRPr="003E7EE5">
        <w:rPr>
          <w:color w:val="000000" w:themeColor="text1"/>
        </w:rPr>
        <w:t>.</w:t>
      </w:r>
      <w:r w:rsidR="00187FE6" w:rsidRPr="003E7EE5">
        <w:rPr>
          <w:color w:val="000000" w:themeColor="text1"/>
        </w:rPr>
        <w:t xml:space="preserve"> </w:t>
      </w:r>
      <w:r w:rsidR="00BE5802" w:rsidRPr="003E7EE5">
        <w:rPr>
          <w:color w:val="000000" w:themeColor="text1"/>
        </w:rPr>
        <w:t xml:space="preserve">Vol. </w:t>
      </w:r>
      <w:r w:rsidR="00187FE6" w:rsidRPr="003E7EE5">
        <w:rPr>
          <w:color w:val="000000" w:themeColor="text1"/>
        </w:rPr>
        <w:t>38</w:t>
      </w:r>
      <w:r w:rsidR="00BE5802" w:rsidRPr="003E7EE5">
        <w:rPr>
          <w:color w:val="000000" w:themeColor="text1"/>
        </w:rPr>
        <w:t xml:space="preserve"> No. </w:t>
      </w:r>
      <w:r w:rsidR="00B052F7" w:rsidRPr="003E7EE5">
        <w:rPr>
          <w:color w:val="000000" w:themeColor="text1"/>
        </w:rPr>
        <w:t>1</w:t>
      </w:r>
      <w:r w:rsidRPr="003E7EE5">
        <w:rPr>
          <w:color w:val="000000" w:themeColor="text1"/>
        </w:rPr>
        <w:t xml:space="preserve">, pp. 131-156. </w:t>
      </w:r>
    </w:p>
    <w:p w14:paraId="19822D1A" w14:textId="477789F9" w:rsidR="006446A8" w:rsidRPr="003E7EE5" w:rsidRDefault="007A1BD5" w:rsidP="006446A8">
      <w:pPr>
        <w:spacing w:line="360" w:lineRule="auto"/>
        <w:ind w:left="426" w:hanging="426"/>
        <w:rPr>
          <w:rFonts w:eastAsia="Times New Roman"/>
          <w:color w:val="000000" w:themeColor="text1"/>
          <w:shd w:val="clear" w:color="auto" w:fill="FFFFFF"/>
        </w:rPr>
      </w:pPr>
      <w:proofErr w:type="spellStart"/>
      <w:r w:rsidRPr="003E7EE5">
        <w:rPr>
          <w:rFonts w:eastAsia="Times New Roman"/>
          <w:color w:val="000000" w:themeColor="text1"/>
          <w:shd w:val="clear" w:color="auto" w:fill="FFFFFF"/>
        </w:rPr>
        <w:t>Dangelico</w:t>
      </w:r>
      <w:proofErr w:type="spellEnd"/>
      <w:r w:rsidRPr="003E7EE5">
        <w:rPr>
          <w:rFonts w:eastAsia="Times New Roman"/>
          <w:color w:val="000000" w:themeColor="text1"/>
          <w:shd w:val="clear" w:color="auto" w:fill="FFFFFF"/>
        </w:rPr>
        <w:t>, R.M.,</w:t>
      </w:r>
      <w:r w:rsidR="00187FE6" w:rsidRPr="003E7EE5">
        <w:rPr>
          <w:rFonts w:eastAsia="Times New Roman"/>
          <w:color w:val="000000" w:themeColor="text1"/>
          <w:shd w:val="clear" w:color="auto" w:fill="FFFFFF"/>
        </w:rPr>
        <w:t xml:space="preserve"> </w:t>
      </w:r>
      <w:proofErr w:type="spellStart"/>
      <w:r w:rsidR="00187FE6" w:rsidRPr="003E7EE5">
        <w:rPr>
          <w:rFonts w:eastAsia="Times New Roman"/>
          <w:color w:val="000000" w:themeColor="text1"/>
          <w:shd w:val="clear" w:color="auto" w:fill="FFFFFF"/>
        </w:rPr>
        <w:t>Pontrandolfo</w:t>
      </w:r>
      <w:proofErr w:type="spellEnd"/>
      <w:r w:rsidR="00786242" w:rsidRPr="003E7EE5">
        <w:rPr>
          <w:rFonts w:eastAsia="Times New Roman"/>
          <w:color w:val="000000" w:themeColor="text1"/>
          <w:shd w:val="clear" w:color="auto" w:fill="FFFFFF"/>
        </w:rPr>
        <w:t>, P.</w:t>
      </w:r>
      <w:r w:rsidR="00187FE6"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187FE6" w:rsidRPr="003E7EE5">
        <w:rPr>
          <w:rFonts w:eastAsia="Times New Roman"/>
          <w:color w:val="000000" w:themeColor="text1"/>
          <w:shd w:val="clear" w:color="auto" w:fill="FFFFFF"/>
        </w:rPr>
        <w:t xml:space="preserve"> Pujari</w:t>
      </w:r>
      <w:r w:rsidR="00786242" w:rsidRPr="003E7EE5">
        <w:rPr>
          <w:rFonts w:eastAsia="Times New Roman"/>
          <w:color w:val="000000" w:themeColor="text1"/>
          <w:shd w:val="clear" w:color="auto" w:fill="FFFFFF"/>
        </w:rPr>
        <w:t>, D.</w:t>
      </w:r>
      <w:r w:rsidRPr="003E7EE5">
        <w:rPr>
          <w:rFonts w:eastAsia="Times New Roman"/>
          <w:color w:val="000000" w:themeColor="text1"/>
          <w:shd w:val="clear" w:color="auto" w:fill="FFFFFF"/>
        </w:rPr>
        <w:t xml:space="preserve"> (2013)</w:t>
      </w:r>
      <w:r w:rsidR="00BE5802"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Developing sustainable new</w:t>
      </w:r>
      <w:r w:rsidR="00230562"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 xml:space="preserve">products in the textile and upholstered furniture industries: </w:t>
      </w:r>
      <w:r w:rsidR="0049601E">
        <w:rPr>
          <w:rFonts w:eastAsia="Times New Roman"/>
          <w:color w:val="000000" w:themeColor="text1"/>
          <w:shd w:val="clear" w:color="auto" w:fill="FFFFFF"/>
        </w:rPr>
        <w:t>r</w:t>
      </w:r>
      <w:r w:rsidRPr="003E7EE5">
        <w:rPr>
          <w:rFonts w:eastAsia="Times New Roman"/>
          <w:color w:val="000000" w:themeColor="text1"/>
          <w:shd w:val="clear" w:color="auto" w:fill="FFFFFF"/>
        </w:rPr>
        <w:t>ole of external integrative</w:t>
      </w:r>
      <w:r w:rsidR="00230562"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capabilities</w:t>
      </w:r>
      <w:r w:rsidR="0076296A"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Journal of Product Innovation Management</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76296A" w:rsidRPr="003E7EE5">
        <w:rPr>
          <w:rFonts w:eastAsia="Times New Roman"/>
          <w:iCs/>
          <w:color w:val="000000" w:themeColor="text1"/>
        </w:rPr>
        <w:t xml:space="preserve">Vol. 30 No. </w:t>
      </w:r>
      <w:r w:rsidR="00355436" w:rsidRPr="003E7EE5">
        <w:rPr>
          <w:rFonts w:eastAsia="Times New Roman"/>
          <w:iCs/>
          <w:color w:val="000000" w:themeColor="text1"/>
        </w:rPr>
        <w:t>4</w:t>
      </w:r>
      <w:r w:rsidRPr="003E7EE5">
        <w:rPr>
          <w:rFonts w:eastAsia="Times New Roman"/>
          <w:color w:val="000000" w:themeColor="text1"/>
          <w:shd w:val="clear" w:color="auto" w:fill="FFFFFF"/>
        </w:rPr>
        <w:t xml:space="preserve">, </w:t>
      </w:r>
      <w:r w:rsidR="00187FE6"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642-658.</w:t>
      </w:r>
    </w:p>
    <w:p w14:paraId="25B94CAB" w14:textId="470CE389" w:rsidR="006446A8" w:rsidRPr="003E7EE5" w:rsidRDefault="006446A8" w:rsidP="006446A8">
      <w:pPr>
        <w:spacing w:line="360" w:lineRule="auto"/>
        <w:ind w:left="426" w:hanging="426"/>
        <w:rPr>
          <w:color w:val="000000" w:themeColor="text1"/>
          <w:shd w:val="clear" w:color="auto" w:fill="FFFFFF"/>
        </w:rPr>
      </w:pPr>
      <w:proofErr w:type="spellStart"/>
      <w:r w:rsidRPr="003E7EE5">
        <w:rPr>
          <w:color w:val="000000" w:themeColor="text1"/>
          <w:shd w:val="clear" w:color="auto" w:fill="FFFFFF"/>
        </w:rPr>
        <w:t>Dangelico</w:t>
      </w:r>
      <w:proofErr w:type="spellEnd"/>
      <w:r w:rsidRPr="003E7EE5">
        <w:rPr>
          <w:color w:val="000000" w:themeColor="text1"/>
          <w:shd w:val="clear" w:color="auto" w:fill="FFFFFF"/>
        </w:rPr>
        <w:t xml:space="preserve">, R.M. and </w:t>
      </w:r>
      <w:proofErr w:type="spellStart"/>
      <w:r w:rsidRPr="003E7EE5">
        <w:rPr>
          <w:color w:val="000000" w:themeColor="text1"/>
          <w:shd w:val="clear" w:color="auto" w:fill="FFFFFF"/>
        </w:rPr>
        <w:t>Vocalelli</w:t>
      </w:r>
      <w:proofErr w:type="spellEnd"/>
      <w:r w:rsidRPr="003E7EE5">
        <w:rPr>
          <w:color w:val="000000" w:themeColor="text1"/>
          <w:shd w:val="clear" w:color="auto" w:fill="FFFFFF"/>
        </w:rPr>
        <w:t>, D. (2017)</w:t>
      </w:r>
      <w:r w:rsidR="00057B57">
        <w:rPr>
          <w:color w:val="000000" w:themeColor="text1"/>
          <w:shd w:val="clear" w:color="auto" w:fill="FFFFFF"/>
        </w:rPr>
        <w:t>,</w:t>
      </w:r>
      <w:r w:rsidRPr="003E7EE5">
        <w:rPr>
          <w:color w:val="000000" w:themeColor="text1"/>
          <w:shd w:val="clear" w:color="auto" w:fill="FFFFFF"/>
        </w:rPr>
        <w:t xml:space="preserve"> “</w:t>
      </w:r>
      <w:r w:rsidR="0049601E">
        <w:rPr>
          <w:color w:val="000000" w:themeColor="text1"/>
          <w:shd w:val="clear" w:color="auto" w:fill="FFFFFF"/>
        </w:rPr>
        <w:t>‘</w:t>
      </w:r>
      <w:r w:rsidRPr="003E7EE5">
        <w:rPr>
          <w:color w:val="000000" w:themeColor="text1"/>
          <w:shd w:val="clear" w:color="auto" w:fill="FFFFFF"/>
        </w:rPr>
        <w:t xml:space="preserve">Green </w:t>
      </w:r>
      <w:r w:rsidR="0049601E">
        <w:rPr>
          <w:color w:val="000000" w:themeColor="text1"/>
          <w:shd w:val="clear" w:color="auto" w:fill="FFFFFF"/>
        </w:rPr>
        <w:t>m</w:t>
      </w:r>
      <w:r w:rsidRPr="003E7EE5">
        <w:rPr>
          <w:color w:val="000000" w:themeColor="text1"/>
          <w:shd w:val="clear" w:color="auto" w:fill="FFFFFF"/>
        </w:rPr>
        <w:t>arketing</w:t>
      </w:r>
      <w:r w:rsidR="0049601E">
        <w:rPr>
          <w:color w:val="000000" w:themeColor="text1"/>
          <w:shd w:val="clear" w:color="auto" w:fill="FFFFFF"/>
        </w:rPr>
        <w:t>’</w:t>
      </w:r>
      <w:r w:rsidRPr="003E7EE5">
        <w:rPr>
          <w:color w:val="000000" w:themeColor="text1"/>
          <w:shd w:val="clear" w:color="auto" w:fill="FFFFFF"/>
        </w:rPr>
        <w:t xml:space="preserve">: </w:t>
      </w:r>
      <w:r w:rsidR="0049601E">
        <w:rPr>
          <w:color w:val="000000" w:themeColor="text1"/>
          <w:shd w:val="clear" w:color="auto" w:fill="FFFFFF"/>
        </w:rPr>
        <w:t>a</w:t>
      </w:r>
      <w:r w:rsidRPr="003E7EE5">
        <w:rPr>
          <w:color w:val="000000" w:themeColor="text1"/>
          <w:shd w:val="clear" w:color="auto" w:fill="FFFFFF"/>
        </w:rPr>
        <w:t>n analysis of definitions, strategy steps, and tools through a systematic review of the literature”</w:t>
      </w:r>
      <w:r w:rsidR="0049601E">
        <w:rPr>
          <w:color w:val="000000" w:themeColor="text1"/>
          <w:shd w:val="clear" w:color="auto" w:fill="FFFFFF"/>
        </w:rPr>
        <w:t>,</w:t>
      </w:r>
      <w:r w:rsidRPr="003E7EE5">
        <w:rPr>
          <w:color w:val="000000" w:themeColor="text1"/>
          <w:shd w:val="clear" w:color="auto" w:fill="FFFFFF"/>
        </w:rPr>
        <w:t> </w:t>
      </w:r>
      <w:r w:rsidRPr="003E7EE5">
        <w:rPr>
          <w:i/>
          <w:iCs/>
          <w:color w:val="000000" w:themeColor="text1"/>
          <w:shd w:val="clear" w:color="auto" w:fill="FFFFFF"/>
        </w:rPr>
        <w:t xml:space="preserve">Journal of Cleaner </w:t>
      </w:r>
      <w:r w:rsidR="0049601E">
        <w:rPr>
          <w:i/>
          <w:iCs/>
          <w:color w:val="000000" w:themeColor="text1"/>
          <w:shd w:val="clear" w:color="auto" w:fill="FFFFFF"/>
        </w:rPr>
        <w:t>P</w:t>
      </w:r>
      <w:r w:rsidRPr="003E7EE5">
        <w:rPr>
          <w:i/>
          <w:iCs/>
          <w:color w:val="000000" w:themeColor="text1"/>
          <w:shd w:val="clear" w:color="auto" w:fill="FFFFFF"/>
        </w:rPr>
        <w:t>roduction</w:t>
      </w:r>
      <w:r w:rsidRPr="003E7EE5">
        <w:rPr>
          <w:color w:val="000000" w:themeColor="text1"/>
          <w:shd w:val="clear" w:color="auto" w:fill="FFFFFF"/>
        </w:rPr>
        <w:t>, </w:t>
      </w:r>
      <w:r w:rsidR="009D69B7" w:rsidRPr="003E7EE5">
        <w:rPr>
          <w:color w:val="000000" w:themeColor="text1"/>
          <w:shd w:val="clear" w:color="auto" w:fill="FFFFFF"/>
        </w:rPr>
        <w:t xml:space="preserve">Vol. </w:t>
      </w:r>
      <w:r w:rsidRPr="003E7EE5">
        <w:rPr>
          <w:color w:val="000000" w:themeColor="text1"/>
          <w:shd w:val="clear" w:color="auto" w:fill="FFFFFF"/>
        </w:rPr>
        <w:t xml:space="preserve">165, </w:t>
      </w:r>
      <w:r w:rsidR="009D69B7" w:rsidRPr="003E7EE5">
        <w:rPr>
          <w:color w:val="000000" w:themeColor="text1"/>
          <w:shd w:val="clear" w:color="auto" w:fill="FFFFFF"/>
        </w:rPr>
        <w:t xml:space="preserve">pp. </w:t>
      </w:r>
      <w:r w:rsidRPr="003E7EE5">
        <w:rPr>
          <w:color w:val="000000" w:themeColor="text1"/>
          <w:shd w:val="clear" w:color="auto" w:fill="FFFFFF"/>
        </w:rPr>
        <w:t>1263-1279.</w:t>
      </w:r>
    </w:p>
    <w:p w14:paraId="6682BAC2" w14:textId="5481EB44" w:rsidR="007A1BD5" w:rsidRPr="003E7EE5" w:rsidRDefault="007828C1" w:rsidP="0049601E">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Day, G.S. (2011)</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Closing the marketing capabilities gap</w:t>
      </w:r>
      <w:r w:rsidR="0076296A"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187FE6" w:rsidRPr="003E7EE5">
        <w:rPr>
          <w:rFonts w:eastAsia="Times New Roman"/>
          <w:i/>
          <w:iCs/>
          <w:color w:val="000000" w:themeColor="text1"/>
        </w:rPr>
        <w:t>Journal of M</w:t>
      </w:r>
      <w:r w:rsidRPr="003E7EE5">
        <w:rPr>
          <w:rFonts w:eastAsia="Times New Roman"/>
          <w:i/>
          <w:iCs/>
          <w:color w:val="000000" w:themeColor="text1"/>
        </w:rPr>
        <w:t>arketing</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76296A" w:rsidRPr="003E7EE5">
        <w:rPr>
          <w:rFonts w:eastAsia="Times New Roman"/>
          <w:iCs/>
          <w:color w:val="000000" w:themeColor="text1"/>
        </w:rPr>
        <w:t xml:space="preserve">Vol. 75, No. </w:t>
      </w:r>
      <w:r w:rsidR="00355436" w:rsidRPr="003E7EE5">
        <w:rPr>
          <w:rFonts w:eastAsia="Times New Roman"/>
          <w:iCs/>
          <w:color w:val="000000" w:themeColor="text1"/>
        </w:rPr>
        <w:t>4</w:t>
      </w:r>
      <w:r w:rsidRPr="003E7EE5">
        <w:rPr>
          <w:rFonts w:eastAsia="Times New Roman"/>
          <w:color w:val="000000" w:themeColor="text1"/>
          <w:shd w:val="clear" w:color="auto" w:fill="FFFFFF"/>
        </w:rPr>
        <w:t>,</w:t>
      </w:r>
      <w:r w:rsidR="0076296A" w:rsidRPr="003E7EE5">
        <w:rPr>
          <w:rFonts w:eastAsia="Times New Roman"/>
          <w:color w:val="000000" w:themeColor="text1"/>
          <w:shd w:val="clear" w:color="auto" w:fill="FFFFFF"/>
        </w:rPr>
        <w:t xml:space="preserve"> </w:t>
      </w:r>
      <w:r w:rsidR="00187FE6"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183-195.</w:t>
      </w:r>
    </w:p>
    <w:p w14:paraId="35811440" w14:textId="6B041FB3" w:rsidR="009D69B7" w:rsidRPr="003E7EE5" w:rsidRDefault="0043222C" w:rsidP="005E1791">
      <w:pPr>
        <w:spacing w:line="360" w:lineRule="auto"/>
        <w:ind w:left="567" w:hanging="567"/>
        <w:rPr>
          <w:color w:val="000000" w:themeColor="text1"/>
          <w:shd w:val="clear" w:color="auto" w:fill="FFFFFF"/>
        </w:rPr>
      </w:pPr>
      <w:r w:rsidRPr="003E7EE5">
        <w:rPr>
          <w:color w:val="000000" w:themeColor="text1"/>
          <w:shd w:val="clear" w:color="auto" w:fill="FFFFFF"/>
        </w:rPr>
        <w:t>D</w:t>
      </w:r>
      <w:r w:rsidR="009D69B7" w:rsidRPr="003E7EE5">
        <w:rPr>
          <w:color w:val="000000" w:themeColor="text1"/>
          <w:shd w:val="clear" w:color="auto" w:fill="FFFFFF"/>
        </w:rPr>
        <w:t xml:space="preserve">e Ruyter, K., Keeling, D.I., </w:t>
      </w:r>
      <w:proofErr w:type="spellStart"/>
      <w:r w:rsidR="009D69B7" w:rsidRPr="003E7EE5">
        <w:rPr>
          <w:color w:val="000000" w:themeColor="text1"/>
          <w:shd w:val="clear" w:color="auto" w:fill="FFFFFF"/>
        </w:rPr>
        <w:t>Plangger</w:t>
      </w:r>
      <w:proofErr w:type="spellEnd"/>
      <w:r w:rsidR="009D69B7" w:rsidRPr="003E7EE5">
        <w:rPr>
          <w:color w:val="000000" w:themeColor="text1"/>
          <w:shd w:val="clear" w:color="auto" w:fill="FFFFFF"/>
        </w:rPr>
        <w:t xml:space="preserve">, K., </w:t>
      </w:r>
      <w:proofErr w:type="spellStart"/>
      <w:r w:rsidR="009D69B7" w:rsidRPr="003E7EE5">
        <w:rPr>
          <w:color w:val="000000" w:themeColor="text1"/>
          <w:shd w:val="clear" w:color="auto" w:fill="FFFFFF"/>
        </w:rPr>
        <w:t>Montecchi</w:t>
      </w:r>
      <w:proofErr w:type="spellEnd"/>
      <w:r w:rsidR="009D69B7" w:rsidRPr="003E7EE5">
        <w:rPr>
          <w:color w:val="000000" w:themeColor="text1"/>
          <w:shd w:val="clear" w:color="auto" w:fill="FFFFFF"/>
        </w:rPr>
        <w:t>, M., Scott, M.L. and Dahl, D.W. (2022)</w:t>
      </w:r>
      <w:r w:rsidR="00057B57">
        <w:rPr>
          <w:color w:val="000000" w:themeColor="text1"/>
          <w:shd w:val="clear" w:color="auto" w:fill="FFFFFF"/>
        </w:rPr>
        <w:t>,</w:t>
      </w:r>
      <w:r w:rsidR="009D69B7" w:rsidRPr="003E7EE5">
        <w:rPr>
          <w:color w:val="000000" w:themeColor="text1"/>
          <w:shd w:val="clear" w:color="auto" w:fill="FFFFFF"/>
        </w:rPr>
        <w:t xml:space="preserve"> “Reimagining marketing strategy: driving the debate on grand</w:t>
      </w:r>
      <w:r w:rsidR="0049601E">
        <w:rPr>
          <w:color w:val="000000" w:themeColor="text1"/>
          <w:shd w:val="clear" w:color="auto" w:fill="FFFFFF"/>
        </w:rPr>
        <w:t xml:space="preserve"> </w:t>
      </w:r>
      <w:r w:rsidR="009D69B7" w:rsidRPr="003E7EE5">
        <w:rPr>
          <w:color w:val="000000" w:themeColor="text1"/>
          <w:shd w:val="clear" w:color="auto" w:fill="FFFFFF"/>
        </w:rPr>
        <w:t>challenges”,</w:t>
      </w:r>
      <w:r w:rsidR="0049601E">
        <w:rPr>
          <w:color w:val="000000" w:themeColor="text1"/>
          <w:shd w:val="clear" w:color="auto" w:fill="FFFFFF"/>
        </w:rPr>
        <w:t xml:space="preserve"> </w:t>
      </w:r>
      <w:r w:rsidR="009D69B7" w:rsidRPr="003E7EE5">
        <w:rPr>
          <w:i/>
          <w:iCs/>
          <w:color w:val="000000" w:themeColor="text1"/>
          <w:shd w:val="clear" w:color="auto" w:fill="FFFFFF"/>
        </w:rPr>
        <w:t>Journal of the Academy of Marketing Science</w:t>
      </w:r>
      <w:r w:rsidR="009D69B7" w:rsidRPr="003E7EE5">
        <w:rPr>
          <w:color w:val="000000" w:themeColor="text1"/>
          <w:shd w:val="clear" w:color="auto" w:fill="FFFFFF"/>
        </w:rPr>
        <w:t>, Vol. 50 No. 1, pp. 13-21.</w:t>
      </w:r>
    </w:p>
    <w:p w14:paraId="1C3F81F5" w14:textId="39A9955F" w:rsidR="00BF2E17" w:rsidRPr="003E7EE5" w:rsidRDefault="00BF2E17" w:rsidP="0049601E">
      <w:pPr>
        <w:spacing w:line="360" w:lineRule="auto"/>
        <w:ind w:left="426" w:hanging="426"/>
        <w:rPr>
          <w:rFonts w:eastAsia="Times New Roman"/>
          <w:color w:val="000000" w:themeColor="text1"/>
          <w:szCs w:val="20"/>
          <w:shd w:val="clear" w:color="auto" w:fill="FFFFFF"/>
        </w:rPr>
      </w:pPr>
      <w:proofErr w:type="spellStart"/>
      <w:r w:rsidRPr="003E7EE5">
        <w:rPr>
          <w:rFonts w:eastAsia="Times New Roman"/>
          <w:color w:val="000000" w:themeColor="text1"/>
          <w:szCs w:val="20"/>
          <w:shd w:val="clear" w:color="auto" w:fill="FFFFFF"/>
        </w:rPr>
        <w:lastRenderedPageBreak/>
        <w:t>DesJardine</w:t>
      </w:r>
      <w:proofErr w:type="spellEnd"/>
      <w:r w:rsidRPr="003E7EE5">
        <w:rPr>
          <w:rFonts w:eastAsia="Times New Roman"/>
          <w:color w:val="000000" w:themeColor="text1"/>
          <w:szCs w:val="20"/>
          <w:shd w:val="clear" w:color="auto" w:fill="FFFFFF"/>
        </w:rPr>
        <w:t>, M., Bansal</w:t>
      </w:r>
      <w:r w:rsidR="00786242" w:rsidRPr="003E7EE5">
        <w:rPr>
          <w:rFonts w:eastAsia="Times New Roman"/>
          <w:color w:val="000000" w:themeColor="text1"/>
          <w:szCs w:val="20"/>
          <w:shd w:val="clear" w:color="auto" w:fill="FFFFFF"/>
        </w:rPr>
        <w:t xml:space="preserve">, P.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Yang</w:t>
      </w:r>
      <w:r w:rsidR="00786242" w:rsidRPr="003E7EE5">
        <w:rPr>
          <w:rFonts w:eastAsia="Times New Roman"/>
          <w:color w:val="000000" w:themeColor="text1"/>
          <w:szCs w:val="20"/>
          <w:shd w:val="clear" w:color="auto" w:fill="FFFFFF"/>
        </w:rPr>
        <w:t>, Y.</w:t>
      </w:r>
      <w:r w:rsidRPr="003E7EE5">
        <w:rPr>
          <w:rFonts w:eastAsia="Times New Roman"/>
          <w:color w:val="000000" w:themeColor="text1"/>
          <w:szCs w:val="20"/>
          <w:shd w:val="clear" w:color="auto" w:fill="FFFFFF"/>
        </w:rPr>
        <w:t xml:space="preserve"> (2019)</w:t>
      </w:r>
      <w:r w:rsidR="0076296A"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76296A"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Bouncing back: </w:t>
      </w:r>
      <w:r w:rsidR="0049601E">
        <w:rPr>
          <w:rFonts w:eastAsia="Times New Roman"/>
          <w:color w:val="000000" w:themeColor="text1"/>
          <w:szCs w:val="20"/>
          <w:shd w:val="clear" w:color="auto" w:fill="FFFFFF"/>
        </w:rPr>
        <w:t>b</w:t>
      </w:r>
      <w:r w:rsidRPr="003E7EE5">
        <w:rPr>
          <w:rFonts w:eastAsia="Times New Roman"/>
          <w:color w:val="000000" w:themeColor="text1"/>
          <w:szCs w:val="20"/>
          <w:shd w:val="clear" w:color="auto" w:fill="FFFFFF"/>
        </w:rPr>
        <w:t>uilding resilience through social and environmental practices in the context of the 2008 global financial crisis</w:t>
      </w:r>
      <w:r w:rsidR="0076296A" w:rsidRPr="003E7EE5">
        <w:rPr>
          <w:rFonts w:eastAsia="Times New Roman"/>
          <w:color w:val="000000" w:themeColor="text1"/>
          <w:szCs w:val="20"/>
          <w:shd w:val="clear" w:color="auto" w:fill="FFFFFF"/>
        </w:rPr>
        <w:t>”,</w:t>
      </w:r>
      <w:r w:rsidR="0049601E">
        <w:rPr>
          <w:rStyle w:val="apple-converted-space"/>
          <w:color w:val="000000" w:themeColor="text1"/>
          <w:szCs w:val="20"/>
          <w:shd w:val="clear" w:color="auto" w:fill="FFFFFF"/>
        </w:rPr>
        <w:t xml:space="preserve"> </w:t>
      </w:r>
      <w:r w:rsidRPr="003E7EE5">
        <w:rPr>
          <w:rFonts w:eastAsia="Times New Roman"/>
          <w:i/>
          <w:iCs/>
          <w:color w:val="000000" w:themeColor="text1"/>
          <w:szCs w:val="20"/>
        </w:rPr>
        <w:t>Journal of Management</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76296A" w:rsidRPr="003E7EE5">
        <w:rPr>
          <w:rFonts w:eastAsia="Times New Roman"/>
          <w:iCs/>
          <w:color w:val="000000" w:themeColor="text1"/>
          <w:szCs w:val="20"/>
        </w:rPr>
        <w:t>Vol. 45 No. 4,</w:t>
      </w:r>
      <w:r w:rsidRPr="003E7EE5">
        <w:rPr>
          <w:rFonts w:eastAsia="Times New Roman"/>
          <w:color w:val="000000" w:themeColor="text1"/>
          <w:szCs w:val="20"/>
          <w:shd w:val="clear" w:color="auto" w:fill="FFFFFF"/>
        </w:rPr>
        <w:t xml:space="preserve"> pp.</w:t>
      </w:r>
      <w:r w:rsidR="0049601E">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1434-1460.</w:t>
      </w:r>
    </w:p>
    <w:p w14:paraId="3527A96D" w14:textId="1D340B2E" w:rsidR="003B39C1" w:rsidRPr="003E7EE5" w:rsidRDefault="00187FE6" w:rsidP="00F12072">
      <w:pPr>
        <w:widowControl w:val="0"/>
        <w:autoSpaceDE w:val="0"/>
        <w:autoSpaceDN w:val="0"/>
        <w:adjustRightInd w:val="0"/>
        <w:spacing w:line="360" w:lineRule="auto"/>
        <w:ind w:left="426" w:hanging="426"/>
        <w:rPr>
          <w:color w:val="000000" w:themeColor="text1"/>
        </w:rPr>
      </w:pPr>
      <w:r w:rsidRPr="003E7EE5">
        <w:rPr>
          <w:color w:val="000000" w:themeColor="text1"/>
        </w:rPr>
        <w:t>Eccles</w:t>
      </w:r>
      <w:r w:rsidR="0049601E">
        <w:rPr>
          <w:color w:val="000000" w:themeColor="text1"/>
        </w:rPr>
        <w:t>,</w:t>
      </w:r>
      <w:r w:rsidRPr="003E7EE5">
        <w:rPr>
          <w:color w:val="000000" w:themeColor="text1"/>
        </w:rPr>
        <w:t xml:space="preserve"> R.G., Ioannou</w:t>
      </w:r>
      <w:r w:rsidR="00786242" w:rsidRPr="003E7EE5">
        <w:rPr>
          <w:color w:val="000000" w:themeColor="text1"/>
        </w:rPr>
        <w:t xml:space="preserve">, I. </w:t>
      </w:r>
      <w:r w:rsidR="007E71B6" w:rsidRPr="003E7EE5">
        <w:rPr>
          <w:color w:val="000000" w:themeColor="text1"/>
        </w:rPr>
        <w:t>and</w:t>
      </w:r>
      <w:r w:rsidRPr="003E7EE5">
        <w:rPr>
          <w:color w:val="000000" w:themeColor="text1"/>
        </w:rPr>
        <w:t xml:space="preserve"> </w:t>
      </w:r>
      <w:proofErr w:type="spellStart"/>
      <w:r w:rsidRPr="003E7EE5">
        <w:rPr>
          <w:color w:val="000000" w:themeColor="text1"/>
        </w:rPr>
        <w:t>Serafeim</w:t>
      </w:r>
      <w:proofErr w:type="spellEnd"/>
      <w:r w:rsidR="00786242" w:rsidRPr="003E7EE5">
        <w:rPr>
          <w:color w:val="000000" w:themeColor="text1"/>
        </w:rPr>
        <w:t>, G.</w:t>
      </w:r>
      <w:r w:rsidR="003B39C1" w:rsidRPr="003E7EE5">
        <w:rPr>
          <w:color w:val="000000" w:themeColor="text1"/>
        </w:rPr>
        <w:t xml:space="preserve"> (2014)</w:t>
      </w:r>
      <w:r w:rsidR="0076296A" w:rsidRPr="003E7EE5">
        <w:rPr>
          <w:color w:val="000000" w:themeColor="text1"/>
        </w:rPr>
        <w:t>, “</w:t>
      </w:r>
      <w:r w:rsidR="003B39C1" w:rsidRPr="003E7EE5">
        <w:rPr>
          <w:color w:val="000000" w:themeColor="text1"/>
        </w:rPr>
        <w:t>The impact of corporate sustainability on organizat</w:t>
      </w:r>
      <w:r w:rsidRPr="003E7EE5">
        <w:rPr>
          <w:color w:val="000000" w:themeColor="text1"/>
        </w:rPr>
        <w:t>ional processes and performance</w:t>
      </w:r>
      <w:r w:rsidR="0076296A" w:rsidRPr="003E7EE5">
        <w:rPr>
          <w:color w:val="000000" w:themeColor="text1"/>
        </w:rPr>
        <w:t>”,</w:t>
      </w:r>
      <w:r w:rsidR="003B39C1" w:rsidRPr="003E7EE5">
        <w:rPr>
          <w:color w:val="000000" w:themeColor="text1"/>
        </w:rPr>
        <w:t xml:space="preserve"> </w:t>
      </w:r>
      <w:r w:rsidR="003B39C1" w:rsidRPr="003E7EE5">
        <w:rPr>
          <w:i/>
          <w:iCs/>
          <w:color w:val="000000" w:themeColor="text1"/>
        </w:rPr>
        <w:t>Management Sci</w:t>
      </w:r>
      <w:r w:rsidRPr="003E7EE5">
        <w:rPr>
          <w:i/>
          <w:iCs/>
          <w:color w:val="000000" w:themeColor="text1"/>
        </w:rPr>
        <w:t>ence</w:t>
      </w:r>
      <w:r w:rsidR="0076296A" w:rsidRPr="005E1791">
        <w:rPr>
          <w:color w:val="000000" w:themeColor="text1"/>
        </w:rPr>
        <w:t xml:space="preserve">, </w:t>
      </w:r>
      <w:r w:rsidR="0076296A" w:rsidRPr="0049601E">
        <w:rPr>
          <w:color w:val="000000" w:themeColor="text1"/>
        </w:rPr>
        <w:t>V</w:t>
      </w:r>
      <w:r w:rsidR="0076296A" w:rsidRPr="003E7EE5">
        <w:rPr>
          <w:color w:val="000000" w:themeColor="text1"/>
        </w:rPr>
        <w:t xml:space="preserve">ol. 60 No. </w:t>
      </w:r>
      <w:r w:rsidR="00355436" w:rsidRPr="003E7EE5">
        <w:rPr>
          <w:color w:val="000000" w:themeColor="text1"/>
        </w:rPr>
        <w:t>11</w:t>
      </w:r>
      <w:r w:rsidR="0076296A" w:rsidRPr="003E7EE5">
        <w:rPr>
          <w:color w:val="000000" w:themeColor="text1"/>
        </w:rPr>
        <w:t>,</w:t>
      </w:r>
      <w:r w:rsidRPr="003E7EE5">
        <w:rPr>
          <w:color w:val="000000" w:themeColor="text1"/>
        </w:rPr>
        <w:t xml:space="preserve"> pp. </w:t>
      </w:r>
      <w:r w:rsidR="003B39C1" w:rsidRPr="003E7EE5">
        <w:rPr>
          <w:color w:val="000000" w:themeColor="text1"/>
        </w:rPr>
        <w:t>2835–2857.</w:t>
      </w:r>
    </w:p>
    <w:p w14:paraId="3F115234" w14:textId="17294421" w:rsidR="003B39C1" w:rsidRPr="003E7EE5" w:rsidRDefault="003B39C1" w:rsidP="00F12072">
      <w:pPr>
        <w:widowControl w:val="0"/>
        <w:autoSpaceDE w:val="0"/>
        <w:autoSpaceDN w:val="0"/>
        <w:adjustRightInd w:val="0"/>
        <w:spacing w:line="360" w:lineRule="auto"/>
        <w:ind w:left="426" w:hanging="426"/>
        <w:rPr>
          <w:color w:val="000000" w:themeColor="text1"/>
        </w:rPr>
      </w:pPr>
      <w:r w:rsidRPr="003E7EE5">
        <w:rPr>
          <w:color w:val="000000" w:themeColor="text1"/>
        </w:rPr>
        <w:t xml:space="preserve">Erol, O., </w:t>
      </w:r>
      <w:proofErr w:type="spellStart"/>
      <w:r w:rsidR="00AC182B" w:rsidRPr="003E7EE5">
        <w:rPr>
          <w:color w:val="000000" w:themeColor="text1"/>
        </w:rPr>
        <w:t>Sauser</w:t>
      </w:r>
      <w:proofErr w:type="spellEnd"/>
      <w:r w:rsidR="00786242" w:rsidRPr="003E7EE5">
        <w:rPr>
          <w:color w:val="000000" w:themeColor="text1"/>
        </w:rPr>
        <w:t>, B.J.</w:t>
      </w:r>
      <w:r w:rsidR="00AC182B" w:rsidRPr="003E7EE5">
        <w:rPr>
          <w:color w:val="000000" w:themeColor="text1"/>
        </w:rPr>
        <w:t xml:space="preserve"> </w:t>
      </w:r>
      <w:r w:rsidR="007E71B6" w:rsidRPr="003E7EE5">
        <w:rPr>
          <w:color w:val="000000" w:themeColor="text1"/>
        </w:rPr>
        <w:t>and</w:t>
      </w:r>
      <w:r w:rsidR="00AC182B" w:rsidRPr="003E7EE5">
        <w:rPr>
          <w:color w:val="000000" w:themeColor="text1"/>
        </w:rPr>
        <w:t xml:space="preserve"> Mansouri</w:t>
      </w:r>
      <w:r w:rsidR="00786242" w:rsidRPr="003E7EE5">
        <w:rPr>
          <w:color w:val="000000" w:themeColor="text1"/>
        </w:rPr>
        <w:t>, M.</w:t>
      </w:r>
      <w:r w:rsidRPr="003E7EE5">
        <w:rPr>
          <w:color w:val="000000" w:themeColor="text1"/>
        </w:rPr>
        <w:t xml:space="preserve"> (2010)</w:t>
      </w:r>
      <w:r w:rsidR="0076296A" w:rsidRPr="003E7EE5">
        <w:rPr>
          <w:color w:val="000000" w:themeColor="text1"/>
        </w:rPr>
        <w:t>,</w:t>
      </w:r>
      <w:r w:rsidRPr="003E7EE5">
        <w:rPr>
          <w:color w:val="000000" w:themeColor="text1"/>
        </w:rPr>
        <w:t xml:space="preserve"> </w:t>
      </w:r>
      <w:r w:rsidRPr="003E7EE5">
        <w:rPr>
          <w:i/>
          <w:color w:val="000000" w:themeColor="text1"/>
        </w:rPr>
        <w:t xml:space="preserve">A framework for </w:t>
      </w:r>
      <w:r w:rsidR="00692F28" w:rsidRPr="003E7EE5">
        <w:rPr>
          <w:i/>
          <w:color w:val="000000" w:themeColor="text1"/>
        </w:rPr>
        <w:t xml:space="preserve">Investigation </w:t>
      </w:r>
      <w:r w:rsidR="00692F28">
        <w:rPr>
          <w:i/>
          <w:color w:val="000000" w:themeColor="text1"/>
        </w:rPr>
        <w:t>i</w:t>
      </w:r>
      <w:r w:rsidR="00692F28" w:rsidRPr="003E7EE5">
        <w:rPr>
          <w:i/>
          <w:color w:val="000000" w:themeColor="text1"/>
        </w:rPr>
        <w:t>nto Extended Enterprise Resilienc</w:t>
      </w:r>
      <w:r w:rsidR="00AC182B" w:rsidRPr="003E7EE5">
        <w:rPr>
          <w:i/>
          <w:color w:val="000000" w:themeColor="text1"/>
        </w:rPr>
        <w:t>e</w:t>
      </w:r>
      <w:r w:rsidR="0076296A" w:rsidRPr="003E7EE5">
        <w:rPr>
          <w:color w:val="000000" w:themeColor="text1"/>
        </w:rPr>
        <w:t>,</w:t>
      </w:r>
      <w:r w:rsidR="00AC182B" w:rsidRPr="003E7EE5">
        <w:rPr>
          <w:color w:val="000000" w:themeColor="text1"/>
        </w:rPr>
        <w:t xml:space="preserve"> </w:t>
      </w:r>
      <w:r w:rsidRPr="003E7EE5">
        <w:rPr>
          <w:color w:val="000000" w:themeColor="text1"/>
        </w:rPr>
        <w:t xml:space="preserve">Taylor </w:t>
      </w:r>
      <w:r w:rsidR="0049601E">
        <w:rPr>
          <w:color w:val="000000" w:themeColor="text1"/>
        </w:rPr>
        <w:t xml:space="preserve">&amp; </w:t>
      </w:r>
      <w:r w:rsidRPr="003E7EE5">
        <w:rPr>
          <w:color w:val="000000" w:themeColor="text1"/>
        </w:rPr>
        <w:t>Francis</w:t>
      </w:r>
      <w:r w:rsidR="007B436F" w:rsidRPr="003E7EE5">
        <w:rPr>
          <w:color w:val="000000" w:themeColor="text1"/>
        </w:rPr>
        <w:t>, London</w:t>
      </w:r>
      <w:r w:rsidRPr="003E7EE5">
        <w:rPr>
          <w:color w:val="000000" w:themeColor="text1"/>
        </w:rPr>
        <w:t xml:space="preserve">. </w:t>
      </w:r>
    </w:p>
    <w:p w14:paraId="4A7A1570" w14:textId="79CCE0BA" w:rsidR="00BF2E17" w:rsidRPr="003E7EE5" w:rsidRDefault="00BF2E17" w:rsidP="00F12072">
      <w:pPr>
        <w:spacing w:line="360" w:lineRule="auto"/>
        <w:ind w:left="426" w:hanging="426"/>
        <w:rPr>
          <w:rFonts w:eastAsia="Times New Roman"/>
          <w:color w:val="000000" w:themeColor="text1"/>
          <w:sz w:val="36"/>
        </w:rPr>
      </w:pPr>
      <w:r w:rsidRPr="003E7EE5">
        <w:rPr>
          <w:rFonts w:eastAsia="Times New Roman"/>
          <w:color w:val="000000" w:themeColor="text1"/>
          <w:szCs w:val="20"/>
          <w:shd w:val="clear" w:color="auto" w:fill="FFFFFF"/>
        </w:rPr>
        <w:t xml:space="preserve">Flammer, C.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Ioannou</w:t>
      </w:r>
      <w:r w:rsidR="00301DB4" w:rsidRPr="003E7EE5">
        <w:rPr>
          <w:rFonts w:eastAsia="Times New Roman"/>
          <w:color w:val="000000" w:themeColor="text1"/>
          <w:szCs w:val="20"/>
          <w:shd w:val="clear" w:color="auto" w:fill="FFFFFF"/>
        </w:rPr>
        <w:t>, I.</w:t>
      </w:r>
      <w:r w:rsidRPr="003E7EE5">
        <w:rPr>
          <w:rFonts w:eastAsia="Times New Roman"/>
          <w:color w:val="000000" w:themeColor="text1"/>
          <w:szCs w:val="20"/>
          <w:shd w:val="clear" w:color="auto" w:fill="FFFFFF"/>
        </w:rPr>
        <w:t xml:space="preserve"> (2021)</w:t>
      </w:r>
      <w:r w:rsidR="0076296A"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76296A"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Strategic management during the financial crisis: </w:t>
      </w:r>
      <w:r w:rsidR="0049601E">
        <w:rPr>
          <w:rFonts w:eastAsia="Times New Roman"/>
          <w:color w:val="000000" w:themeColor="text1"/>
          <w:szCs w:val="20"/>
          <w:shd w:val="clear" w:color="auto" w:fill="FFFFFF"/>
        </w:rPr>
        <w:t>h</w:t>
      </w:r>
      <w:r w:rsidRPr="003E7EE5">
        <w:rPr>
          <w:rFonts w:eastAsia="Times New Roman"/>
          <w:color w:val="000000" w:themeColor="text1"/>
          <w:szCs w:val="20"/>
          <w:shd w:val="clear" w:color="auto" w:fill="FFFFFF"/>
        </w:rPr>
        <w:t>ow firms adjust their strategic investments in response to credit market disruptions</w:t>
      </w:r>
      <w:r w:rsidR="0076296A" w:rsidRPr="003E7EE5">
        <w:rPr>
          <w:rFonts w:eastAsia="Times New Roman"/>
          <w:color w:val="000000" w:themeColor="text1"/>
          <w:szCs w:val="20"/>
          <w:shd w:val="clear" w:color="auto" w:fill="FFFFFF"/>
        </w:rPr>
        <w:t>”,</w:t>
      </w:r>
      <w:r w:rsidR="0049601E">
        <w:rPr>
          <w:rStyle w:val="apple-converted-space"/>
          <w:color w:val="000000" w:themeColor="text1"/>
          <w:szCs w:val="20"/>
          <w:shd w:val="clear" w:color="auto" w:fill="FFFFFF"/>
        </w:rPr>
        <w:t xml:space="preserve"> </w:t>
      </w:r>
      <w:r w:rsidRPr="003E7EE5">
        <w:rPr>
          <w:rFonts w:eastAsia="Times New Roman"/>
          <w:i/>
          <w:iCs/>
          <w:color w:val="000000" w:themeColor="text1"/>
          <w:szCs w:val="20"/>
        </w:rPr>
        <w:t>Strategic Management Journal</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76296A" w:rsidRPr="003E7EE5">
        <w:rPr>
          <w:rStyle w:val="apple-converted-space"/>
          <w:color w:val="000000" w:themeColor="text1"/>
          <w:szCs w:val="20"/>
          <w:shd w:val="clear" w:color="auto" w:fill="FFFFFF"/>
        </w:rPr>
        <w:t>Vol. 42 No. 7</w:t>
      </w:r>
      <w:r w:rsidRPr="003E7EE5">
        <w:rPr>
          <w:rFonts w:eastAsia="Times New Roman"/>
          <w:color w:val="000000" w:themeColor="text1"/>
          <w:szCs w:val="20"/>
          <w:shd w:val="clear" w:color="auto" w:fill="FFFFFF"/>
        </w:rPr>
        <w:t>, pp.</w:t>
      </w:r>
      <w:r w:rsidR="0049601E">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1275-1298.</w:t>
      </w:r>
    </w:p>
    <w:p w14:paraId="2D2D8685" w14:textId="0D3F81C5" w:rsidR="003B39C1" w:rsidRPr="003E7EE5" w:rsidRDefault="00277BD0" w:rsidP="00F12072">
      <w:pPr>
        <w:autoSpaceDE w:val="0"/>
        <w:autoSpaceDN w:val="0"/>
        <w:adjustRightInd w:val="0"/>
        <w:spacing w:line="360" w:lineRule="auto"/>
        <w:ind w:left="426" w:hanging="426"/>
        <w:rPr>
          <w:color w:val="000000" w:themeColor="text1"/>
        </w:rPr>
      </w:pPr>
      <w:proofErr w:type="spellStart"/>
      <w:r w:rsidRPr="003E7EE5">
        <w:rPr>
          <w:color w:val="000000" w:themeColor="text1"/>
        </w:rPr>
        <w:t>Fornell</w:t>
      </w:r>
      <w:proofErr w:type="spellEnd"/>
      <w:r w:rsidRPr="003E7EE5">
        <w:rPr>
          <w:color w:val="000000" w:themeColor="text1"/>
        </w:rPr>
        <w:t xml:space="preserve">, C. </w:t>
      </w:r>
      <w:r w:rsidR="007E71B6" w:rsidRPr="003E7EE5">
        <w:rPr>
          <w:color w:val="000000" w:themeColor="text1"/>
        </w:rPr>
        <w:t>and</w:t>
      </w:r>
      <w:r w:rsidRPr="003E7EE5">
        <w:rPr>
          <w:color w:val="000000" w:themeColor="text1"/>
        </w:rPr>
        <w:t xml:space="preserve"> Larcker</w:t>
      </w:r>
      <w:r w:rsidR="00301DB4" w:rsidRPr="003E7EE5">
        <w:rPr>
          <w:color w:val="000000" w:themeColor="text1"/>
        </w:rPr>
        <w:t>, D.F.</w:t>
      </w:r>
      <w:r w:rsidR="003B39C1" w:rsidRPr="003E7EE5">
        <w:rPr>
          <w:color w:val="000000" w:themeColor="text1"/>
        </w:rPr>
        <w:t xml:space="preserve"> (1981)</w:t>
      </w:r>
      <w:r w:rsidR="0076296A" w:rsidRPr="003E7EE5">
        <w:rPr>
          <w:color w:val="000000" w:themeColor="text1"/>
        </w:rPr>
        <w:t>,</w:t>
      </w:r>
      <w:r w:rsidR="003B39C1" w:rsidRPr="003E7EE5">
        <w:rPr>
          <w:color w:val="000000" w:themeColor="text1"/>
        </w:rPr>
        <w:t xml:space="preserve"> </w:t>
      </w:r>
      <w:r w:rsidR="0076296A" w:rsidRPr="003E7EE5">
        <w:rPr>
          <w:color w:val="000000" w:themeColor="text1"/>
        </w:rPr>
        <w:t>“</w:t>
      </w:r>
      <w:r w:rsidR="003B39C1" w:rsidRPr="003E7EE5">
        <w:rPr>
          <w:color w:val="000000" w:themeColor="text1"/>
        </w:rPr>
        <w:t>Structural equation models with unobservable variables and measuremen</w:t>
      </w:r>
      <w:r w:rsidRPr="003E7EE5">
        <w:rPr>
          <w:color w:val="000000" w:themeColor="text1"/>
        </w:rPr>
        <w:t>t error: Algebra and statistics</w:t>
      </w:r>
      <w:r w:rsidR="0076296A" w:rsidRPr="003E7EE5">
        <w:rPr>
          <w:color w:val="000000" w:themeColor="text1"/>
        </w:rPr>
        <w:t>”,</w:t>
      </w:r>
      <w:r w:rsidR="003B39C1" w:rsidRPr="003E7EE5">
        <w:rPr>
          <w:color w:val="000000" w:themeColor="text1"/>
        </w:rPr>
        <w:t xml:space="preserve"> </w:t>
      </w:r>
      <w:r w:rsidRPr="003E7EE5">
        <w:rPr>
          <w:i/>
          <w:iCs/>
          <w:color w:val="000000" w:themeColor="text1"/>
        </w:rPr>
        <w:t>Journal of Marketing Research</w:t>
      </w:r>
      <w:r w:rsidRPr="005E1791">
        <w:rPr>
          <w:color w:val="000000" w:themeColor="text1"/>
        </w:rPr>
        <w:t>,</w:t>
      </w:r>
      <w:r w:rsidRPr="003E7EE5">
        <w:rPr>
          <w:i/>
          <w:color w:val="000000" w:themeColor="text1"/>
        </w:rPr>
        <w:t xml:space="preserve"> </w:t>
      </w:r>
      <w:r w:rsidR="00B11D3A" w:rsidRPr="003E7EE5">
        <w:rPr>
          <w:iCs/>
          <w:color w:val="000000" w:themeColor="text1"/>
        </w:rPr>
        <w:t>Vol. 18</w:t>
      </w:r>
      <w:r w:rsidR="0076296A" w:rsidRPr="003E7EE5">
        <w:rPr>
          <w:iCs/>
          <w:color w:val="000000" w:themeColor="text1"/>
        </w:rPr>
        <w:t xml:space="preserve"> </w:t>
      </w:r>
      <w:r w:rsidR="00B11D3A" w:rsidRPr="003E7EE5">
        <w:rPr>
          <w:iCs/>
          <w:color w:val="000000" w:themeColor="text1"/>
        </w:rPr>
        <w:t>No. 3</w:t>
      </w:r>
      <w:r w:rsidRPr="003E7EE5">
        <w:rPr>
          <w:iCs/>
          <w:color w:val="000000" w:themeColor="text1"/>
        </w:rPr>
        <w:t xml:space="preserve">, pp. </w:t>
      </w:r>
      <w:r w:rsidR="003B39C1" w:rsidRPr="003E7EE5">
        <w:rPr>
          <w:color w:val="000000" w:themeColor="text1"/>
        </w:rPr>
        <w:t>382–388.</w:t>
      </w:r>
    </w:p>
    <w:p w14:paraId="468E655F" w14:textId="58621451" w:rsidR="003B39C1" w:rsidRPr="003E7EE5" w:rsidRDefault="003B39C1" w:rsidP="005E1791">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F</w:t>
      </w:r>
      <w:r w:rsidR="0081456D" w:rsidRPr="003E7EE5">
        <w:rPr>
          <w:rFonts w:eastAsia="Times New Roman"/>
          <w:color w:val="000000" w:themeColor="text1"/>
          <w:shd w:val="clear" w:color="auto" w:fill="FFFFFF"/>
        </w:rPr>
        <w:t>raj-Andrés, E., Martínez</w:t>
      </w:r>
      <w:r w:rsidR="00301DB4" w:rsidRPr="003E7EE5">
        <w:rPr>
          <w:rFonts w:eastAsia="Times New Roman"/>
          <w:color w:val="000000" w:themeColor="text1"/>
          <w:shd w:val="clear" w:color="auto" w:fill="FFFFFF"/>
        </w:rPr>
        <w:t>, E.</w:t>
      </w:r>
      <w:r w:rsidR="00277BD0"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277BD0" w:rsidRPr="003E7EE5">
        <w:rPr>
          <w:rFonts w:eastAsia="Times New Roman"/>
          <w:color w:val="000000" w:themeColor="text1"/>
          <w:shd w:val="clear" w:color="auto" w:fill="FFFFFF"/>
        </w:rPr>
        <w:t xml:space="preserve"> </w:t>
      </w:r>
      <w:proofErr w:type="spellStart"/>
      <w:r w:rsidR="0081456D" w:rsidRPr="003E7EE5">
        <w:rPr>
          <w:rFonts w:eastAsia="Times New Roman"/>
          <w:color w:val="000000" w:themeColor="text1"/>
          <w:shd w:val="clear" w:color="auto" w:fill="FFFFFF"/>
        </w:rPr>
        <w:t>Matute</w:t>
      </w:r>
      <w:proofErr w:type="spellEnd"/>
      <w:r w:rsidR="00301DB4" w:rsidRPr="003E7EE5">
        <w:rPr>
          <w:rFonts w:eastAsia="Times New Roman"/>
          <w:color w:val="000000" w:themeColor="text1"/>
          <w:shd w:val="clear" w:color="auto" w:fill="FFFFFF"/>
        </w:rPr>
        <w:t>, J.</w:t>
      </w:r>
      <w:r w:rsidRPr="003E7EE5">
        <w:rPr>
          <w:rFonts w:eastAsia="Times New Roman"/>
          <w:color w:val="000000" w:themeColor="text1"/>
          <w:shd w:val="clear" w:color="auto" w:fill="FFFFFF"/>
        </w:rPr>
        <w:t xml:space="preserve"> (2009)</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A multidimensional approach to the influence of environmental marketing and orientation on the fir</w:t>
      </w:r>
      <w:r w:rsidR="00277BD0" w:rsidRPr="003E7EE5">
        <w:rPr>
          <w:rFonts w:eastAsia="Times New Roman"/>
          <w:color w:val="000000" w:themeColor="text1"/>
          <w:shd w:val="clear" w:color="auto" w:fill="FFFFFF"/>
        </w:rPr>
        <w:t>m’s organizational performance</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w:t>
      </w:r>
      <w:r w:rsidRPr="003E7EE5">
        <w:rPr>
          <w:rFonts w:eastAsia="Times New Roman"/>
          <w:i/>
          <w:iCs/>
          <w:color w:val="000000" w:themeColor="text1"/>
        </w:rPr>
        <w:t>Journal of Business Ethics</w:t>
      </w:r>
      <w:r w:rsidRPr="003E7EE5">
        <w:rPr>
          <w:rFonts w:eastAsia="Times New Roman"/>
          <w:color w:val="000000" w:themeColor="text1"/>
          <w:shd w:val="clear" w:color="auto" w:fill="FFFFFF"/>
        </w:rPr>
        <w:t>, </w:t>
      </w:r>
      <w:r w:rsidR="0076296A" w:rsidRPr="003E7EE5">
        <w:rPr>
          <w:rFonts w:eastAsia="Times New Roman"/>
          <w:iCs/>
          <w:color w:val="000000" w:themeColor="text1"/>
        </w:rPr>
        <w:t xml:space="preserve">Vol. 88 No. </w:t>
      </w:r>
      <w:r w:rsidR="00355436" w:rsidRPr="003E7EE5">
        <w:rPr>
          <w:rFonts w:eastAsia="Times New Roman"/>
          <w:iCs/>
          <w:color w:val="000000" w:themeColor="text1"/>
        </w:rPr>
        <w:t>2</w:t>
      </w:r>
      <w:r w:rsidRPr="003E7EE5">
        <w:rPr>
          <w:rFonts w:eastAsia="Times New Roman"/>
          <w:color w:val="000000" w:themeColor="text1"/>
          <w:shd w:val="clear" w:color="auto" w:fill="FFFFFF"/>
        </w:rPr>
        <w:t xml:space="preserve">, </w:t>
      </w:r>
      <w:r w:rsidR="00277BD0"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263-286.</w:t>
      </w:r>
    </w:p>
    <w:p w14:paraId="034C26FA" w14:textId="75B36130" w:rsidR="003F3872" w:rsidRPr="003E7EE5" w:rsidRDefault="003F3872" w:rsidP="00F12072">
      <w:pPr>
        <w:spacing w:line="360" w:lineRule="auto"/>
        <w:ind w:left="426" w:hanging="426"/>
        <w:rPr>
          <w:rFonts w:eastAsia="Times New Roman"/>
          <w:color w:val="000000" w:themeColor="text1"/>
          <w:sz w:val="36"/>
          <w:szCs w:val="36"/>
          <w:shd w:val="clear" w:color="auto" w:fill="FFFFFF"/>
        </w:rPr>
      </w:pPr>
      <w:r w:rsidRPr="003E7EE5">
        <w:rPr>
          <w:color w:val="000000" w:themeColor="text1"/>
          <w:shd w:val="clear" w:color="auto" w:fill="FFFFFF"/>
        </w:rPr>
        <w:t>Gabler, C.B., Landers, V.M. and Richey, R.G. (2021), “Benefits and challenges of developing an eco-social orientation: implications for marketing practice</w:t>
      </w:r>
      <w:r w:rsidR="00F132C0">
        <w:rPr>
          <w:color w:val="000000" w:themeColor="text1"/>
          <w:shd w:val="clear" w:color="auto" w:fill="FFFFFF"/>
        </w:rPr>
        <w:t>”</w:t>
      </w:r>
      <w:r w:rsidRPr="003E7EE5">
        <w:rPr>
          <w:color w:val="000000" w:themeColor="text1"/>
          <w:shd w:val="clear" w:color="auto" w:fill="FFFFFF"/>
        </w:rPr>
        <w:t>, </w:t>
      </w:r>
      <w:r w:rsidRPr="003E7EE5">
        <w:rPr>
          <w:i/>
          <w:iCs/>
          <w:color w:val="000000" w:themeColor="text1"/>
          <w:shd w:val="clear" w:color="auto" w:fill="FFFFFF"/>
        </w:rPr>
        <w:t>European Journal of Marketing</w:t>
      </w:r>
      <w:r w:rsidRPr="003E7EE5">
        <w:rPr>
          <w:color w:val="000000" w:themeColor="text1"/>
          <w:shd w:val="clear" w:color="auto" w:fill="FFFFFF"/>
        </w:rPr>
        <w:t>, Vol. 55 No. 4, pp. 1155-1176</w:t>
      </w:r>
    </w:p>
    <w:p w14:paraId="52BBC97B" w14:textId="7E9CD792" w:rsidR="0049601E" w:rsidRPr="003E7EE5" w:rsidRDefault="0049601E" w:rsidP="0049601E">
      <w:pPr>
        <w:spacing w:line="360" w:lineRule="auto"/>
        <w:ind w:left="426" w:hanging="426"/>
        <w:rPr>
          <w:rFonts w:eastAsia="Times New Roman"/>
          <w:color w:val="000000" w:themeColor="text1"/>
          <w:shd w:val="clear" w:color="auto" w:fill="FFFFFF"/>
        </w:rPr>
      </w:pPr>
      <w:r w:rsidRPr="003E7EE5">
        <w:rPr>
          <w:color w:val="000000" w:themeColor="text1"/>
          <w:shd w:val="clear" w:color="auto" w:fill="FFFFFF"/>
        </w:rPr>
        <w:t>Ge, C., Huang, H., Wang, Z., Jiang, J. and Liu, C. (2023), “Working from home and firm resilience to the COVID‐19 pandemic”, </w:t>
      </w:r>
      <w:r w:rsidRPr="003E7EE5">
        <w:rPr>
          <w:i/>
          <w:iCs/>
          <w:color w:val="000000" w:themeColor="text1"/>
          <w:shd w:val="clear" w:color="auto" w:fill="FFFFFF"/>
        </w:rPr>
        <w:t>Journal of Operations Management</w:t>
      </w:r>
      <w:r w:rsidRPr="003E7EE5">
        <w:rPr>
          <w:color w:val="000000" w:themeColor="text1"/>
          <w:shd w:val="clear" w:color="auto" w:fill="FFFFFF"/>
        </w:rPr>
        <w:t xml:space="preserve">, Vol. 69 No. 3, pp. 450-476. </w:t>
      </w:r>
    </w:p>
    <w:p w14:paraId="42E82792" w14:textId="7DA46E56" w:rsidR="001900EA" w:rsidRPr="003E7EE5" w:rsidRDefault="00DE5EF1" w:rsidP="00F12072">
      <w:pPr>
        <w:spacing w:line="360" w:lineRule="auto"/>
        <w:ind w:left="426" w:hanging="426"/>
        <w:rPr>
          <w:rFonts w:eastAsia="Times New Roman"/>
          <w:color w:val="000000" w:themeColor="text1"/>
          <w:szCs w:val="20"/>
          <w:shd w:val="clear" w:color="auto" w:fill="FFFFFF"/>
        </w:rPr>
      </w:pPr>
      <w:proofErr w:type="spellStart"/>
      <w:r w:rsidRPr="003E7EE5">
        <w:rPr>
          <w:rFonts w:eastAsia="Times New Roman"/>
          <w:color w:val="000000" w:themeColor="text1"/>
          <w:szCs w:val="20"/>
          <w:shd w:val="clear" w:color="auto" w:fill="FFFFFF"/>
        </w:rPr>
        <w:t>Gebauer</w:t>
      </w:r>
      <w:proofErr w:type="spellEnd"/>
      <w:r w:rsidRPr="003E7EE5">
        <w:rPr>
          <w:rFonts w:eastAsia="Times New Roman"/>
          <w:color w:val="000000" w:themeColor="text1"/>
          <w:szCs w:val="20"/>
          <w:shd w:val="clear" w:color="auto" w:fill="FFFFFF"/>
        </w:rPr>
        <w:t>, H., Gustafsson</w:t>
      </w:r>
      <w:r w:rsidR="00301DB4" w:rsidRPr="003E7EE5">
        <w:rPr>
          <w:rFonts w:eastAsia="Times New Roman"/>
          <w:color w:val="000000" w:themeColor="text1"/>
          <w:szCs w:val="20"/>
          <w:shd w:val="clear" w:color="auto" w:fill="FFFFFF"/>
        </w:rPr>
        <w:t>, A.</w:t>
      </w:r>
      <w:r w:rsidRPr="003E7EE5">
        <w:rPr>
          <w:rFonts w:eastAsia="Times New Roman"/>
          <w:color w:val="000000" w:themeColor="text1"/>
          <w:szCs w:val="20"/>
          <w:shd w:val="clear" w:color="auto" w:fill="FFFFFF"/>
        </w:rPr>
        <w:t xml:space="preserve">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w:t>
      </w:r>
      <w:proofErr w:type="spellStart"/>
      <w:r w:rsidRPr="003E7EE5">
        <w:rPr>
          <w:rFonts w:eastAsia="Times New Roman"/>
          <w:color w:val="000000" w:themeColor="text1"/>
          <w:szCs w:val="20"/>
          <w:shd w:val="clear" w:color="auto" w:fill="FFFFFF"/>
        </w:rPr>
        <w:t>Witell</w:t>
      </w:r>
      <w:proofErr w:type="spellEnd"/>
      <w:r w:rsidR="00301DB4" w:rsidRPr="003E7EE5">
        <w:rPr>
          <w:rFonts w:eastAsia="Times New Roman"/>
          <w:color w:val="000000" w:themeColor="text1"/>
          <w:szCs w:val="20"/>
          <w:shd w:val="clear" w:color="auto" w:fill="FFFFFF"/>
        </w:rPr>
        <w:t>, L.</w:t>
      </w:r>
      <w:r w:rsidRPr="003E7EE5">
        <w:rPr>
          <w:rFonts w:eastAsia="Times New Roman"/>
          <w:color w:val="000000" w:themeColor="text1"/>
          <w:szCs w:val="20"/>
          <w:shd w:val="clear" w:color="auto" w:fill="FFFFFF"/>
        </w:rPr>
        <w:t xml:space="preserve"> (2011)</w:t>
      </w:r>
      <w:r w:rsidR="0076296A"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76296A"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Competitive advantage through service differentiation by manufacturing companies</w:t>
      </w:r>
      <w:r w:rsidR="0076296A"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Pr="003E7EE5">
        <w:rPr>
          <w:rFonts w:eastAsia="Times New Roman"/>
          <w:i/>
          <w:iCs/>
          <w:color w:val="000000" w:themeColor="text1"/>
          <w:szCs w:val="20"/>
        </w:rPr>
        <w:t>Journal of Business Research</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76296A" w:rsidRPr="003E7EE5">
        <w:rPr>
          <w:rFonts w:eastAsia="Times New Roman"/>
          <w:iCs/>
          <w:color w:val="000000" w:themeColor="text1"/>
          <w:szCs w:val="20"/>
        </w:rPr>
        <w:t>Vol. 64 No. 12,</w:t>
      </w:r>
      <w:r w:rsidRPr="003E7EE5">
        <w:rPr>
          <w:rFonts w:eastAsia="Times New Roman"/>
          <w:color w:val="000000" w:themeColor="text1"/>
          <w:szCs w:val="20"/>
          <w:shd w:val="clear" w:color="auto" w:fill="FFFFFF"/>
        </w:rPr>
        <w:t xml:space="preserve"> pp.</w:t>
      </w:r>
      <w:r w:rsidR="0049601E">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1270-1280.</w:t>
      </w:r>
    </w:p>
    <w:p w14:paraId="5B2632C5" w14:textId="4298DFE5" w:rsidR="003B39C1" w:rsidRPr="003E7EE5" w:rsidRDefault="003B39C1" w:rsidP="00251077">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George, G. (2005)</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Slack resources and the performance of privately held firms</w:t>
      </w:r>
      <w:r w:rsidR="0076296A"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 xml:space="preserve">Academy of </w:t>
      </w:r>
      <w:r w:rsidR="0017312F" w:rsidRPr="003E7EE5">
        <w:rPr>
          <w:rFonts w:eastAsia="Times New Roman"/>
          <w:i/>
          <w:iCs/>
          <w:color w:val="000000" w:themeColor="text1"/>
        </w:rPr>
        <w:t>M</w:t>
      </w:r>
      <w:r w:rsidRPr="003E7EE5">
        <w:rPr>
          <w:rFonts w:eastAsia="Times New Roman"/>
          <w:i/>
          <w:iCs/>
          <w:color w:val="000000" w:themeColor="text1"/>
        </w:rPr>
        <w:t>anagement Journal</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76296A" w:rsidRPr="003E7EE5">
        <w:rPr>
          <w:rFonts w:eastAsia="Times New Roman"/>
          <w:iCs/>
          <w:color w:val="000000" w:themeColor="text1"/>
        </w:rPr>
        <w:t xml:space="preserve">Vol. 48 No. </w:t>
      </w:r>
      <w:r w:rsidR="00B11D3A" w:rsidRPr="003E7EE5">
        <w:rPr>
          <w:rFonts w:eastAsia="Times New Roman"/>
          <w:iCs/>
          <w:color w:val="000000" w:themeColor="text1"/>
        </w:rPr>
        <w:t>4</w:t>
      </w:r>
      <w:r w:rsidRPr="003E7EE5">
        <w:rPr>
          <w:rFonts w:eastAsia="Times New Roman"/>
          <w:color w:val="000000" w:themeColor="text1"/>
          <w:shd w:val="clear" w:color="auto" w:fill="FFFFFF"/>
        </w:rPr>
        <w:t xml:space="preserve">, </w:t>
      </w:r>
      <w:r w:rsidR="00730894" w:rsidRPr="003E7EE5">
        <w:rPr>
          <w:rFonts w:eastAsia="Times New Roman"/>
          <w:color w:val="000000" w:themeColor="text1"/>
          <w:shd w:val="clear" w:color="auto" w:fill="FFFFFF"/>
        </w:rPr>
        <w:t xml:space="preserve">pp. </w:t>
      </w:r>
      <w:r w:rsidR="00A342EF" w:rsidRPr="003E7EE5">
        <w:rPr>
          <w:rFonts w:eastAsia="Times New Roman"/>
          <w:color w:val="000000" w:themeColor="text1"/>
          <w:shd w:val="clear" w:color="auto" w:fill="FFFFFF"/>
        </w:rPr>
        <w:t>661-676.</w:t>
      </w:r>
    </w:p>
    <w:p w14:paraId="79EB8385" w14:textId="0A79DCFD" w:rsidR="0049601E" w:rsidRPr="003E7EE5" w:rsidRDefault="0049601E" w:rsidP="005E1791">
      <w:pPr>
        <w:tabs>
          <w:tab w:val="left" w:pos="284"/>
        </w:tabs>
        <w:spacing w:line="360" w:lineRule="auto"/>
        <w:ind w:left="426" w:hanging="426"/>
        <w:outlineLvl w:val="0"/>
        <w:rPr>
          <w:color w:val="000000" w:themeColor="text1"/>
          <w:sz w:val="48"/>
          <w:szCs w:val="48"/>
        </w:rPr>
      </w:pPr>
      <w:r w:rsidRPr="003E7EE5">
        <w:rPr>
          <w:color w:val="000000" w:themeColor="text1"/>
          <w:shd w:val="clear" w:color="auto" w:fill="FFFFFF"/>
        </w:rPr>
        <w:t xml:space="preserve">Gulati, R., Nohria, N. and </w:t>
      </w:r>
      <w:proofErr w:type="spellStart"/>
      <w:r w:rsidRPr="003E7EE5">
        <w:rPr>
          <w:color w:val="000000" w:themeColor="text1"/>
          <w:shd w:val="clear" w:color="auto" w:fill="FFFFFF"/>
        </w:rPr>
        <w:t>Wohlgezogen</w:t>
      </w:r>
      <w:proofErr w:type="spellEnd"/>
      <w:r w:rsidRPr="003E7EE5">
        <w:rPr>
          <w:color w:val="000000" w:themeColor="text1"/>
          <w:shd w:val="clear" w:color="auto" w:fill="FFFFFF"/>
        </w:rPr>
        <w:t>, F. (2010), “Roaring out of recession”, </w:t>
      </w:r>
      <w:r w:rsidRPr="003E7EE5">
        <w:rPr>
          <w:i/>
          <w:iCs/>
          <w:color w:val="000000" w:themeColor="text1"/>
          <w:shd w:val="clear" w:color="auto" w:fill="FFFFFF"/>
        </w:rPr>
        <w:t>Harvard Business Review</w:t>
      </w:r>
      <w:r w:rsidRPr="003E7EE5">
        <w:rPr>
          <w:color w:val="000000" w:themeColor="text1"/>
          <w:shd w:val="clear" w:color="auto" w:fill="FFFFFF"/>
        </w:rPr>
        <w:t>, Vol. 88, No. 3, pp. 62-69.</w:t>
      </w:r>
    </w:p>
    <w:p w14:paraId="3ADB79AC" w14:textId="1C810EE8" w:rsidR="007828C1" w:rsidRPr="000615F4" w:rsidRDefault="009770E9">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Hart, S.L. (1995)</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76296A"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A natural-resource-based view of the firm</w:t>
      </w:r>
      <w:r w:rsidR="0076296A" w:rsidRPr="003E7EE5">
        <w:rPr>
          <w:rFonts w:eastAsia="Times New Roman"/>
          <w:color w:val="000000" w:themeColor="text1"/>
          <w:shd w:val="clear" w:color="auto" w:fill="FFFFFF"/>
        </w:rPr>
        <w:t>”,</w:t>
      </w:r>
      <w:r w:rsidR="00301DB4" w:rsidRPr="003E7EE5">
        <w:rPr>
          <w:rFonts w:eastAsia="Times New Roman"/>
          <w:color w:val="000000" w:themeColor="text1"/>
          <w:shd w:val="clear" w:color="auto" w:fill="FFFFFF"/>
        </w:rPr>
        <w:t xml:space="preserve"> </w:t>
      </w:r>
      <w:r w:rsidRPr="003E7EE5">
        <w:rPr>
          <w:rFonts w:eastAsia="Times New Roman"/>
          <w:i/>
          <w:iCs/>
          <w:color w:val="000000" w:themeColor="text1"/>
        </w:rPr>
        <w:t xml:space="preserve">Academy of </w:t>
      </w:r>
      <w:r w:rsidR="00230562" w:rsidRPr="003E7EE5">
        <w:rPr>
          <w:rFonts w:eastAsia="Times New Roman"/>
          <w:i/>
          <w:iCs/>
          <w:color w:val="000000" w:themeColor="text1"/>
        </w:rPr>
        <w:t>M</w:t>
      </w:r>
      <w:r w:rsidRPr="003E7EE5">
        <w:rPr>
          <w:rFonts w:eastAsia="Times New Roman"/>
          <w:i/>
          <w:iCs/>
          <w:color w:val="000000" w:themeColor="text1"/>
        </w:rPr>
        <w:t>anagement</w:t>
      </w:r>
      <w:r w:rsidR="00617A5D" w:rsidRPr="003E7EE5">
        <w:rPr>
          <w:rFonts w:eastAsia="Times New Roman"/>
          <w:i/>
          <w:iCs/>
          <w:color w:val="000000" w:themeColor="text1"/>
        </w:rPr>
        <w:t xml:space="preserve"> </w:t>
      </w:r>
      <w:r w:rsidR="00230562" w:rsidRPr="000615F4">
        <w:rPr>
          <w:rFonts w:eastAsia="Times New Roman"/>
          <w:i/>
          <w:iCs/>
          <w:color w:val="000000" w:themeColor="text1"/>
        </w:rPr>
        <w:t>R</w:t>
      </w:r>
      <w:r w:rsidRPr="000615F4">
        <w:rPr>
          <w:rFonts w:eastAsia="Times New Roman"/>
          <w:i/>
          <w:iCs/>
          <w:color w:val="000000" w:themeColor="text1"/>
        </w:rPr>
        <w:t>eview</w:t>
      </w:r>
      <w:r w:rsidRPr="000615F4">
        <w:rPr>
          <w:rFonts w:eastAsia="Times New Roman"/>
          <w:color w:val="000000" w:themeColor="text1"/>
          <w:shd w:val="clear" w:color="auto" w:fill="FFFFFF"/>
        </w:rPr>
        <w:t>,</w:t>
      </w:r>
      <w:r w:rsidRPr="000615F4">
        <w:rPr>
          <w:rStyle w:val="apple-converted-space"/>
          <w:color w:val="000000" w:themeColor="text1"/>
          <w:shd w:val="clear" w:color="auto" w:fill="FFFFFF"/>
        </w:rPr>
        <w:t> </w:t>
      </w:r>
      <w:r w:rsidR="0076296A" w:rsidRPr="000615F4">
        <w:rPr>
          <w:rFonts w:eastAsia="Times New Roman"/>
          <w:iCs/>
          <w:color w:val="000000" w:themeColor="text1"/>
        </w:rPr>
        <w:t xml:space="preserve">Vol. 20 No. </w:t>
      </w:r>
      <w:r w:rsidR="00355436" w:rsidRPr="000615F4">
        <w:rPr>
          <w:rFonts w:eastAsia="Times New Roman"/>
          <w:iCs/>
          <w:color w:val="000000" w:themeColor="text1"/>
        </w:rPr>
        <w:t>4</w:t>
      </w:r>
      <w:r w:rsidRPr="000615F4">
        <w:rPr>
          <w:rFonts w:eastAsia="Times New Roman"/>
          <w:color w:val="000000" w:themeColor="text1"/>
          <w:shd w:val="clear" w:color="auto" w:fill="FFFFFF"/>
        </w:rPr>
        <w:t xml:space="preserve">, </w:t>
      </w:r>
      <w:r w:rsidR="00FD1CB3" w:rsidRPr="000615F4">
        <w:rPr>
          <w:rFonts w:eastAsia="Times New Roman"/>
          <w:color w:val="000000" w:themeColor="text1"/>
          <w:shd w:val="clear" w:color="auto" w:fill="FFFFFF"/>
        </w:rPr>
        <w:t xml:space="preserve">pp. </w:t>
      </w:r>
      <w:r w:rsidRPr="000615F4">
        <w:rPr>
          <w:rFonts w:eastAsia="Times New Roman"/>
          <w:color w:val="000000" w:themeColor="text1"/>
          <w:shd w:val="clear" w:color="auto" w:fill="FFFFFF"/>
        </w:rPr>
        <w:t>986-1014.</w:t>
      </w:r>
    </w:p>
    <w:p w14:paraId="44A793B3" w14:textId="49691252" w:rsidR="000615F4" w:rsidRPr="000615F4" w:rsidRDefault="000615F4" w:rsidP="000615F4">
      <w:pPr>
        <w:tabs>
          <w:tab w:val="left" w:pos="284"/>
        </w:tabs>
        <w:spacing w:after="120"/>
        <w:ind w:left="567" w:hanging="567"/>
        <w:jc w:val="both"/>
        <w:rPr>
          <w:color w:val="000000" w:themeColor="text1"/>
          <w:shd w:val="clear" w:color="auto" w:fill="FFFFFF"/>
        </w:rPr>
      </w:pPr>
      <w:r w:rsidRPr="000615F4">
        <w:rPr>
          <w:color w:val="000000" w:themeColor="text1"/>
          <w:shd w:val="clear" w:color="auto" w:fill="FFFFFF"/>
        </w:rPr>
        <w:t>Hart, S. L. and Dowell, G. (201</w:t>
      </w:r>
      <w:r>
        <w:rPr>
          <w:color w:val="000000" w:themeColor="text1"/>
          <w:shd w:val="clear" w:color="auto" w:fill="FFFFFF"/>
        </w:rPr>
        <w:t>0</w:t>
      </w:r>
      <w:r w:rsidRPr="000615F4">
        <w:rPr>
          <w:color w:val="000000" w:themeColor="text1"/>
          <w:shd w:val="clear" w:color="auto" w:fill="FFFFFF"/>
        </w:rPr>
        <w:t>), “Invited editorial: A natural-resource-based view of the firm: Fifteen years after”, </w:t>
      </w:r>
      <w:r w:rsidRPr="000615F4">
        <w:rPr>
          <w:i/>
          <w:iCs/>
          <w:color w:val="000000" w:themeColor="text1"/>
          <w:shd w:val="clear" w:color="auto" w:fill="FFFFFF"/>
        </w:rPr>
        <w:t>Journal of management</w:t>
      </w:r>
      <w:r w:rsidRPr="000615F4">
        <w:rPr>
          <w:color w:val="000000" w:themeColor="text1"/>
          <w:shd w:val="clear" w:color="auto" w:fill="FFFFFF"/>
        </w:rPr>
        <w:t>, Vol. 37 No. 5, pp. 1464-1479.</w:t>
      </w:r>
    </w:p>
    <w:p w14:paraId="58706AB3" w14:textId="22B911C5" w:rsidR="003B39C1" w:rsidRPr="003E7EE5" w:rsidRDefault="003B39C1" w:rsidP="00F12072">
      <w:pPr>
        <w:autoSpaceDE w:val="0"/>
        <w:autoSpaceDN w:val="0"/>
        <w:adjustRightInd w:val="0"/>
        <w:spacing w:line="360" w:lineRule="auto"/>
        <w:ind w:left="426" w:hanging="426"/>
        <w:rPr>
          <w:color w:val="000000" w:themeColor="text1"/>
        </w:rPr>
      </w:pPr>
      <w:r w:rsidRPr="003E7EE5">
        <w:rPr>
          <w:color w:val="000000" w:themeColor="text1"/>
        </w:rPr>
        <w:lastRenderedPageBreak/>
        <w:t>Hayes, A.F. (2009)</w:t>
      </w:r>
      <w:r w:rsidR="0076296A" w:rsidRPr="003E7EE5">
        <w:rPr>
          <w:color w:val="000000" w:themeColor="text1"/>
        </w:rPr>
        <w:t>,</w:t>
      </w:r>
      <w:r w:rsidRPr="003E7EE5">
        <w:rPr>
          <w:color w:val="000000" w:themeColor="text1"/>
        </w:rPr>
        <w:t xml:space="preserve"> </w:t>
      </w:r>
      <w:r w:rsidR="0076296A" w:rsidRPr="003E7EE5">
        <w:rPr>
          <w:color w:val="000000" w:themeColor="text1"/>
        </w:rPr>
        <w:t>“</w:t>
      </w:r>
      <w:r w:rsidRPr="003E7EE5">
        <w:rPr>
          <w:color w:val="000000" w:themeColor="text1"/>
        </w:rPr>
        <w:t xml:space="preserve">Beyond Baron </w:t>
      </w:r>
      <w:r w:rsidR="007E71B6" w:rsidRPr="003E7EE5">
        <w:rPr>
          <w:color w:val="000000" w:themeColor="text1"/>
        </w:rPr>
        <w:t>and</w:t>
      </w:r>
      <w:r w:rsidRPr="003E7EE5">
        <w:rPr>
          <w:color w:val="000000" w:themeColor="text1"/>
        </w:rPr>
        <w:t xml:space="preserve"> Kenny: </w:t>
      </w:r>
      <w:r w:rsidR="0049601E">
        <w:rPr>
          <w:color w:val="000000" w:themeColor="text1"/>
        </w:rPr>
        <w:t>s</w:t>
      </w:r>
      <w:r w:rsidRPr="003E7EE5">
        <w:rPr>
          <w:color w:val="000000" w:themeColor="text1"/>
        </w:rPr>
        <w:t>tatistical mediation analysis in the new millennium</w:t>
      </w:r>
      <w:r w:rsidR="0076296A" w:rsidRPr="003E7EE5">
        <w:rPr>
          <w:color w:val="000000" w:themeColor="text1"/>
        </w:rPr>
        <w:t>”,</w:t>
      </w:r>
      <w:r w:rsidRPr="003E7EE5">
        <w:rPr>
          <w:color w:val="000000" w:themeColor="text1"/>
        </w:rPr>
        <w:t xml:space="preserve"> </w:t>
      </w:r>
      <w:r w:rsidRPr="003E7EE5">
        <w:rPr>
          <w:i/>
          <w:iCs/>
          <w:color w:val="000000" w:themeColor="text1"/>
        </w:rPr>
        <w:t>Communication Monographs,</w:t>
      </w:r>
      <w:r w:rsidR="0076296A" w:rsidRPr="003E7EE5">
        <w:rPr>
          <w:color w:val="000000" w:themeColor="text1"/>
        </w:rPr>
        <w:t xml:space="preserve"> Vol. 76 No.</w:t>
      </w:r>
      <w:r w:rsidR="00355436" w:rsidRPr="003E7EE5">
        <w:rPr>
          <w:color w:val="000000" w:themeColor="text1"/>
        </w:rPr>
        <w:t xml:space="preserve"> 4</w:t>
      </w:r>
      <w:r w:rsidR="0076296A" w:rsidRPr="003E7EE5">
        <w:rPr>
          <w:color w:val="000000" w:themeColor="text1"/>
        </w:rPr>
        <w:t>,</w:t>
      </w:r>
      <w:r w:rsidRPr="003E7EE5">
        <w:rPr>
          <w:color w:val="000000" w:themeColor="text1"/>
        </w:rPr>
        <w:t xml:space="preserve"> </w:t>
      </w:r>
      <w:r w:rsidR="00FD1CB3" w:rsidRPr="003E7EE5">
        <w:rPr>
          <w:color w:val="000000" w:themeColor="text1"/>
        </w:rPr>
        <w:t xml:space="preserve">pp. </w:t>
      </w:r>
      <w:r w:rsidRPr="003E7EE5">
        <w:rPr>
          <w:color w:val="000000" w:themeColor="text1"/>
        </w:rPr>
        <w:t>408–420.</w:t>
      </w:r>
    </w:p>
    <w:p w14:paraId="7981543E" w14:textId="54CA223B" w:rsidR="0049224A" w:rsidRPr="003E7EE5" w:rsidRDefault="003B39C1" w:rsidP="00F12072">
      <w:pPr>
        <w:autoSpaceDE w:val="0"/>
        <w:autoSpaceDN w:val="0"/>
        <w:adjustRightInd w:val="0"/>
        <w:spacing w:line="360" w:lineRule="auto"/>
        <w:ind w:left="426" w:hanging="426"/>
        <w:rPr>
          <w:color w:val="000000" w:themeColor="text1"/>
        </w:rPr>
      </w:pPr>
      <w:r w:rsidRPr="003E7EE5">
        <w:rPr>
          <w:color w:val="000000" w:themeColor="text1"/>
        </w:rPr>
        <w:t>Hayes, A.F. (2013)</w:t>
      </w:r>
      <w:r w:rsidR="007B436F" w:rsidRPr="003E7EE5">
        <w:rPr>
          <w:color w:val="000000" w:themeColor="text1"/>
        </w:rPr>
        <w:t>,</w:t>
      </w:r>
      <w:r w:rsidRPr="003E7EE5">
        <w:rPr>
          <w:color w:val="000000" w:themeColor="text1"/>
        </w:rPr>
        <w:t xml:space="preserve"> </w:t>
      </w:r>
      <w:r w:rsidRPr="003E7EE5">
        <w:rPr>
          <w:i/>
          <w:color w:val="000000" w:themeColor="text1"/>
        </w:rPr>
        <w:t xml:space="preserve">Introduction to </w:t>
      </w:r>
      <w:r w:rsidR="0049601E" w:rsidRPr="003E7EE5">
        <w:rPr>
          <w:i/>
          <w:color w:val="000000" w:themeColor="text1"/>
        </w:rPr>
        <w:t xml:space="preserve">Mediation, Moderation, </w:t>
      </w:r>
      <w:r w:rsidR="0049601E">
        <w:rPr>
          <w:i/>
          <w:color w:val="000000" w:themeColor="text1"/>
        </w:rPr>
        <w:t>a</w:t>
      </w:r>
      <w:r w:rsidR="0049601E" w:rsidRPr="003E7EE5">
        <w:rPr>
          <w:i/>
          <w:color w:val="000000" w:themeColor="text1"/>
        </w:rPr>
        <w:t xml:space="preserve">nd Conditional Process Analysis: </w:t>
      </w:r>
      <w:r w:rsidRPr="003E7EE5">
        <w:rPr>
          <w:i/>
          <w:color w:val="000000" w:themeColor="text1"/>
        </w:rPr>
        <w:t xml:space="preserve">A </w:t>
      </w:r>
      <w:r w:rsidR="0049601E" w:rsidRPr="003E7EE5">
        <w:rPr>
          <w:i/>
          <w:color w:val="000000" w:themeColor="text1"/>
        </w:rPr>
        <w:t>Regression-Based Approa</w:t>
      </w:r>
      <w:r w:rsidRPr="003E7EE5">
        <w:rPr>
          <w:i/>
          <w:color w:val="000000" w:themeColor="text1"/>
        </w:rPr>
        <w:t>ch</w:t>
      </w:r>
      <w:r w:rsidRPr="003E7EE5">
        <w:rPr>
          <w:color w:val="000000" w:themeColor="text1"/>
        </w:rPr>
        <w:t>. Guilford Press</w:t>
      </w:r>
      <w:r w:rsidR="007B436F" w:rsidRPr="003E7EE5">
        <w:rPr>
          <w:color w:val="000000" w:themeColor="text1"/>
        </w:rPr>
        <w:t>, New York, NY</w:t>
      </w:r>
      <w:r w:rsidRPr="003E7EE5">
        <w:rPr>
          <w:color w:val="000000" w:themeColor="text1"/>
        </w:rPr>
        <w:t>.</w:t>
      </w:r>
    </w:p>
    <w:p w14:paraId="313702F6" w14:textId="2D978DC9" w:rsidR="00B31EE8" w:rsidRPr="003E7EE5" w:rsidRDefault="00B31EE8" w:rsidP="00F12072">
      <w:pPr>
        <w:autoSpaceDE w:val="0"/>
        <w:autoSpaceDN w:val="0"/>
        <w:adjustRightInd w:val="0"/>
        <w:spacing w:line="360" w:lineRule="auto"/>
        <w:ind w:left="426" w:hanging="426"/>
        <w:rPr>
          <w:color w:val="000000" w:themeColor="text1"/>
          <w:sz w:val="36"/>
          <w:szCs w:val="36"/>
        </w:rPr>
      </w:pPr>
      <w:r w:rsidRPr="003E7EE5">
        <w:rPr>
          <w:color w:val="000000" w:themeColor="text1"/>
          <w:shd w:val="clear" w:color="auto" w:fill="FFFFFF"/>
        </w:rPr>
        <w:t>Hildebrand, D., Sen, S. and Bhattacharya, C.B.</w:t>
      </w:r>
      <w:r w:rsidR="00344463" w:rsidRPr="003E7EE5">
        <w:rPr>
          <w:color w:val="000000" w:themeColor="text1"/>
          <w:shd w:val="clear" w:color="auto" w:fill="FFFFFF"/>
        </w:rPr>
        <w:t xml:space="preserve"> (</w:t>
      </w:r>
      <w:r w:rsidRPr="003E7EE5">
        <w:rPr>
          <w:color w:val="000000" w:themeColor="text1"/>
          <w:shd w:val="clear" w:color="auto" w:fill="FFFFFF"/>
        </w:rPr>
        <w:t>2011</w:t>
      </w:r>
      <w:r w:rsidR="00344463" w:rsidRPr="003E7EE5">
        <w:rPr>
          <w:color w:val="000000" w:themeColor="text1"/>
          <w:shd w:val="clear" w:color="auto" w:fill="FFFFFF"/>
        </w:rPr>
        <w:t>)</w:t>
      </w:r>
      <w:r w:rsidR="00057B57">
        <w:rPr>
          <w:color w:val="000000" w:themeColor="text1"/>
          <w:shd w:val="clear" w:color="auto" w:fill="FFFFFF"/>
        </w:rPr>
        <w:t>,</w:t>
      </w:r>
      <w:r w:rsidRPr="003E7EE5">
        <w:rPr>
          <w:color w:val="000000" w:themeColor="text1"/>
          <w:shd w:val="clear" w:color="auto" w:fill="FFFFFF"/>
        </w:rPr>
        <w:t xml:space="preserve"> </w:t>
      </w:r>
      <w:r w:rsidR="00344463" w:rsidRPr="003E7EE5">
        <w:rPr>
          <w:color w:val="000000" w:themeColor="text1"/>
          <w:shd w:val="clear" w:color="auto" w:fill="FFFFFF"/>
        </w:rPr>
        <w:t>“</w:t>
      </w:r>
      <w:r w:rsidRPr="003E7EE5">
        <w:rPr>
          <w:color w:val="000000" w:themeColor="text1"/>
          <w:shd w:val="clear" w:color="auto" w:fill="FFFFFF"/>
        </w:rPr>
        <w:t>Corporate social responsibility: a corporate marketing perspective</w:t>
      </w:r>
      <w:r w:rsidR="00344463" w:rsidRPr="003E7EE5">
        <w:rPr>
          <w:color w:val="000000" w:themeColor="text1"/>
          <w:shd w:val="clear" w:color="auto" w:fill="FFFFFF"/>
        </w:rPr>
        <w:t>”,</w:t>
      </w:r>
      <w:r w:rsidRPr="003E7EE5">
        <w:rPr>
          <w:color w:val="000000" w:themeColor="text1"/>
          <w:shd w:val="clear" w:color="auto" w:fill="FFFFFF"/>
        </w:rPr>
        <w:t> </w:t>
      </w:r>
      <w:r w:rsidRPr="003E7EE5">
        <w:rPr>
          <w:i/>
          <w:iCs/>
          <w:color w:val="000000" w:themeColor="text1"/>
          <w:shd w:val="clear" w:color="auto" w:fill="FFFFFF"/>
        </w:rPr>
        <w:t xml:space="preserve">European </w:t>
      </w:r>
      <w:r w:rsidR="0049601E">
        <w:rPr>
          <w:i/>
          <w:iCs/>
          <w:color w:val="000000" w:themeColor="text1"/>
          <w:shd w:val="clear" w:color="auto" w:fill="FFFFFF"/>
        </w:rPr>
        <w:t>J</w:t>
      </w:r>
      <w:r w:rsidRPr="003E7EE5">
        <w:rPr>
          <w:i/>
          <w:iCs/>
          <w:color w:val="000000" w:themeColor="text1"/>
          <w:shd w:val="clear" w:color="auto" w:fill="FFFFFF"/>
        </w:rPr>
        <w:t xml:space="preserve">ournal of </w:t>
      </w:r>
      <w:r w:rsidR="0049601E">
        <w:rPr>
          <w:i/>
          <w:iCs/>
          <w:color w:val="000000" w:themeColor="text1"/>
          <w:shd w:val="clear" w:color="auto" w:fill="FFFFFF"/>
        </w:rPr>
        <w:t>M</w:t>
      </w:r>
      <w:r w:rsidRPr="003E7EE5">
        <w:rPr>
          <w:i/>
          <w:iCs/>
          <w:color w:val="000000" w:themeColor="text1"/>
          <w:shd w:val="clear" w:color="auto" w:fill="FFFFFF"/>
        </w:rPr>
        <w:t>arketing</w:t>
      </w:r>
      <w:r w:rsidRPr="003E7EE5">
        <w:rPr>
          <w:color w:val="000000" w:themeColor="text1"/>
          <w:shd w:val="clear" w:color="auto" w:fill="FFFFFF"/>
        </w:rPr>
        <w:t>,</w:t>
      </w:r>
      <w:r w:rsidR="00344463" w:rsidRPr="003E7EE5">
        <w:rPr>
          <w:color w:val="000000" w:themeColor="text1"/>
          <w:shd w:val="clear" w:color="auto" w:fill="FFFFFF"/>
        </w:rPr>
        <w:t xml:space="preserve"> Vol. 45, No 9/10</w:t>
      </w:r>
      <w:r w:rsidRPr="003E7EE5">
        <w:rPr>
          <w:color w:val="000000" w:themeColor="text1"/>
          <w:shd w:val="clear" w:color="auto" w:fill="FFFFFF"/>
        </w:rPr>
        <w:t>, pp.</w:t>
      </w:r>
      <w:r w:rsidR="0049601E">
        <w:rPr>
          <w:color w:val="000000" w:themeColor="text1"/>
          <w:shd w:val="clear" w:color="auto" w:fill="FFFFFF"/>
        </w:rPr>
        <w:t xml:space="preserve"> </w:t>
      </w:r>
      <w:r w:rsidRPr="003E7EE5">
        <w:rPr>
          <w:color w:val="000000" w:themeColor="text1"/>
          <w:shd w:val="clear" w:color="auto" w:fill="FFFFFF"/>
        </w:rPr>
        <w:t>1353-1364.</w:t>
      </w:r>
    </w:p>
    <w:p w14:paraId="2CB7F498" w14:textId="24C81BF8" w:rsidR="0049601E" w:rsidRPr="003E7EE5" w:rsidRDefault="0049601E" w:rsidP="005E1791">
      <w:pPr>
        <w:tabs>
          <w:tab w:val="left" w:pos="284"/>
        </w:tabs>
        <w:spacing w:line="360" w:lineRule="auto"/>
        <w:ind w:left="426" w:hanging="426"/>
        <w:outlineLvl w:val="0"/>
        <w:rPr>
          <w:color w:val="000000" w:themeColor="text1"/>
          <w:sz w:val="48"/>
          <w:szCs w:val="48"/>
        </w:rPr>
      </w:pPr>
      <w:proofErr w:type="spellStart"/>
      <w:r w:rsidRPr="003E7EE5">
        <w:rPr>
          <w:color w:val="000000" w:themeColor="text1"/>
          <w:shd w:val="clear" w:color="auto" w:fill="FFFFFF"/>
        </w:rPr>
        <w:t>Iborra</w:t>
      </w:r>
      <w:proofErr w:type="spellEnd"/>
      <w:r w:rsidRPr="003E7EE5">
        <w:rPr>
          <w:color w:val="000000" w:themeColor="text1"/>
          <w:shd w:val="clear" w:color="auto" w:fill="FFFFFF"/>
        </w:rPr>
        <w:t xml:space="preserve">, M., </w:t>
      </w:r>
      <w:proofErr w:type="spellStart"/>
      <w:r w:rsidRPr="003E7EE5">
        <w:rPr>
          <w:color w:val="000000" w:themeColor="text1"/>
          <w:shd w:val="clear" w:color="auto" w:fill="FFFFFF"/>
        </w:rPr>
        <w:t>Safón</w:t>
      </w:r>
      <w:proofErr w:type="spellEnd"/>
      <w:r w:rsidRPr="003E7EE5">
        <w:rPr>
          <w:color w:val="000000" w:themeColor="text1"/>
          <w:shd w:val="clear" w:color="auto" w:fill="FFFFFF"/>
        </w:rPr>
        <w:t xml:space="preserve">, V. and </w:t>
      </w:r>
      <w:proofErr w:type="spellStart"/>
      <w:r w:rsidRPr="003E7EE5">
        <w:rPr>
          <w:color w:val="000000" w:themeColor="text1"/>
          <w:shd w:val="clear" w:color="auto" w:fill="FFFFFF"/>
        </w:rPr>
        <w:t>Dolz</w:t>
      </w:r>
      <w:proofErr w:type="spellEnd"/>
      <w:r w:rsidRPr="003E7EE5">
        <w:rPr>
          <w:color w:val="000000" w:themeColor="text1"/>
          <w:shd w:val="clear" w:color="auto" w:fill="FFFFFF"/>
        </w:rPr>
        <w:t xml:space="preserve">, C. (2020), “What explains the resilience of SMEs? Ambidexterity capability and strategic consistency”, </w:t>
      </w:r>
      <w:r w:rsidRPr="003E7EE5">
        <w:rPr>
          <w:i/>
          <w:iCs/>
          <w:color w:val="000000" w:themeColor="text1"/>
          <w:shd w:val="clear" w:color="auto" w:fill="FFFFFF"/>
        </w:rPr>
        <w:t>Long Range Planning</w:t>
      </w:r>
      <w:r w:rsidRPr="003E7EE5">
        <w:rPr>
          <w:color w:val="000000" w:themeColor="text1"/>
          <w:shd w:val="clear" w:color="auto" w:fill="FFFFFF"/>
        </w:rPr>
        <w:t>, Vol. 53 No. 6, p. 101947.</w:t>
      </w:r>
    </w:p>
    <w:p w14:paraId="685EE7FC" w14:textId="2104063E" w:rsidR="003B39C1" w:rsidRPr="003E7EE5" w:rsidRDefault="00FD1CB3" w:rsidP="005E1791">
      <w:pPr>
        <w:tabs>
          <w:tab w:val="left" w:pos="284"/>
        </w:tabs>
        <w:spacing w:line="360" w:lineRule="auto"/>
        <w:ind w:left="426" w:hanging="426"/>
        <w:outlineLvl w:val="0"/>
        <w:rPr>
          <w:rFonts w:eastAsia="Times New Roman"/>
          <w:color w:val="000000" w:themeColor="text1"/>
          <w:shd w:val="clear" w:color="auto" w:fill="FFFFFF"/>
        </w:rPr>
      </w:pPr>
      <w:r w:rsidRPr="003E7EE5">
        <w:rPr>
          <w:rFonts w:eastAsia="Times New Roman"/>
          <w:color w:val="000000" w:themeColor="text1"/>
          <w:shd w:val="clear" w:color="auto" w:fill="FFFFFF"/>
        </w:rPr>
        <w:t xml:space="preserve">Ioannou, I.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w:t>
      </w:r>
      <w:proofErr w:type="spellStart"/>
      <w:r w:rsidRPr="003E7EE5">
        <w:rPr>
          <w:rFonts w:eastAsia="Times New Roman"/>
          <w:color w:val="000000" w:themeColor="text1"/>
          <w:shd w:val="clear" w:color="auto" w:fill="FFFFFF"/>
        </w:rPr>
        <w:t>Serafeim</w:t>
      </w:r>
      <w:proofErr w:type="spellEnd"/>
      <w:r w:rsidR="00301DB4" w:rsidRPr="003E7EE5">
        <w:rPr>
          <w:rFonts w:eastAsia="Times New Roman"/>
          <w:color w:val="000000" w:themeColor="text1"/>
          <w:shd w:val="clear" w:color="auto" w:fill="FFFFFF"/>
        </w:rPr>
        <w:t>, G.</w:t>
      </w:r>
      <w:r w:rsidR="003B39C1" w:rsidRPr="003E7EE5">
        <w:rPr>
          <w:rFonts w:eastAsia="Times New Roman"/>
          <w:color w:val="000000" w:themeColor="text1"/>
          <w:shd w:val="clear" w:color="auto" w:fill="FFFFFF"/>
        </w:rPr>
        <w:t xml:space="preserve"> (2019)</w:t>
      </w:r>
      <w:r w:rsidR="00E87C8F"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 </w:t>
      </w:r>
      <w:r w:rsidR="00E87C8F"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Corporate sustainability: </w:t>
      </w:r>
      <w:r w:rsidR="0049601E">
        <w:rPr>
          <w:rFonts w:eastAsia="Times New Roman"/>
          <w:color w:val="000000" w:themeColor="text1"/>
          <w:shd w:val="clear" w:color="auto" w:fill="FFFFFF"/>
        </w:rPr>
        <w:t>a</w:t>
      </w:r>
      <w:r w:rsidR="003B39C1" w:rsidRPr="003E7EE5">
        <w:rPr>
          <w:rFonts w:eastAsia="Times New Roman"/>
          <w:color w:val="000000" w:themeColor="text1"/>
          <w:shd w:val="clear" w:color="auto" w:fill="FFFFFF"/>
        </w:rPr>
        <w:t xml:space="preserve"> strategy?</w:t>
      </w:r>
      <w:r w:rsidR="00E87C8F"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3B39C1" w:rsidRPr="003E7EE5">
        <w:rPr>
          <w:rFonts w:eastAsia="Times New Roman"/>
          <w:color w:val="000000" w:themeColor="text1"/>
        </w:rPr>
        <w:t xml:space="preserve">Harvard Business School Accounting </w:t>
      </w:r>
      <w:r w:rsidR="007E71B6" w:rsidRPr="003E7EE5">
        <w:rPr>
          <w:rFonts w:eastAsia="Times New Roman"/>
          <w:color w:val="000000" w:themeColor="text1"/>
        </w:rPr>
        <w:t>and</w:t>
      </w:r>
      <w:r w:rsidR="003B39C1" w:rsidRPr="003E7EE5">
        <w:rPr>
          <w:rFonts w:eastAsia="Times New Roman"/>
          <w:color w:val="000000" w:themeColor="text1"/>
        </w:rPr>
        <w:t xml:space="preserve"> Management Unit</w:t>
      </w:r>
      <w:r w:rsidRPr="003E7EE5">
        <w:rPr>
          <w:rFonts w:eastAsia="Times New Roman"/>
          <w:color w:val="000000" w:themeColor="text1"/>
          <w:shd w:val="clear" w:color="auto" w:fill="FFFFFF"/>
        </w:rPr>
        <w:t xml:space="preserve">, </w:t>
      </w:r>
      <w:r w:rsidR="007B436F"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19-065</w:t>
      </w:r>
      <w:r w:rsidR="007B436F" w:rsidRPr="003E7EE5">
        <w:rPr>
          <w:rFonts w:eastAsia="Times New Roman"/>
          <w:color w:val="000000" w:themeColor="text1"/>
          <w:shd w:val="clear" w:color="auto" w:fill="FFFFFF"/>
        </w:rPr>
        <w:t>.</w:t>
      </w:r>
    </w:p>
    <w:p w14:paraId="7ECB0892" w14:textId="21A06100" w:rsidR="00780696" w:rsidRPr="003E7EE5" w:rsidRDefault="00C3286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Katsikeas, C.S., </w:t>
      </w:r>
      <w:r w:rsidR="00780696" w:rsidRPr="003E7EE5">
        <w:rPr>
          <w:rFonts w:eastAsia="Times New Roman"/>
          <w:color w:val="000000" w:themeColor="text1"/>
          <w:shd w:val="clear" w:color="auto" w:fill="FFFFFF"/>
        </w:rPr>
        <w:t>Morgan,</w:t>
      </w:r>
      <w:r w:rsidR="00301DB4" w:rsidRPr="003E7EE5">
        <w:rPr>
          <w:rFonts w:eastAsia="Times New Roman"/>
          <w:color w:val="000000" w:themeColor="text1"/>
          <w:shd w:val="clear" w:color="auto" w:fill="FFFFFF"/>
        </w:rPr>
        <w:t xml:space="preserve"> N.A.,</w:t>
      </w:r>
      <w:r w:rsidR="00780696" w:rsidRPr="003E7EE5">
        <w:rPr>
          <w:rFonts w:eastAsia="Times New Roman"/>
          <w:color w:val="000000" w:themeColor="text1"/>
          <w:shd w:val="clear" w:color="auto" w:fill="FFFFFF"/>
        </w:rPr>
        <w:t xml:space="preserve"> Leonidou</w:t>
      </w:r>
      <w:r w:rsidR="00301DB4" w:rsidRPr="003E7EE5">
        <w:rPr>
          <w:rFonts w:eastAsia="Times New Roman"/>
          <w:color w:val="000000" w:themeColor="text1"/>
          <w:shd w:val="clear" w:color="auto" w:fill="FFFFFF"/>
        </w:rPr>
        <w:t xml:space="preserve">, L.C. </w:t>
      </w:r>
      <w:r w:rsidR="007E71B6" w:rsidRPr="003E7EE5">
        <w:rPr>
          <w:rFonts w:eastAsia="Times New Roman"/>
          <w:color w:val="000000" w:themeColor="text1"/>
          <w:shd w:val="clear" w:color="auto" w:fill="FFFFFF"/>
        </w:rPr>
        <w:t>and</w:t>
      </w:r>
      <w:r w:rsidR="00780696" w:rsidRPr="003E7EE5">
        <w:rPr>
          <w:rFonts w:eastAsia="Times New Roman"/>
          <w:color w:val="000000" w:themeColor="text1"/>
          <w:shd w:val="clear" w:color="auto" w:fill="FFFFFF"/>
        </w:rPr>
        <w:t xml:space="preserve"> </w:t>
      </w:r>
      <w:proofErr w:type="spellStart"/>
      <w:r w:rsidR="00780696" w:rsidRPr="003E7EE5">
        <w:rPr>
          <w:rFonts w:eastAsia="Times New Roman"/>
          <w:color w:val="000000" w:themeColor="text1"/>
          <w:shd w:val="clear" w:color="auto" w:fill="FFFFFF"/>
        </w:rPr>
        <w:t>Hult</w:t>
      </w:r>
      <w:proofErr w:type="spellEnd"/>
      <w:r w:rsidR="00780696" w:rsidRPr="003E7EE5">
        <w:rPr>
          <w:rFonts w:eastAsia="Times New Roman"/>
          <w:color w:val="000000" w:themeColor="text1"/>
          <w:shd w:val="clear" w:color="auto" w:fill="FFFFFF"/>
        </w:rPr>
        <w:t>,</w:t>
      </w:r>
      <w:r w:rsidR="00301DB4" w:rsidRPr="003E7EE5">
        <w:rPr>
          <w:rFonts w:eastAsia="Times New Roman"/>
          <w:color w:val="000000" w:themeColor="text1"/>
          <w:shd w:val="clear" w:color="auto" w:fill="FFFFFF"/>
        </w:rPr>
        <w:t xml:space="preserve"> G.T.M.</w:t>
      </w:r>
      <w:r w:rsidR="00780696"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(2016)</w:t>
      </w:r>
      <w:r w:rsidR="00E87C8F"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Assessing performance outcomes in marketing</w:t>
      </w:r>
      <w:r w:rsidR="00F67E61" w:rsidRPr="003E7EE5">
        <w:rPr>
          <w:rFonts w:eastAsia="Times New Roman"/>
          <w:color w:val="000000" w:themeColor="text1"/>
          <w:shd w:val="clear" w:color="auto" w:fill="FFFFFF"/>
        </w:rPr>
        <w:t>”</w:t>
      </w:r>
      <w:r w:rsidR="00E87C8F"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Journal of Marketing</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E87C8F" w:rsidRPr="003E7EE5">
        <w:rPr>
          <w:rStyle w:val="apple-converted-space"/>
          <w:color w:val="000000" w:themeColor="text1"/>
          <w:shd w:val="clear" w:color="auto" w:fill="FFFFFF"/>
        </w:rPr>
        <w:t xml:space="preserve">Vol. 80 No. </w:t>
      </w:r>
      <w:r w:rsidR="00355436" w:rsidRPr="003E7EE5">
        <w:rPr>
          <w:rStyle w:val="apple-converted-space"/>
          <w:color w:val="000000" w:themeColor="text1"/>
          <w:shd w:val="clear" w:color="auto" w:fill="FFFFFF"/>
        </w:rPr>
        <w:t>2</w:t>
      </w:r>
      <w:r w:rsidRPr="003E7EE5">
        <w:rPr>
          <w:rFonts w:eastAsia="Times New Roman"/>
          <w:color w:val="000000" w:themeColor="text1"/>
          <w:shd w:val="clear" w:color="auto" w:fill="FFFFFF"/>
        </w:rPr>
        <w:t xml:space="preserve">, </w:t>
      </w:r>
      <w:r w:rsidR="00780696"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1-20.</w:t>
      </w:r>
    </w:p>
    <w:p w14:paraId="644A52D3" w14:textId="20B5F1AD" w:rsidR="003F443C" w:rsidRPr="003E7EE5" w:rsidRDefault="003F443C">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Kearney Consumer Institute (2023), “The Kearney CFX 2023 report: consumers don’t know and brands don’t act”, </w:t>
      </w:r>
      <w:r w:rsidR="0049601E">
        <w:rPr>
          <w:rFonts w:eastAsia="Times New Roman"/>
          <w:color w:val="000000" w:themeColor="text1"/>
          <w:shd w:val="clear" w:color="auto" w:fill="FFFFFF"/>
        </w:rPr>
        <w:t>a</w:t>
      </w:r>
      <w:r w:rsidRPr="003E7EE5">
        <w:rPr>
          <w:rFonts w:eastAsia="Times New Roman"/>
          <w:color w:val="000000" w:themeColor="text1"/>
          <w:shd w:val="clear" w:color="auto" w:fill="FFFFFF"/>
        </w:rPr>
        <w:t xml:space="preserve">vailable at: </w:t>
      </w:r>
      <w:hyperlink r:id="rId9" w:history="1">
        <w:r w:rsidR="0043222C" w:rsidRPr="003E7EE5">
          <w:rPr>
            <w:rStyle w:val="Hyperlink"/>
            <w:rFonts w:eastAsia="Times New Roman"/>
            <w:shd w:val="clear" w:color="auto" w:fill="FFFFFF"/>
          </w:rPr>
          <w:t>https://www.kearney.com/industry/consumer-retail/article/-/insights/the-kearney-cfx-2023-report-consumers-don-t-know-and-brands-don-t-act</w:t>
        </w:r>
      </w:hyperlink>
      <w:r w:rsidRPr="003E7EE5">
        <w:rPr>
          <w:rFonts w:eastAsia="Times New Roman"/>
          <w:color w:val="000000" w:themeColor="text1"/>
          <w:shd w:val="clear" w:color="auto" w:fill="FFFFFF"/>
        </w:rPr>
        <w:t>.</w:t>
      </w:r>
    </w:p>
    <w:p w14:paraId="375A2B74" w14:textId="7F0547EB" w:rsidR="00BF2E17" w:rsidRPr="003E7EE5" w:rsidRDefault="00BF2E17" w:rsidP="00F12072">
      <w:pPr>
        <w:spacing w:line="360" w:lineRule="auto"/>
        <w:ind w:left="426" w:hanging="426"/>
        <w:rPr>
          <w:rFonts w:eastAsia="Times New Roman"/>
          <w:color w:val="000000" w:themeColor="text1"/>
          <w:sz w:val="36"/>
        </w:rPr>
      </w:pPr>
      <w:r w:rsidRPr="003E7EE5">
        <w:rPr>
          <w:rFonts w:eastAsia="Times New Roman"/>
          <w:color w:val="000000" w:themeColor="text1"/>
          <w:szCs w:val="20"/>
          <w:shd w:val="clear" w:color="auto" w:fill="FFFFFF"/>
        </w:rPr>
        <w:t xml:space="preserve">King, A.A.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Lenox</w:t>
      </w:r>
      <w:r w:rsidR="00301DB4" w:rsidRPr="003E7EE5">
        <w:rPr>
          <w:rFonts w:eastAsia="Times New Roman"/>
          <w:color w:val="000000" w:themeColor="text1"/>
          <w:szCs w:val="20"/>
          <w:shd w:val="clear" w:color="auto" w:fill="FFFFFF"/>
        </w:rPr>
        <w:t>, M.J.</w:t>
      </w:r>
      <w:r w:rsidRPr="003E7EE5">
        <w:rPr>
          <w:rFonts w:eastAsia="Times New Roman"/>
          <w:color w:val="000000" w:themeColor="text1"/>
          <w:szCs w:val="20"/>
          <w:shd w:val="clear" w:color="auto" w:fill="FFFFFF"/>
        </w:rPr>
        <w:t xml:space="preserve"> (2001)</w:t>
      </w:r>
      <w:r w:rsidR="00E87C8F"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E87C8F"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Lean and green? An empirical examination of the relationship between lean production and environmental performance</w:t>
      </w:r>
      <w:r w:rsidR="00E87C8F"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Pr="003E7EE5">
        <w:rPr>
          <w:rFonts w:eastAsia="Times New Roman"/>
          <w:i/>
          <w:iCs/>
          <w:color w:val="000000" w:themeColor="text1"/>
          <w:szCs w:val="20"/>
        </w:rPr>
        <w:t xml:space="preserve">Production and </w:t>
      </w:r>
      <w:r w:rsidR="0017312F" w:rsidRPr="003E7EE5">
        <w:rPr>
          <w:rFonts w:eastAsia="Times New Roman"/>
          <w:i/>
          <w:iCs/>
          <w:color w:val="000000" w:themeColor="text1"/>
          <w:szCs w:val="20"/>
        </w:rPr>
        <w:t>O</w:t>
      </w:r>
      <w:r w:rsidRPr="003E7EE5">
        <w:rPr>
          <w:rFonts w:eastAsia="Times New Roman"/>
          <w:i/>
          <w:iCs/>
          <w:color w:val="000000" w:themeColor="text1"/>
          <w:szCs w:val="20"/>
        </w:rPr>
        <w:t xml:space="preserve">perations </w:t>
      </w:r>
      <w:r w:rsidR="0017312F" w:rsidRPr="003E7EE5">
        <w:rPr>
          <w:rFonts w:eastAsia="Times New Roman"/>
          <w:i/>
          <w:iCs/>
          <w:color w:val="000000" w:themeColor="text1"/>
          <w:szCs w:val="20"/>
        </w:rPr>
        <w:t>M</w:t>
      </w:r>
      <w:r w:rsidRPr="003E7EE5">
        <w:rPr>
          <w:rFonts w:eastAsia="Times New Roman"/>
          <w:i/>
          <w:iCs/>
          <w:color w:val="000000" w:themeColor="text1"/>
          <w:szCs w:val="20"/>
        </w:rPr>
        <w:t>anagement</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E87C8F" w:rsidRPr="003E7EE5">
        <w:rPr>
          <w:rFonts w:eastAsia="Times New Roman"/>
          <w:iCs/>
          <w:color w:val="000000" w:themeColor="text1"/>
          <w:szCs w:val="20"/>
        </w:rPr>
        <w:t>Vol. 10 No. 3,</w:t>
      </w:r>
      <w:r w:rsidRPr="003E7EE5">
        <w:rPr>
          <w:rFonts w:eastAsia="Times New Roman"/>
          <w:color w:val="000000" w:themeColor="text1"/>
          <w:szCs w:val="20"/>
          <w:shd w:val="clear" w:color="auto" w:fill="FFFFFF"/>
        </w:rPr>
        <w:t xml:space="preserve"> pp.</w:t>
      </w:r>
      <w:r w:rsidR="00692F28">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244-256.</w:t>
      </w:r>
    </w:p>
    <w:p w14:paraId="24C42601" w14:textId="2EEF0E13" w:rsidR="003B39C1" w:rsidRDefault="00780696" w:rsidP="00F12072">
      <w:pPr>
        <w:spacing w:line="360" w:lineRule="auto"/>
        <w:ind w:left="426" w:hanging="426"/>
        <w:jc w:val="both"/>
        <w:rPr>
          <w:rFonts w:eastAsia="Times New Roman"/>
          <w:color w:val="000000" w:themeColor="text1"/>
          <w:shd w:val="clear" w:color="auto" w:fill="FFFFFF"/>
        </w:rPr>
      </w:pPr>
      <w:r w:rsidRPr="003E7EE5">
        <w:rPr>
          <w:rFonts w:eastAsia="Times New Roman"/>
          <w:color w:val="000000" w:themeColor="text1"/>
          <w:shd w:val="clear" w:color="auto" w:fill="FFFFFF"/>
        </w:rPr>
        <w:t xml:space="preserve">Klassen, R.D.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McLaughlin</w:t>
      </w:r>
      <w:r w:rsidR="00301DB4" w:rsidRPr="003E7EE5">
        <w:rPr>
          <w:rFonts w:eastAsia="Times New Roman"/>
          <w:color w:val="000000" w:themeColor="text1"/>
          <w:shd w:val="clear" w:color="auto" w:fill="FFFFFF"/>
        </w:rPr>
        <w:t>, C.P.</w:t>
      </w:r>
      <w:r w:rsidRPr="003E7EE5">
        <w:rPr>
          <w:rFonts w:eastAsia="Times New Roman"/>
          <w:color w:val="000000" w:themeColor="text1"/>
          <w:shd w:val="clear" w:color="auto" w:fill="FFFFFF"/>
        </w:rPr>
        <w:t xml:space="preserve"> </w:t>
      </w:r>
      <w:r w:rsidR="003B39C1" w:rsidRPr="003E7EE5">
        <w:rPr>
          <w:rFonts w:eastAsia="Times New Roman"/>
          <w:color w:val="000000" w:themeColor="text1"/>
          <w:shd w:val="clear" w:color="auto" w:fill="FFFFFF"/>
        </w:rPr>
        <w:t>(1996)</w:t>
      </w:r>
      <w:r w:rsidR="00E87C8F"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 </w:t>
      </w:r>
      <w:r w:rsidR="004E4D60"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The impact of environmental</w:t>
      </w:r>
      <w:r w:rsidRPr="003E7EE5">
        <w:rPr>
          <w:rFonts w:eastAsia="Times New Roman"/>
          <w:color w:val="000000" w:themeColor="text1"/>
          <w:shd w:val="clear" w:color="auto" w:fill="FFFFFF"/>
        </w:rPr>
        <w:t xml:space="preserve"> management on firm performance</w:t>
      </w:r>
      <w:r w:rsidR="004E4D60"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w:t>
      </w:r>
      <w:r w:rsidR="003B39C1" w:rsidRPr="003E7EE5">
        <w:rPr>
          <w:rFonts w:eastAsia="Times New Roman"/>
          <w:i/>
          <w:iCs/>
          <w:color w:val="000000" w:themeColor="text1"/>
        </w:rPr>
        <w:t>Management Science</w:t>
      </w:r>
      <w:r w:rsidR="003B39C1" w:rsidRPr="003E7EE5">
        <w:rPr>
          <w:rFonts w:eastAsia="Times New Roman"/>
          <w:color w:val="000000" w:themeColor="text1"/>
          <w:shd w:val="clear" w:color="auto" w:fill="FFFFFF"/>
        </w:rPr>
        <w:t>, </w:t>
      </w:r>
      <w:r w:rsidR="00F67E61" w:rsidRPr="003E7EE5">
        <w:rPr>
          <w:rFonts w:eastAsia="Times New Roman"/>
          <w:iCs/>
          <w:color w:val="000000" w:themeColor="text1"/>
        </w:rPr>
        <w:t xml:space="preserve">Vol. 42 No. </w:t>
      </w:r>
      <w:r w:rsidR="00355436" w:rsidRPr="003E7EE5">
        <w:rPr>
          <w:rFonts w:eastAsia="Times New Roman"/>
          <w:iCs/>
          <w:color w:val="000000" w:themeColor="text1"/>
        </w:rPr>
        <w:t>8</w:t>
      </w:r>
      <w:r w:rsidRPr="003E7EE5">
        <w:rPr>
          <w:rFonts w:eastAsia="Times New Roman"/>
          <w:iCs/>
          <w:color w:val="000000" w:themeColor="text1"/>
        </w:rPr>
        <w:t>,</w:t>
      </w:r>
      <w:r w:rsidR="003B39C1"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 xml:space="preserve">pp. </w:t>
      </w:r>
      <w:r w:rsidR="003B39C1" w:rsidRPr="003E7EE5">
        <w:rPr>
          <w:rFonts w:eastAsia="Times New Roman"/>
          <w:color w:val="000000" w:themeColor="text1"/>
          <w:shd w:val="clear" w:color="auto" w:fill="FFFFFF"/>
        </w:rPr>
        <w:t>1199-1214.</w:t>
      </w:r>
    </w:p>
    <w:p w14:paraId="7FCB68C1" w14:textId="7F770318" w:rsidR="00972DE4" w:rsidRPr="00972DE4" w:rsidRDefault="00972DE4" w:rsidP="00972DE4">
      <w:pPr>
        <w:spacing w:line="360" w:lineRule="auto"/>
        <w:ind w:left="426" w:hanging="426"/>
        <w:rPr>
          <w:color w:val="000000" w:themeColor="text1"/>
          <w:shd w:val="clear" w:color="auto" w:fill="FFFFFF"/>
        </w:rPr>
      </w:pPr>
      <w:proofErr w:type="spellStart"/>
      <w:r w:rsidRPr="00972DE4">
        <w:rPr>
          <w:color w:val="000000" w:themeColor="text1"/>
          <w:shd w:val="clear" w:color="auto" w:fill="FFFFFF"/>
        </w:rPr>
        <w:t>Kottika</w:t>
      </w:r>
      <w:proofErr w:type="spellEnd"/>
      <w:r w:rsidRPr="00972DE4">
        <w:rPr>
          <w:color w:val="000000" w:themeColor="text1"/>
          <w:shd w:val="clear" w:color="auto" w:fill="FFFFFF"/>
        </w:rPr>
        <w:t xml:space="preserve">, E., </w:t>
      </w:r>
      <w:proofErr w:type="spellStart"/>
      <w:r w:rsidRPr="00972DE4">
        <w:rPr>
          <w:color w:val="000000" w:themeColor="text1"/>
          <w:shd w:val="clear" w:color="auto" w:fill="FFFFFF"/>
        </w:rPr>
        <w:t>Özsomer</w:t>
      </w:r>
      <w:proofErr w:type="spellEnd"/>
      <w:r w:rsidRPr="00972DE4">
        <w:rPr>
          <w:color w:val="000000" w:themeColor="text1"/>
          <w:shd w:val="clear" w:color="auto" w:fill="FFFFFF"/>
        </w:rPr>
        <w:t xml:space="preserve">, A., </w:t>
      </w:r>
      <w:proofErr w:type="spellStart"/>
      <w:r w:rsidRPr="00972DE4">
        <w:rPr>
          <w:color w:val="000000" w:themeColor="text1"/>
          <w:shd w:val="clear" w:color="auto" w:fill="FFFFFF"/>
        </w:rPr>
        <w:t>Rydén</w:t>
      </w:r>
      <w:proofErr w:type="spellEnd"/>
      <w:r w:rsidRPr="00972DE4">
        <w:rPr>
          <w:color w:val="000000" w:themeColor="text1"/>
          <w:shd w:val="clear" w:color="auto" w:fill="FFFFFF"/>
        </w:rPr>
        <w:t xml:space="preserve">, P., Theodorakis, I. G., </w:t>
      </w:r>
      <w:proofErr w:type="spellStart"/>
      <w:r w:rsidRPr="00972DE4">
        <w:rPr>
          <w:color w:val="000000" w:themeColor="text1"/>
          <w:shd w:val="clear" w:color="auto" w:fill="FFFFFF"/>
        </w:rPr>
        <w:t>Kaminakis</w:t>
      </w:r>
      <w:proofErr w:type="spellEnd"/>
      <w:r w:rsidRPr="00972DE4">
        <w:rPr>
          <w:color w:val="000000" w:themeColor="text1"/>
          <w:shd w:val="clear" w:color="auto" w:fill="FFFFFF"/>
        </w:rPr>
        <w:t xml:space="preserve">, K., </w:t>
      </w:r>
      <w:proofErr w:type="spellStart"/>
      <w:r w:rsidRPr="00972DE4">
        <w:rPr>
          <w:color w:val="000000" w:themeColor="text1"/>
          <w:shd w:val="clear" w:color="auto" w:fill="FFFFFF"/>
        </w:rPr>
        <w:t>Kottikas</w:t>
      </w:r>
      <w:proofErr w:type="spellEnd"/>
      <w:r w:rsidRPr="00972DE4">
        <w:rPr>
          <w:color w:val="000000" w:themeColor="text1"/>
          <w:shd w:val="clear" w:color="auto" w:fill="FFFFFF"/>
        </w:rPr>
        <w:t xml:space="preserve">, K. G., and </w:t>
      </w:r>
      <w:proofErr w:type="spellStart"/>
      <w:r w:rsidRPr="00972DE4">
        <w:rPr>
          <w:color w:val="000000" w:themeColor="text1"/>
          <w:shd w:val="clear" w:color="auto" w:fill="FFFFFF"/>
        </w:rPr>
        <w:t>Stathakopoulos</w:t>
      </w:r>
      <w:proofErr w:type="spellEnd"/>
      <w:r w:rsidRPr="00972DE4">
        <w:rPr>
          <w:color w:val="000000" w:themeColor="text1"/>
          <w:shd w:val="clear" w:color="auto" w:fill="FFFFFF"/>
        </w:rPr>
        <w:t>, V. (2020), “We survived this! What managers could learn from SMEs who successfully navigated the Greek economic crisis”, </w:t>
      </w:r>
      <w:r w:rsidRPr="00972DE4">
        <w:rPr>
          <w:i/>
          <w:iCs/>
          <w:color w:val="000000" w:themeColor="text1"/>
          <w:shd w:val="clear" w:color="auto" w:fill="FFFFFF"/>
        </w:rPr>
        <w:t>Industrial Marketing Management</w:t>
      </w:r>
      <w:r w:rsidRPr="00972DE4">
        <w:rPr>
          <w:color w:val="000000" w:themeColor="text1"/>
          <w:shd w:val="clear" w:color="auto" w:fill="FFFFFF"/>
        </w:rPr>
        <w:t>, Vol. 88, pp. 352-365.</w:t>
      </w:r>
    </w:p>
    <w:p w14:paraId="2C28D8EA" w14:textId="6B94A973" w:rsidR="004344A9" w:rsidRPr="003E7EE5" w:rsidRDefault="004344A9" w:rsidP="005E1791">
      <w:pPr>
        <w:spacing w:line="360" w:lineRule="auto"/>
        <w:ind w:left="426" w:hanging="426"/>
        <w:rPr>
          <w:color w:val="000000" w:themeColor="text1"/>
          <w:sz w:val="36"/>
          <w:szCs w:val="36"/>
        </w:rPr>
      </w:pPr>
      <w:proofErr w:type="spellStart"/>
      <w:r w:rsidRPr="003E7EE5">
        <w:rPr>
          <w:color w:val="000000" w:themeColor="text1"/>
          <w:shd w:val="clear" w:color="auto" w:fill="FFFFFF"/>
        </w:rPr>
        <w:t>Lamey</w:t>
      </w:r>
      <w:proofErr w:type="spellEnd"/>
      <w:r w:rsidRPr="003E7EE5">
        <w:rPr>
          <w:color w:val="000000" w:themeColor="text1"/>
          <w:shd w:val="clear" w:color="auto" w:fill="FFFFFF"/>
        </w:rPr>
        <w:t xml:space="preserve">, L., </w:t>
      </w:r>
      <w:proofErr w:type="spellStart"/>
      <w:r w:rsidRPr="003E7EE5">
        <w:rPr>
          <w:color w:val="000000" w:themeColor="text1"/>
          <w:shd w:val="clear" w:color="auto" w:fill="FFFFFF"/>
        </w:rPr>
        <w:t>Deleersnyder</w:t>
      </w:r>
      <w:proofErr w:type="spellEnd"/>
      <w:r w:rsidRPr="003E7EE5">
        <w:rPr>
          <w:color w:val="000000" w:themeColor="text1"/>
          <w:shd w:val="clear" w:color="auto" w:fill="FFFFFF"/>
        </w:rPr>
        <w:t xml:space="preserve">, B., </w:t>
      </w:r>
      <w:proofErr w:type="spellStart"/>
      <w:r w:rsidRPr="003E7EE5">
        <w:rPr>
          <w:color w:val="000000" w:themeColor="text1"/>
          <w:shd w:val="clear" w:color="auto" w:fill="FFFFFF"/>
        </w:rPr>
        <w:t>Dekimpe</w:t>
      </w:r>
      <w:proofErr w:type="spellEnd"/>
      <w:r w:rsidRPr="003E7EE5">
        <w:rPr>
          <w:color w:val="000000" w:themeColor="text1"/>
          <w:shd w:val="clear" w:color="auto" w:fill="FFFFFF"/>
        </w:rPr>
        <w:t>, M.G. and</w:t>
      </w:r>
      <w:r w:rsidR="0049601E" w:rsidRPr="0049601E">
        <w:t xml:space="preserve"> </w:t>
      </w:r>
      <w:r w:rsidR="0049601E" w:rsidRPr="0049601E">
        <w:rPr>
          <w:color w:val="000000" w:themeColor="text1"/>
          <w:shd w:val="clear" w:color="auto" w:fill="FFFFFF"/>
        </w:rPr>
        <w:t>Steenkamp</w:t>
      </w:r>
      <w:r w:rsidRPr="003E7EE5">
        <w:rPr>
          <w:color w:val="000000" w:themeColor="text1"/>
          <w:shd w:val="clear" w:color="auto" w:fill="FFFFFF"/>
        </w:rPr>
        <w:t>, J. B. E. (2007), “How business cycles contribute to private-label success: Evidence from the United States and Europe”,</w:t>
      </w:r>
      <w:r w:rsidR="00692F28">
        <w:rPr>
          <w:color w:val="000000" w:themeColor="text1"/>
          <w:shd w:val="clear" w:color="auto" w:fill="FFFFFF"/>
        </w:rPr>
        <w:t xml:space="preserve"> </w:t>
      </w:r>
      <w:r w:rsidRPr="003E7EE5">
        <w:rPr>
          <w:i/>
          <w:iCs/>
          <w:color w:val="000000" w:themeColor="text1"/>
          <w:shd w:val="clear" w:color="auto" w:fill="FFFFFF"/>
        </w:rPr>
        <w:t xml:space="preserve">Journal of </w:t>
      </w:r>
      <w:r w:rsidR="00230562" w:rsidRPr="003E7EE5">
        <w:rPr>
          <w:i/>
          <w:iCs/>
          <w:color w:val="000000" w:themeColor="text1"/>
          <w:shd w:val="clear" w:color="auto" w:fill="FFFFFF"/>
        </w:rPr>
        <w:t>M</w:t>
      </w:r>
      <w:r w:rsidRPr="003E7EE5">
        <w:rPr>
          <w:i/>
          <w:iCs/>
          <w:color w:val="000000" w:themeColor="text1"/>
          <w:shd w:val="clear" w:color="auto" w:fill="FFFFFF"/>
        </w:rPr>
        <w:t>arketing</w:t>
      </w:r>
      <w:r w:rsidRPr="003E7EE5">
        <w:rPr>
          <w:color w:val="000000" w:themeColor="text1"/>
          <w:shd w:val="clear" w:color="auto" w:fill="FFFFFF"/>
        </w:rPr>
        <w:t>, Vol. 71 No. 1, pp. 1-15</w:t>
      </w:r>
    </w:p>
    <w:p w14:paraId="67B093B1" w14:textId="41359A63" w:rsidR="003B39C1" w:rsidRDefault="003B39C1" w:rsidP="00F12072">
      <w:pPr>
        <w:autoSpaceDE w:val="0"/>
        <w:autoSpaceDN w:val="0"/>
        <w:adjustRightInd w:val="0"/>
        <w:spacing w:line="360" w:lineRule="auto"/>
        <w:ind w:left="426" w:hanging="426"/>
        <w:rPr>
          <w:color w:val="000000" w:themeColor="text1"/>
        </w:rPr>
      </w:pPr>
      <w:r w:rsidRPr="003E7EE5">
        <w:rPr>
          <w:color w:val="000000" w:themeColor="text1"/>
        </w:rPr>
        <w:t>Lance, C.E. (1988)</w:t>
      </w:r>
      <w:r w:rsidR="00D25714" w:rsidRPr="003E7EE5">
        <w:rPr>
          <w:color w:val="000000" w:themeColor="text1"/>
        </w:rPr>
        <w:t>, “</w:t>
      </w:r>
      <w:r w:rsidRPr="003E7EE5">
        <w:rPr>
          <w:color w:val="000000" w:themeColor="text1"/>
        </w:rPr>
        <w:t>Residual centering, exploratory and confirmatory moderator analysis, and decomposition of effects in path</w:t>
      </w:r>
      <w:r w:rsidR="00780696" w:rsidRPr="003E7EE5">
        <w:rPr>
          <w:color w:val="000000" w:themeColor="text1"/>
        </w:rPr>
        <w:t xml:space="preserve"> models containing interactions</w:t>
      </w:r>
      <w:r w:rsidR="00D25714" w:rsidRPr="003E7EE5">
        <w:rPr>
          <w:color w:val="000000" w:themeColor="text1"/>
        </w:rPr>
        <w:t>”,</w:t>
      </w:r>
      <w:r w:rsidRPr="003E7EE5">
        <w:rPr>
          <w:color w:val="000000" w:themeColor="text1"/>
        </w:rPr>
        <w:t xml:space="preserve"> </w:t>
      </w:r>
      <w:r w:rsidRPr="003E7EE5">
        <w:rPr>
          <w:i/>
          <w:iCs/>
          <w:color w:val="000000" w:themeColor="text1"/>
        </w:rPr>
        <w:t>Applied Psychological Measurement</w:t>
      </w:r>
      <w:r w:rsidR="00780696" w:rsidRPr="005E1791">
        <w:rPr>
          <w:color w:val="000000" w:themeColor="text1"/>
        </w:rPr>
        <w:t>,</w:t>
      </w:r>
      <w:r w:rsidR="00780696" w:rsidRPr="003E7EE5">
        <w:rPr>
          <w:iCs/>
          <w:color w:val="000000" w:themeColor="text1"/>
        </w:rPr>
        <w:t xml:space="preserve"> </w:t>
      </w:r>
      <w:r w:rsidR="00AC48CC" w:rsidRPr="003E7EE5">
        <w:rPr>
          <w:iCs/>
          <w:color w:val="000000" w:themeColor="text1"/>
        </w:rPr>
        <w:t>Vol. 12 No</w:t>
      </w:r>
      <w:r w:rsidR="00AC48CC" w:rsidRPr="003E7EE5">
        <w:rPr>
          <w:i/>
          <w:color w:val="000000" w:themeColor="text1"/>
        </w:rPr>
        <w:t xml:space="preserve">. </w:t>
      </w:r>
      <w:r w:rsidR="00355436" w:rsidRPr="003E7EE5">
        <w:rPr>
          <w:iCs/>
          <w:color w:val="000000" w:themeColor="text1"/>
        </w:rPr>
        <w:t>2</w:t>
      </w:r>
      <w:r w:rsidR="00780696" w:rsidRPr="003E7EE5">
        <w:rPr>
          <w:iCs/>
          <w:color w:val="000000" w:themeColor="text1"/>
        </w:rPr>
        <w:t>, pp.</w:t>
      </w:r>
      <w:r w:rsidR="00780696" w:rsidRPr="003E7EE5">
        <w:rPr>
          <w:color w:val="000000" w:themeColor="text1"/>
        </w:rPr>
        <w:t xml:space="preserve"> </w:t>
      </w:r>
      <w:r w:rsidRPr="003E7EE5">
        <w:rPr>
          <w:color w:val="000000" w:themeColor="text1"/>
        </w:rPr>
        <w:t>163–175.</w:t>
      </w:r>
    </w:p>
    <w:p w14:paraId="73A98D1B" w14:textId="77777777" w:rsidR="00972DE4" w:rsidRPr="003E7EE5" w:rsidRDefault="00972DE4" w:rsidP="00F12072">
      <w:pPr>
        <w:autoSpaceDE w:val="0"/>
        <w:autoSpaceDN w:val="0"/>
        <w:adjustRightInd w:val="0"/>
        <w:spacing w:line="360" w:lineRule="auto"/>
        <w:ind w:left="426" w:hanging="426"/>
        <w:rPr>
          <w:color w:val="000000" w:themeColor="text1"/>
        </w:rPr>
      </w:pPr>
    </w:p>
    <w:p w14:paraId="4343E385" w14:textId="5188C46A" w:rsidR="0049601E" w:rsidRPr="003E7EE5" w:rsidRDefault="0049601E" w:rsidP="0049601E">
      <w:pPr>
        <w:spacing w:line="360" w:lineRule="auto"/>
        <w:ind w:left="426" w:hanging="426"/>
        <w:jc w:val="both"/>
        <w:rPr>
          <w:color w:val="000000" w:themeColor="text1"/>
        </w:rPr>
      </w:pPr>
      <w:r w:rsidRPr="003E7EE5">
        <w:rPr>
          <w:color w:val="000000" w:themeColor="text1"/>
        </w:rPr>
        <w:lastRenderedPageBreak/>
        <w:t>Lawrence, P.R. and Lorsch, J.W. (1969)</w:t>
      </w:r>
      <w:r w:rsidR="00692F28">
        <w:rPr>
          <w:color w:val="000000" w:themeColor="text1"/>
        </w:rPr>
        <w:t>,</w:t>
      </w:r>
      <w:r w:rsidRPr="003E7EE5">
        <w:rPr>
          <w:color w:val="000000" w:themeColor="text1"/>
        </w:rPr>
        <w:t xml:space="preserve"> </w:t>
      </w:r>
      <w:r w:rsidRPr="003E7EE5">
        <w:rPr>
          <w:i/>
          <w:iCs/>
          <w:color w:val="000000" w:themeColor="text1"/>
        </w:rPr>
        <w:t xml:space="preserve">Developing </w:t>
      </w:r>
      <w:r w:rsidR="00692F28" w:rsidRPr="003E7EE5">
        <w:rPr>
          <w:i/>
          <w:iCs/>
          <w:color w:val="000000" w:themeColor="text1"/>
        </w:rPr>
        <w:t xml:space="preserve">Organizations: </w:t>
      </w:r>
      <w:r w:rsidRPr="003E7EE5">
        <w:rPr>
          <w:i/>
          <w:iCs/>
          <w:color w:val="000000" w:themeColor="text1"/>
        </w:rPr>
        <w:t xml:space="preserve">Diagnosis </w:t>
      </w:r>
      <w:r w:rsidR="00692F28">
        <w:rPr>
          <w:i/>
          <w:iCs/>
          <w:color w:val="000000" w:themeColor="text1"/>
        </w:rPr>
        <w:t>a</w:t>
      </w:r>
      <w:r w:rsidR="00692F28" w:rsidRPr="003E7EE5">
        <w:rPr>
          <w:i/>
          <w:iCs/>
          <w:color w:val="000000" w:themeColor="text1"/>
        </w:rPr>
        <w:t>nd Action</w:t>
      </w:r>
      <w:r w:rsidR="00692F28">
        <w:rPr>
          <w:color w:val="000000" w:themeColor="text1"/>
        </w:rPr>
        <w:t>,</w:t>
      </w:r>
      <w:r w:rsidRPr="003E7EE5">
        <w:rPr>
          <w:color w:val="000000" w:themeColor="text1"/>
        </w:rPr>
        <w:t xml:space="preserve"> Addison-Wesley Publishing Company</w:t>
      </w:r>
    </w:p>
    <w:p w14:paraId="14930360" w14:textId="12DFB984" w:rsidR="0049601E" w:rsidRPr="003E7EE5" w:rsidRDefault="0049601E" w:rsidP="0049601E">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Leonidou, L.C., Christodoulides, P., </w:t>
      </w:r>
      <w:proofErr w:type="spellStart"/>
      <w:r w:rsidRPr="003E7EE5">
        <w:rPr>
          <w:rFonts w:eastAsia="Times New Roman"/>
          <w:color w:val="000000" w:themeColor="text1"/>
          <w:shd w:val="clear" w:color="auto" w:fill="FFFFFF"/>
        </w:rPr>
        <w:t>Kyrgidou</w:t>
      </w:r>
      <w:proofErr w:type="spellEnd"/>
      <w:r w:rsidRPr="003E7EE5">
        <w:rPr>
          <w:rFonts w:eastAsia="Times New Roman"/>
          <w:color w:val="000000" w:themeColor="text1"/>
          <w:shd w:val="clear" w:color="auto" w:fill="FFFFFF"/>
        </w:rPr>
        <w:t xml:space="preserve">, L. P. and </w:t>
      </w:r>
      <w:proofErr w:type="spellStart"/>
      <w:r w:rsidRPr="003E7EE5">
        <w:rPr>
          <w:rFonts w:eastAsia="Times New Roman"/>
          <w:color w:val="000000" w:themeColor="text1"/>
          <w:shd w:val="clear" w:color="auto" w:fill="FFFFFF"/>
        </w:rPr>
        <w:t>Palihawadana</w:t>
      </w:r>
      <w:proofErr w:type="spellEnd"/>
      <w:r w:rsidRPr="003E7EE5">
        <w:rPr>
          <w:rFonts w:eastAsia="Times New Roman"/>
          <w:color w:val="000000" w:themeColor="text1"/>
          <w:shd w:val="clear" w:color="auto" w:fill="FFFFFF"/>
        </w:rPr>
        <w:t>, D. (2017), “Internal drivers and performance consequences of small firm green business strategy: The moderating role of external forces”, </w:t>
      </w:r>
      <w:r w:rsidRPr="003E7EE5">
        <w:rPr>
          <w:rFonts w:eastAsia="Times New Roman"/>
          <w:i/>
          <w:iCs/>
          <w:color w:val="000000" w:themeColor="text1"/>
          <w:shd w:val="clear" w:color="auto" w:fill="FFFFFF"/>
        </w:rPr>
        <w:t>Journal of Business Ethics</w:t>
      </w:r>
      <w:r w:rsidRPr="003E7EE5">
        <w:rPr>
          <w:rFonts w:eastAsia="Times New Roman"/>
          <w:color w:val="000000" w:themeColor="text1"/>
          <w:shd w:val="clear" w:color="auto" w:fill="FFFFFF"/>
        </w:rPr>
        <w:t>, </w:t>
      </w:r>
      <w:r w:rsidRPr="003E7EE5">
        <w:rPr>
          <w:rFonts w:eastAsia="Times New Roman"/>
          <w:iCs/>
          <w:color w:val="000000" w:themeColor="text1"/>
          <w:shd w:val="clear" w:color="auto" w:fill="FFFFFF"/>
        </w:rPr>
        <w:t>Vol. 140 No. 3</w:t>
      </w:r>
      <w:r w:rsidRPr="003E7EE5">
        <w:rPr>
          <w:rFonts w:eastAsia="Times New Roman"/>
          <w:color w:val="000000" w:themeColor="text1"/>
          <w:shd w:val="clear" w:color="auto" w:fill="FFFFFF"/>
        </w:rPr>
        <w:t>, pp. 585-606.</w:t>
      </w:r>
    </w:p>
    <w:p w14:paraId="3EFAAF7B" w14:textId="77FC78FE" w:rsidR="003B39C1" w:rsidRPr="003E7EE5" w:rsidRDefault="003B39C1" w:rsidP="00F12072">
      <w:pPr>
        <w:autoSpaceDE w:val="0"/>
        <w:autoSpaceDN w:val="0"/>
        <w:adjustRightInd w:val="0"/>
        <w:spacing w:line="360" w:lineRule="auto"/>
        <w:ind w:left="426" w:hanging="426"/>
        <w:rPr>
          <w:color w:val="000000" w:themeColor="text1"/>
        </w:rPr>
      </w:pPr>
      <w:r w:rsidRPr="003E7EE5">
        <w:rPr>
          <w:color w:val="000000" w:themeColor="text1"/>
        </w:rPr>
        <w:t xml:space="preserve">Leonidou, C.N., </w:t>
      </w:r>
      <w:r w:rsidR="0080489E" w:rsidRPr="003E7EE5">
        <w:rPr>
          <w:color w:val="000000" w:themeColor="text1"/>
        </w:rPr>
        <w:t>Katsikeas</w:t>
      </w:r>
      <w:r w:rsidR="00EC2BC4" w:rsidRPr="003E7EE5">
        <w:rPr>
          <w:color w:val="000000" w:themeColor="text1"/>
        </w:rPr>
        <w:t>, C.S.</w:t>
      </w:r>
      <w:r w:rsidR="0080489E" w:rsidRPr="003E7EE5">
        <w:rPr>
          <w:color w:val="000000" w:themeColor="text1"/>
        </w:rPr>
        <w:t xml:space="preserve"> </w:t>
      </w:r>
      <w:r w:rsidR="007E71B6" w:rsidRPr="003E7EE5">
        <w:rPr>
          <w:color w:val="000000" w:themeColor="text1"/>
        </w:rPr>
        <w:t>and</w:t>
      </w:r>
      <w:r w:rsidR="0080489E" w:rsidRPr="003E7EE5">
        <w:rPr>
          <w:color w:val="000000" w:themeColor="text1"/>
        </w:rPr>
        <w:t xml:space="preserve"> Morgan</w:t>
      </w:r>
      <w:r w:rsidR="00EC2BC4" w:rsidRPr="003E7EE5">
        <w:rPr>
          <w:color w:val="000000" w:themeColor="text1"/>
        </w:rPr>
        <w:t>, N. A.</w:t>
      </w:r>
      <w:r w:rsidR="00617A5D" w:rsidRPr="003E7EE5">
        <w:rPr>
          <w:color w:val="000000" w:themeColor="text1"/>
        </w:rPr>
        <w:t xml:space="preserve"> </w:t>
      </w:r>
      <w:r w:rsidRPr="003E7EE5">
        <w:rPr>
          <w:color w:val="000000" w:themeColor="text1"/>
        </w:rPr>
        <w:t>(2013)</w:t>
      </w:r>
      <w:r w:rsidR="00AC48CC" w:rsidRPr="003E7EE5">
        <w:rPr>
          <w:color w:val="000000" w:themeColor="text1"/>
        </w:rPr>
        <w:t>,</w:t>
      </w:r>
      <w:r w:rsidRPr="003E7EE5">
        <w:rPr>
          <w:color w:val="000000" w:themeColor="text1"/>
        </w:rPr>
        <w:t xml:space="preserve"> </w:t>
      </w:r>
      <w:r w:rsidR="00AC48CC" w:rsidRPr="003E7EE5">
        <w:rPr>
          <w:color w:val="000000" w:themeColor="text1"/>
        </w:rPr>
        <w:t>“</w:t>
      </w:r>
      <w:r w:rsidR="0049601E">
        <w:rPr>
          <w:color w:val="000000" w:themeColor="text1"/>
        </w:rPr>
        <w:t>‘</w:t>
      </w:r>
      <w:r w:rsidRPr="003E7EE5">
        <w:rPr>
          <w:color w:val="000000" w:themeColor="text1"/>
        </w:rPr>
        <w:t>Greening</w:t>
      </w:r>
      <w:r w:rsidR="0049601E">
        <w:rPr>
          <w:color w:val="000000" w:themeColor="text1"/>
        </w:rPr>
        <w:t>’</w:t>
      </w:r>
      <w:r w:rsidRPr="003E7EE5">
        <w:rPr>
          <w:color w:val="000000" w:themeColor="text1"/>
        </w:rPr>
        <w:t xml:space="preserve"> the marketing mix: </w:t>
      </w:r>
      <w:r w:rsidR="0049601E">
        <w:rPr>
          <w:color w:val="000000" w:themeColor="text1"/>
        </w:rPr>
        <w:t>d</w:t>
      </w:r>
      <w:r w:rsidRPr="003E7EE5">
        <w:rPr>
          <w:color w:val="000000" w:themeColor="text1"/>
        </w:rPr>
        <w:t xml:space="preserve">o firms do it </w:t>
      </w:r>
      <w:r w:rsidR="007E71B6" w:rsidRPr="003E7EE5">
        <w:rPr>
          <w:color w:val="000000" w:themeColor="text1"/>
        </w:rPr>
        <w:t>and</w:t>
      </w:r>
      <w:r w:rsidRPr="003E7EE5">
        <w:rPr>
          <w:color w:val="000000" w:themeColor="text1"/>
        </w:rPr>
        <w:t xml:space="preserve"> does it pay off?</w:t>
      </w:r>
      <w:r w:rsidR="00AC48CC" w:rsidRPr="003E7EE5">
        <w:rPr>
          <w:color w:val="000000" w:themeColor="text1"/>
        </w:rPr>
        <w:t>”,</w:t>
      </w:r>
      <w:r w:rsidRPr="003E7EE5">
        <w:rPr>
          <w:color w:val="000000" w:themeColor="text1"/>
        </w:rPr>
        <w:t xml:space="preserve"> </w:t>
      </w:r>
      <w:r w:rsidRPr="003E7EE5">
        <w:rPr>
          <w:i/>
          <w:iCs/>
          <w:color w:val="000000" w:themeColor="text1"/>
        </w:rPr>
        <w:t>Journal of the Academy of Marketing Science</w:t>
      </w:r>
      <w:r w:rsidRPr="005E1791">
        <w:rPr>
          <w:color w:val="000000" w:themeColor="text1"/>
        </w:rPr>
        <w:t>,</w:t>
      </w:r>
      <w:r w:rsidRPr="003E7EE5">
        <w:rPr>
          <w:i/>
          <w:iCs/>
          <w:color w:val="000000" w:themeColor="text1"/>
        </w:rPr>
        <w:t xml:space="preserve"> </w:t>
      </w:r>
      <w:r w:rsidR="00AC48CC" w:rsidRPr="003E7EE5">
        <w:rPr>
          <w:iCs/>
          <w:color w:val="000000" w:themeColor="text1"/>
        </w:rPr>
        <w:t xml:space="preserve">Vol. 41 No. </w:t>
      </w:r>
      <w:r w:rsidR="00355436" w:rsidRPr="003E7EE5">
        <w:rPr>
          <w:iCs/>
          <w:color w:val="000000" w:themeColor="text1"/>
        </w:rPr>
        <w:t>2</w:t>
      </w:r>
      <w:r w:rsidR="0080489E" w:rsidRPr="003E7EE5">
        <w:rPr>
          <w:iCs/>
          <w:color w:val="000000" w:themeColor="text1"/>
        </w:rPr>
        <w:t>,</w:t>
      </w:r>
      <w:r w:rsidRPr="003E7EE5">
        <w:rPr>
          <w:color w:val="000000" w:themeColor="text1"/>
        </w:rPr>
        <w:t xml:space="preserve"> </w:t>
      </w:r>
      <w:r w:rsidR="0080489E" w:rsidRPr="003E7EE5">
        <w:rPr>
          <w:color w:val="000000" w:themeColor="text1"/>
        </w:rPr>
        <w:t xml:space="preserve">pp. </w:t>
      </w:r>
      <w:r w:rsidRPr="003E7EE5">
        <w:rPr>
          <w:color w:val="000000" w:themeColor="text1"/>
        </w:rPr>
        <w:t>151–170.</w:t>
      </w:r>
    </w:p>
    <w:p w14:paraId="15EA698F" w14:textId="21ACA8CF" w:rsidR="00CD6701" w:rsidRPr="003E7EE5" w:rsidRDefault="00CD6701" w:rsidP="001319FE">
      <w:pPr>
        <w:spacing w:line="360" w:lineRule="auto"/>
        <w:ind w:left="426" w:hanging="426"/>
        <w:rPr>
          <w:color w:val="000000" w:themeColor="text1"/>
        </w:rPr>
      </w:pPr>
      <w:r w:rsidRPr="003E7EE5">
        <w:rPr>
          <w:color w:val="000000" w:themeColor="text1"/>
          <w:szCs w:val="22"/>
        </w:rPr>
        <w:t xml:space="preserve">Li, Y., Wang, X., Gong, T. and Wang, H. (2022), “Breaking out of the pandemic: </w:t>
      </w:r>
      <w:r w:rsidR="0049601E">
        <w:rPr>
          <w:color w:val="000000" w:themeColor="text1"/>
          <w:szCs w:val="22"/>
        </w:rPr>
        <w:t>h</w:t>
      </w:r>
      <w:r w:rsidRPr="003E7EE5">
        <w:rPr>
          <w:color w:val="000000" w:themeColor="text1"/>
          <w:szCs w:val="22"/>
        </w:rPr>
        <w:t>ow can</w:t>
      </w:r>
      <w:r w:rsidR="00230562" w:rsidRPr="003E7EE5">
        <w:rPr>
          <w:color w:val="000000" w:themeColor="text1"/>
          <w:szCs w:val="22"/>
        </w:rPr>
        <w:t xml:space="preserve"> </w:t>
      </w:r>
      <w:r w:rsidRPr="003E7EE5">
        <w:rPr>
          <w:color w:val="000000" w:themeColor="text1"/>
          <w:szCs w:val="22"/>
        </w:rPr>
        <w:t>firms match internal competence with external resources to shape operational</w:t>
      </w:r>
      <w:r w:rsidR="00230562" w:rsidRPr="003E7EE5">
        <w:rPr>
          <w:color w:val="000000" w:themeColor="text1"/>
          <w:szCs w:val="22"/>
        </w:rPr>
        <w:t xml:space="preserve"> </w:t>
      </w:r>
      <w:r w:rsidRPr="003E7EE5">
        <w:rPr>
          <w:color w:val="000000" w:themeColor="text1"/>
        </w:rPr>
        <w:t xml:space="preserve">resilience?”, </w:t>
      </w:r>
      <w:r w:rsidRPr="003E7EE5">
        <w:rPr>
          <w:i/>
          <w:iCs/>
          <w:color w:val="000000" w:themeColor="text1"/>
        </w:rPr>
        <w:t>Journal of Operations Management</w:t>
      </w:r>
      <w:r w:rsidR="00230562" w:rsidRPr="003E7EE5">
        <w:rPr>
          <w:color w:val="000000" w:themeColor="text1"/>
        </w:rPr>
        <w:t>, Vol. 69 No. 3, pp. 384-403.</w:t>
      </w:r>
      <w:r w:rsidRPr="003E7EE5">
        <w:rPr>
          <w:color w:val="000000" w:themeColor="text1"/>
        </w:rPr>
        <w:t xml:space="preserve"> </w:t>
      </w:r>
    </w:p>
    <w:p w14:paraId="3E82D670" w14:textId="105FDBBD" w:rsidR="00BF2E17" w:rsidRPr="003E7EE5" w:rsidRDefault="00CB0262" w:rsidP="005E1791">
      <w:pPr>
        <w:spacing w:line="360" w:lineRule="auto"/>
        <w:ind w:left="426" w:hanging="426"/>
        <w:rPr>
          <w:color w:val="000000" w:themeColor="text1"/>
        </w:rPr>
      </w:pPr>
      <w:r w:rsidRPr="003E7EE5">
        <w:rPr>
          <w:color w:val="000000" w:themeColor="text1"/>
        </w:rPr>
        <w:t xml:space="preserve">Lindell, M.K. </w:t>
      </w:r>
      <w:r w:rsidR="007E71B6" w:rsidRPr="003E7EE5">
        <w:rPr>
          <w:color w:val="000000" w:themeColor="text1"/>
        </w:rPr>
        <w:t>and</w:t>
      </w:r>
      <w:r w:rsidRPr="003E7EE5">
        <w:rPr>
          <w:color w:val="000000" w:themeColor="text1"/>
        </w:rPr>
        <w:t xml:space="preserve"> Whitney</w:t>
      </w:r>
      <w:r w:rsidR="00EC2BC4" w:rsidRPr="003E7EE5">
        <w:rPr>
          <w:color w:val="000000" w:themeColor="text1"/>
        </w:rPr>
        <w:t>, D.J.</w:t>
      </w:r>
      <w:r w:rsidRPr="003E7EE5">
        <w:rPr>
          <w:color w:val="000000" w:themeColor="text1"/>
        </w:rPr>
        <w:t xml:space="preserve"> </w:t>
      </w:r>
      <w:r w:rsidR="003C6C3A" w:rsidRPr="003E7EE5">
        <w:rPr>
          <w:color w:val="000000" w:themeColor="text1"/>
        </w:rPr>
        <w:t>(2001)</w:t>
      </w:r>
      <w:r w:rsidR="00AC48CC" w:rsidRPr="003E7EE5">
        <w:rPr>
          <w:color w:val="000000" w:themeColor="text1"/>
        </w:rPr>
        <w:t>, “</w:t>
      </w:r>
      <w:r w:rsidR="003C6C3A" w:rsidRPr="003E7EE5">
        <w:rPr>
          <w:color w:val="000000" w:themeColor="text1"/>
        </w:rPr>
        <w:t>Accounting for common method variance in cross-sectional research designs</w:t>
      </w:r>
      <w:r w:rsidR="00AC48CC" w:rsidRPr="003E7EE5">
        <w:rPr>
          <w:color w:val="000000" w:themeColor="text1"/>
        </w:rPr>
        <w:t>”,</w:t>
      </w:r>
      <w:r w:rsidR="003C6C3A" w:rsidRPr="003E7EE5">
        <w:rPr>
          <w:color w:val="000000" w:themeColor="text1"/>
        </w:rPr>
        <w:t> </w:t>
      </w:r>
      <w:r w:rsidR="003C6C3A" w:rsidRPr="003E7EE5">
        <w:rPr>
          <w:i/>
          <w:iCs/>
          <w:color w:val="000000" w:themeColor="text1"/>
        </w:rPr>
        <w:t>Journal of Applied Psychology</w:t>
      </w:r>
      <w:r w:rsidR="003C6C3A" w:rsidRPr="003E7EE5">
        <w:rPr>
          <w:color w:val="000000" w:themeColor="text1"/>
        </w:rPr>
        <w:t>, </w:t>
      </w:r>
      <w:r w:rsidR="00AC48CC" w:rsidRPr="003E7EE5">
        <w:rPr>
          <w:iCs/>
          <w:color w:val="000000" w:themeColor="text1"/>
        </w:rPr>
        <w:t xml:space="preserve">Vol. 86 No. </w:t>
      </w:r>
      <w:r w:rsidR="00355436" w:rsidRPr="003E7EE5">
        <w:rPr>
          <w:iCs/>
          <w:color w:val="000000" w:themeColor="text1"/>
        </w:rPr>
        <w:t>1</w:t>
      </w:r>
      <w:r w:rsidR="003C6C3A" w:rsidRPr="003E7EE5">
        <w:rPr>
          <w:color w:val="000000" w:themeColor="text1"/>
        </w:rPr>
        <w:t xml:space="preserve">, </w:t>
      </w:r>
      <w:r w:rsidRPr="003E7EE5">
        <w:rPr>
          <w:color w:val="000000" w:themeColor="text1"/>
        </w:rPr>
        <w:t xml:space="preserve">pp. </w:t>
      </w:r>
      <w:r w:rsidR="003C6C3A" w:rsidRPr="003E7EE5">
        <w:rPr>
          <w:color w:val="000000" w:themeColor="text1"/>
        </w:rPr>
        <w:t>114</w:t>
      </w:r>
      <w:r w:rsidR="003C6C3A" w:rsidRPr="003E7EE5">
        <w:rPr>
          <w:rFonts w:eastAsia="Times New Roman"/>
          <w:color w:val="000000" w:themeColor="text1"/>
          <w:shd w:val="clear" w:color="auto" w:fill="FFFFFF"/>
        </w:rPr>
        <w:t>–</w:t>
      </w:r>
      <w:r w:rsidR="003C6C3A" w:rsidRPr="003E7EE5">
        <w:rPr>
          <w:color w:val="000000" w:themeColor="text1"/>
        </w:rPr>
        <w:t>121.</w:t>
      </w:r>
    </w:p>
    <w:p w14:paraId="3C695CA1" w14:textId="1630C17C" w:rsidR="00BF2E17" w:rsidRPr="003E7EE5" w:rsidRDefault="00BF2E17" w:rsidP="00F12072">
      <w:pPr>
        <w:spacing w:line="360" w:lineRule="auto"/>
        <w:ind w:left="426" w:hanging="426"/>
        <w:rPr>
          <w:rFonts w:eastAsia="Times New Roman"/>
          <w:color w:val="000000" w:themeColor="text1"/>
          <w:szCs w:val="20"/>
          <w:shd w:val="clear" w:color="auto" w:fill="FFFFFF"/>
        </w:rPr>
      </w:pPr>
      <w:proofErr w:type="spellStart"/>
      <w:r w:rsidRPr="003E7EE5">
        <w:rPr>
          <w:rFonts w:eastAsia="Times New Roman"/>
          <w:color w:val="000000" w:themeColor="text1"/>
          <w:szCs w:val="20"/>
          <w:shd w:val="clear" w:color="auto" w:fill="FFFFFF"/>
        </w:rPr>
        <w:t>Lloret</w:t>
      </w:r>
      <w:proofErr w:type="spellEnd"/>
      <w:r w:rsidRPr="003E7EE5">
        <w:rPr>
          <w:rFonts w:eastAsia="Times New Roman"/>
          <w:color w:val="000000" w:themeColor="text1"/>
          <w:szCs w:val="20"/>
          <w:shd w:val="clear" w:color="auto" w:fill="FFFFFF"/>
        </w:rPr>
        <w:t>, A. (2016)</w:t>
      </w:r>
      <w:r w:rsidR="00AC48CC"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AC48CC"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Modeling corporate sustainability strategy</w:t>
      </w:r>
      <w:r w:rsidR="00AC48CC"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Pr="003E7EE5">
        <w:rPr>
          <w:rFonts w:eastAsia="Times New Roman"/>
          <w:i/>
          <w:iCs/>
          <w:color w:val="000000" w:themeColor="text1"/>
          <w:szCs w:val="20"/>
        </w:rPr>
        <w:t>Journal of Business Research</w:t>
      </w:r>
      <w:r w:rsidR="0049601E">
        <w:rPr>
          <w:rFonts w:eastAsia="Times New Roman"/>
          <w:color w:val="000000" w:themeColor="text1"/>
          <w:szCs w:val="20"/>
        </w:rPr>
        <w:t>,</w:t>
      </w:r>
      <w:r w:rsidR="0049601E">
        <w:rPr>
          <w:rStyle w:val="apple-converted-space"/>
          <w:color w:val="000000" w:themeColor="text1"/>
          <w:szCs w:val="20"/>
          <w:shd w:val="clear" w:color="auto" w:fill="FFFFFF"/>
        </w:rPr>
        <w:t xml:space="preserve"> </w:t>
      </w:r>
      <w:r w:rsidR="00AC48CC" w:rsidRPr="003E7EE5">
        <w:rPr>
          <w:rFonts w:eastAsia="Times New Roman"/>
          <w:iCs/>
          <w:color w:val="000000" w:themeColor="text1"/>
          <w:szCs w:val="20"/>
        </w:rPr>
        <w:t>Vol. 69 No. 2,</w:t>
      </w:r>
      <w:r w:rsidRPr="003E7EE5">
        <w:rPr>
          <w:rFonts w:eastAsia="Times New Roman"/>
          <w:color w:val="000000" w:themeColor="text1"/>
          <w:szCs w:val="20"/>
          <w:shd w:val="clear" w:color="auto" w:fill="FFFFFF"/>
        </w:rPr>
        <w:t xml:space="preserve"> pp.</w:t>
      </w:r>
      <w:r w:rsidR="0049601E">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418-425.</w:t>
      </w:r>
    </w:p>
    <w:p w14:paraId="3CD57005" w14:textId="72AD0AB2" w:rsidR="003B39C1" w:rsidRDefault="003B39C1" w:rsidP="005E1791">
      <w:pPr>
        <w:spacing w:line="360" w:lineRule="auto"/>
        <w:ind w:left="432" w:hanging="432"/>
        <w:rPr>
          <w:rFonts w:eastAsia="Times New Roman"/>
          <w:color w:val="000000" w:themeColor="text1"/>
          <w:shd w:val="clear" w:color="auto" w:fill="FFFFFF"/>
        </w:rPr>
      </w:pPr>
      <w:proofErr w:type="spellStart"/>
      <w:r w:rsidRPr="003E7EE5">
        <w:rPr>
          <w:rFonts w:eastAsia="Times New Roman"/>
          <w:color w:val="000000" w:themeColor="text1"/>
          <w:shd w:val="clear" w:color="auto" w:fill="FFFFFF"/>
        </w:rPr>
        <w:t>Lowitt</w:t>
      </w:r>
      <w:proofErr w:type="spellEnd"/>
      <w:r w:rsidRPr="003E7EE5">
        <w:rPr>
          <w:rFonts w:eastAsia="Times New Roman"/>
          <w:color w:val="000000" w:themeColor="text1"/>
          <w:shd w:val="clear" w:color="auto" w:fill="FFFFFF"/>
        </w:rPr>
        <w:t>, E. (2014)</w:t>
      </w:r>
      <w:r w:rsidR="00AC48CC" w:rsidRPr="003E7EE5">
        <w:rPr>
          <w:rFonts w:eastAsia="Times New Roman"/>
          <w:color w:val="000000" w:themeColor="text1"/>
          <w:shd w:val="clear" w:color="auto" w:fill="FFFFFF"/>
        </w:rPr>
        <w:t>, “</w:t>
      </w:r>
      <w:r w:rsidRPr="003E7EE5">
        <w:rPr>
          <w:rFonts w:eastAsia="Times New Roman"/>
          <w:color w:val="000000" w:themeColor="text1"/>
          <w:shd w:val="clear" w:color="auto" w:fill="FFFFFF"/>
        </w:rPr>
        <w:t>How to survive climate change and still run a thriving business</w:t>
      </w:r>
      <w:r w:rsidR="00AC48CC"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CB0262" w:rsidRPr="003E7EE5">
        <w:rPr>
          <w:rFonts w:eastAsia="Times New Roman"/>
          <w:i/>
          <w:iCs/>
          <w:color w:val="000000" w:themeColor="text1"/>
        </w:rPr>
        <w:t>Harvard Business R</w:t>
      </w:r>
      <w:r w:rsidRPr="003E7EE5">
        <w:rPr>
          <w:rFonts w:eastAsia="Times New Roman"/>
          <w:i/>
          <w:iCs/>
          <w:color w:val="000000" w:themeColor="text1"/>
        </w:rPr>
        <w:t>eview</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AC48CC" w:rsidRPr="003E7EE5">
        <w:rPr>
          <w:rFonts w:eastAsia="Times New Roman"/>
          <w:iCs/>
          <w:color w:val="000000" w:themeColor="text1"/>
        </w:rPr>
        <w:t xml:space="preserve">Vol. 92 No. </w:t>
      </w:r>
      <w:r w:rsidR="00355436" w:rsidRPr="003E7EE5">
        <w:rPr>
          <w:rFonts w:eastAsia="Times New Roman"/>
          <w:iCs/>
          <w:color w:val="000000" w:themeColor="text1"/>
        </w:rPr>
        <w:t>4</w:t>
      </w:r>
      <w:r w:rsidRPr="003E7EE5">
        <w:rPr>
          <w:rFonts w:eastAsia="Times New Roman"/>
          <w:color w:val="000000" w:themeColor="text1"/>
          <w:shd w:val="clear" w:color="auto" w:fill="FFFFFF"/>
        </w:rPr>
        <w:t xml:space="preserve">, </w:t>
      </w:r>
      <w:r w:rsidR="00CB0262"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86-92.</w:t>
      </w:r>
    </w:p>
    <w:p w14:paraId="7EC3FA31" w14:textId="4F73BF8F" w:rsidR="00972DE4" w:rsidRPr="00972DE4" w:rsidRDefault="00972DE4" w:rsidP="00972DE4">
      <w:pPr>
        <w:spacing w:line="360" w:lineRule="auto"/>
        <w:ind w:left="426" w:hanging="426"/>
        <w:rPr>
          <w:color w:val="222222"/>
          <w:shd w:val="clear" w:color="auto" w:fill="FFFFFF"/>
        </w:rPr>
      </w:pPr>
      <w:r w:rsidRPr="007B1AF9">
        <w:rPr>
          <w:color w:val="222222"/>
          <w:shd w:val="clear" w:color="auto" w:fill="FFFFFF"/>
        </w:rPr>
        <w:t>Luengo-</w:t>
      </w:r>
      <w:proofErr w:type="spellStart"/>
      <w:r w:rsidRPr="007B1AF9">
        <w:rPr>
          <w:color w:val="222222"/>
          <w:shd w:val="clear" w:color="auto" w:fill="FFFFFF"/>
        </w:rPr>
        <w:t>Valderrey</w:t>
      </w:r>
      <w:proofErr w:type="spellEnd"/>
      <w:r w:rsidRPr="007B1AF9">
        <w:rPr>
          <w:color w:val="222222"/>
          <w:shd w:val="clear" w:color="auto" w:fill="FFFFFF"/>
        </w:rPr>
        <w:t xml:space="preserve">, M. J., Emmanuel-Martinez, E., Rivera-Revilla, R., and Vicente-Molina, A. (2022), “Ecological </w:t>
      </w:r>
      <w:proofErr w:type="spellStart"/>
      <w:r w:rsidRPr="007B1AF9">
        <w:rPr>
          <w:color w:val="222222"/>
          <w:shd w:val="clear" w:color="auto" w:fill="FFFFFF"/>
        </w:rPr>
        <w:t>behaviour</w:t>
      </w:r>
      <w:proofErr w:type="spellEnd"/>
      <w:r w:rsidRPr="007B1AF9">
        <w:rPr>
          <w:color w:val="222222"/>
          <w:shd w:val="clear" w:color="auto" w:fill="FFFFFF"/>
        </w:rPr>
        <w:t xml:space="preserve"> in times of crisis and economic well-being through a comparative longitudinal study”, </w:t>
      </w:r>
      <w:r w:rsidRPr="007B1AF9">
        <w:rPr>
          <w:i/>
          <w:iCs/>
          <w:color w:val="222222"/>
          <w:shd w:val="clear" w:color="auto" w:fill="FFFFFF"/>
        </w:rPr>
        <w:t>Journal of Cleaner Production</w:t>
      </w:r>
      <w:r w:rsidRPr="007B1AF9">
        <w:rPr>
          <w:color w:val="222222"/>
          <w:shd w:val="clear" w:color="auto" w:fill="FFFFFF"/>
        </w:rPr>
        <w:t>, Vol. 359, p. 131965.</w:t>
      </w:r>
    </w:p>
    <w:p w14:paraId="2FB5296E" w14:textId="4B6A72A9" w:rsidR="006446A8" w:rsidRPr="003E7EE5" w:rsidRDefault="006446A8" w:rsidP="005E1791">
      <w:pPr>
        <w:spacing w:line="360" w:lineRule="auto"/>
        <w:ind w:left="432" w:hanging="432"/>
        <w:rPr>
          <w:color w:val="000000" w:themeColor="text1"/>
          <w:shd w:val="clear" w:color="auto" w:fill="FFFFFF"/>
        </w:rPr>
      </w:pPr>
      <w:proofErr w:type="spellStart"/>
      <w:r w:rsidRPr="003E7EE5">
        <w:rPr>
          <w:color w:val="000000" w:themeColor="text1"/>
          <w:shd w:val="clear" w:color="auto" w:fill="FFFFFF"/>
        </w:rPr>
        <w:t>Maletič</w:t>
      </w:r>
      <w:proofErr w:type="spellEnd"/>
      <w:r w:rsidRPr="003E7EE5">
        <w:rPr>
          <w:color w:val="000000" w:themeColor="text1"/>
          <w:shd w:val="clear" w:color="auto" w:fill="FFFFFF"/>
        </w:rPr>
        <w:t xml:space="preserve">, M., </w:t>
      </w:r>
      <w:proofErr w:type="spellStart"/>
      <w:r w:rsidRPr="003E7EE5">
        <w:rPr>
          <w:color w:val="000000" w:themeColor="text1"/>
          <w:shd w:val="clear" w:color="auto" w:fill="FFFFFF"/>
        </w:rPr>
        <w:t>Maletič</w:t>
      </w:r>
      <w:proofErr w:type="spellEnd"/>
      <w:r w:rsidRPr="003E7EE5">
        <w:rPr>
          <w:color w:val="000000" w:themeColor="text1"/>
          <w:shd w:val="clear" w:color="auto" w:fill="FFFFFF"/>
        </w:rPr>
        <w:t xml:space="preserve">, D. and </w:t>
      </w:r>
      <w:proofErr w:type="spellStart"/>
      <w:r w:rsidRPr="003E7EE5">
        <w:rPr>
          <w:color w:val="000000" w:themeColor="text1"/>
          <w:shd w:val="clear" w:color="auto" w:fill="FFFFFF"/>
        </w:rPr>
        <w:t>Gomišček</w:t>
      </w:r>
      <w:proofErr w:type="spellEnd"/>
      <w:r w:rsidRPr="003E7EE5">
        <w:rPr>
          <w:color w:val="000000" w:themeColor="text1"/>
          <w:shd w:val="clear" w:color="auto" w:fill="FFFFFF"/>
        </w:rPr>
        <w:t>, B. (2018)</w:t>
      </w:r>
      <w:r w:rsidR="00057B57">
        <w:rPr>
          <w:color w:val="000000" w:themeColor="text1"/>
          <w:shd w:val="clear" w:color="auto" w:fill="FFFFFF"/>
        </w:rPr>
        <w:t>,</w:t>
      </w:r>
      <w:r w:rsidRPr="003E7EE5">
        <w:rPr>
          <w:color w:val="000000" w:themeColor="text1"/>
          <w:shd w:val="clear" w:color="auto" w:fill="FFFFFF"/>
        </w:rPr>
        <w:t xml:space="preserve"> “The role of contingency factors on the relationship between sustainability practices and organizational performance”,</w:t>
      </w:r>
      <w:r w:rsidR="00617A5D" w:rsidRPr="003E7EE5">
        <w:rPr>
          <w:color w:val="000000" w:themeColor="text1"/>
          <w:shd w:val="clear" w:color="auto" w:fill="FFFFFF"/>
        </w:rPr>
        <w:t xml:space="preserve"> </w:t>
      </w:r>
      <w:r w:rsidRPr="003E7EE5">
        <w:rPr>
          <w:i/>
          <w:iCs/>
          <w:color w:val="000000" w:themeColor="text1"/>
          <w:shd w:val="clear" w:color="auto" w:fill="FFFFFF"/>
        </w:rPr>
        <w:t xml:space="preserve">Journal of </w:t>
      </w:r>
      <w:r w:rsidR="0049601E">
        <w:rPr>
          <w:i/>
          <w:iCs/>
          <w:color w:val="000000" w:themeColor="text1"/>
          <w:shd w:val="clear" w:color="auto" w:fill="FFFFFF"/>
        </w:rPr>
        <w:t>C</w:t>
      </w:r>
      <w:r w:rsidRPr="003E7EE5">
        <w:rPr>
          <w:i/>
          <w:iCs/>
          <w:color w:val="000000" w:themeColor="text1"/>
          <w:shd w:val="clear" w:color="auto" w:fill="FFFFFF"/>
        </w:rPr>
        <w:t xml:space="preserve">leaner </w:t>
      </w:r>
      <w:r w:rsidR="0049601E">
        <w:rPr>
          <w:i/>
          <w:iCs/>
          <w:color w:val="000000" w:themeColor="text1"/>
          <w:shd w:val="clear" w:color="auto" w:fill="FFFFFF"/>
        </w:rPr>
        <w:t>P</w:t>
      </w:r>
      <w:r w:rsidRPr="003E7EE5">
        <w:rPr>
          <w:i/>
          <w:iCs/>
          <w:color w:val="000000" w:themeColor="text1"/>
          <w:shd w:val="clear" w:color="auto" w:fill="FFFFFF"/>
        </w:rPr>
        <w:t>roduction</w:t>
      </w:r>
      <w:r w:rsidRPr="003E7EE5">
        <w:rPr>
          <w:color w:val="000000" w:themeColor="text1"/>
          <w:shd w:val="clear" w:color="auto" w:fill="FFFFFF"/>
        </w:rPr>
        <w:t>, Vol. 171, pp. 423-433.</w:t>
      </w:r>
    </w:p>
    <w:p w14:paraId="0DBEFDBB" w14:textId="4DBD961C" w:rsidR="005F2637" w:rsidRPr="003E7EE5" w:rsidRDefault="00BF2E17" w:rsidP="005E1791">
      <w:pPr>
        <w:spacing w:line="360" w:lineRule="auto"/>
        <w:ind w:left="432" w:hanging="432"/>
        <w:rPr>
          <w:rFonts w:eastAsia="Times New Roman"/>
          <w:color w:val="000000" w:themeColor="text1"/>
          <w:szCs w:val="20"/>
          <w:shd w:val="clear" w:color="auto" w:fill="FFFFFF"/>
        </w:rPr>
      </w:pPr>
      <w:r w:rsidRPr="003E7EE5">
        <w:rPr>
          <w:rFonts w:eastAsia="Times New Roman"/>
          <w:color w:val="000000" w:themeColor="text1"/>
          <w:szCs w:val="20"/>
          <w:shd w:val="clear" w:color="auto" w:fill="FFFFFF"/>
        </w:rPr>
        <w:t xml:space="preserve">McCann, J., </w:t>
      </w:r>
      <w:proofErr w:type="spellStart"/>
      <w:r w:rsidRPr="003E7EE5">
        <w:rPr>
          <w:rFonts w:eastAsia="Times New Roman"/>
          <w:color w:val="000000" w:themeColor="text1"/>
          <w:szCs w:val="20"/>
          <w:shd w:val="clear" w:color="auto" w:fill="FFFFFF"/>
        </w:rPr>
        <w:t>Selsky</w:t>
      </w:r>
      <w:proofErr w:type="spellEnd"/>
      <w:r w:rsidR="00EC2BC4" w:rsidRPr="003E7EE5">
        <w:rPr>
          <w:rFonts w:eastAsia="Times New Roman"/>
          <w:color w:val="000000" w:themeColor="text1"/>
          <w:szCs w:val="20"/>
          <w:shd w:val="clear" w:color="auto" w:fill="FFFFFF"/>
        </w:rPr>
        <w:t>, J.</w:t>
      </w:r>
      <w:r w:rsidRPr="003E7EE5">
        <w:rPr>
          <w:rFonts w:eastAsia="Times New Roman"/>
          <w:color w:val="000000" w:themeColor="text1"/>
          <w:szCs w:val="20"/>
          <w:shd w:val="clear" w:color="auto" w:fill="FFFFFF"/>
        </w:rPr>
        <w:t xml:space="preserve">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Lee, J. (2009)</w:t>
      </w:r>
      <w:r w:rsidR="00AC48CC"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AC48CC"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Building agility, resilience and performance in turbulent environments</w:t>
      </w:r>
      <w:r w:rsidR="00AC48CC" w:rsidRPr="003E7EE5">
        <w:rPr>
          <w:rFonts w:eastAsia="Times New Roman"/>
          <w:color w:val="000000" w:themeColor="text1"/>
          <w:szCs w:val="20"/>
          <w:shd w:val="clear" w:color="auto" w:fill="FFFFFF"/>
        </w:rPr>
        <w:t>”</w:t>
      </w:r>
      <w:r w:rsidR="00F67E61"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Pr="003E7EE5">
        <w:rPr>
          <w:rFonts w:eastAsia="Times New Roman"/>
          <w:i/>
          <w:iCs/>
          <w:color w:val="000000" w:themeColor="text1"/>
          <w:szCs w:val="20"/>
        </w:rPr>
        <w:t xml:space="preserve">People </w:t>
      </w:r>
      <w:r w:rsidR="007E71B6" w:rsidRPr="003E7EE5">
        <w:rPr>
          <w:rFonts w:eastAsia="Times New Roman"/>
          <w:i/>
          <w:iCs/>
          <w:color w:val="000000" w:themeColor="text1"/>
          <w:szCs w:val="20"/>
        </w:rPr>
        <w:t>and</w:t>
      </w:r>
      <w:r w:rsidRPr="003E7EE5">
        <w:rPr>
          <w:rFonts w:eastAsia="Times New Roman"/>
          <w:i/>
          <w:iCs/>
          <w:color w:val="000000" w:themeColor="text1"/>
          <w:szCs w:val="20"/>
        </w:rPr>
        <w:t xml:space="preserve"> Strategy</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AC48CC" w:rsidRPr="003E7EE5">
        <w:rPr>
          <w:rFonts w:eastAsia="Times New Roman"/>
          <w:iCs/>
          <w:color w:val="000000" w:themeColor="text1"/>
          <w:szCs w:val="20"/>
        </w:rPr>
        <w:t>Vol. 32 No. 3</w:t>
      </w:r>
      <w:r w:rsidR="00AC48CC" w:rsidRPr="005E1791">
        <w:rPr>
          <w:rFonts w:eastAsia="Times New Roman"/>
          <w:iCs/>
          <w:color w:val="000000" w:themeColor="text1"/>
          <w:szCs w:val="20"/>
        </w:rPr>
        <w:t>,</w:t>
      </w:r>
      <w:r w:rsidRPr="003E7EE5">
        <w:rPr>
          <w:rFonts w:eastAsia="Times New Roman"/>
          <w:color w:val="000000" w:themeColor="text1"/>
          <w:szCs w:val="20"/>
          <w:shd w:val="clear" w:color="auto" w:fill="FFFFFF"/>
        </w:rPr>
        <w:t xml:space="preserve"> pp.</w:t>
      </w:r>
      <w:r w:rsidR="0049601E">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44-51.</w:t>
      </w:r>
    </w:p>
    <w:p w14:paraId="6216569E" w14:textId="22094C26" w:rsidR="005F2637" w:rsidRPr="003E7EE5" w:rsidRDefault="005F2637" w:rsidP="00F12072">
      <w:pPr>
        <w:spacing w:line="360" w:lineRule="auto"/>
        <w:ind w:left="426" w:hanging="426"/>
        <w:rPr>
          <w:rFonts w:eastAsia="Times New Roman"/>
          <w:color w:val="000000" w:themeColor="text1"/>
          <w:szCs w:val="20"/>
          <w:shd w:val="clear" w:color="auto" w:fill="FFFFFF"/>
        </w:rPr>
      </w:pPr>
      <w:r w:rsidRPr="003E7EE5">
        <w:rPr>
          <w:rFonts w:eastAsia="Times New Roman"/>
          <w:color w:val="000000" w:themeColor="text1"/>
          <w:szCs w:val="20"/>
          <w:shd w:val="clear" w:color="auto" w:fill="FFFFFF"/>
        </w:rPr>
        <w:t xml:space="preserve">McKinsey </w:t>
      </w:r>
      <w:r w:rsidR="0043222C" w:rsidRPr="003E7EE5">
        <w:rPr>
          <w:rFonts w:eastAsia="Times New Roman"/>
          <w:color w:val="000000" w:themeColor="text1"/>
          <w:szCs w:val="20"/>
          <w:shd w:val="clear" w:color="auto" w:fill="FFFFFF"/>
        </w:rPr>
        <w:t>&amp;</w:t>
      </w:r>
      <w:r w:rsidRPr="003E7EE5">
        <w:rPr>
          <w:rFonts w:eastAsia="Times New Roman"/>
          <w:color w:val="000000" w:themeColor="text1"/>
          <w:szCs w:val="20"/>
          <w:shd w:val="clear" w:color="auto" w:fill="FFFFFF"/>
        </w:rPr>
        <w:t xml:space="preserve"> Company (2022)</w:t>
      </w:r>
      <w:r w:rsidR="0049601E">
        <w:rPr>
          <w:rFonts w:eastAsia="Times New Roman"/>
          <w:color w:val="000000" w:themeColor="text1"/>
          <w:szCs w:val="20"/>
          <w:shd w:val="clear" w:color="auto" w:fill="FFFFFF"/>
        </w:rPr>
        <w:t>, “</w:t>
      </w:r>
      <w:r w:rsidRPr="005E1791">
        <w:rPr>
          <w:rFonts w:eastAsia="Times New Roman"/>
          <w:color w:val="000000" w:themeColor="text1"/>
          <w:szCs w:val="20"/>
          <w:shd w:val="clear" w:color="auto" w:fill="FFFFFF"/>
        </w:rPr>
        <w:t>Something’s coming: How US companies can build resilience, survive a downturn, and thrive in the next cycle</w:t>
      </w:r>
      <w:r w:rsidR="0049601E">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49601E">
        <w:rPr>
          <w:rFonts w:eastAsia="Times New Roman"/>
          <w:color w:val="000000" w:themeColor="text1"/>
          <w:szCs w:val="20"/>
          <w:shd w:val="clear" w:color="auto" w:fill="FFFFFF"/>
        </w:rPr>
        <w:t>a</w:t>
      </w:r>
      <w:r w:rsidR="007B436F" w:rsidRPr="003E7EE5">
        <w:rPr>
          <w:rFonts w:eastAsia="Times New Roman"/>
          <w:color w:val="000000" w:themeColor="text1"/>
          <w:szCs w:val="20"/>
          <w:shd w:val="clear" w:color="auto" w:fill="FFFFFF"/>
        </w:rPr>
        <w:t>vailable at:</w:t>
      </w:r>
      <w:r w:rsidRPr="003E7EE5">
        <w:rPr>
          <w:rFonts w:eastAsia="Times New Roman"/>
          <w:color w:val="000000" w:themeColor="text1"/>
          <w:szCs w:val="20"/>
          <w:shd w:val="clear" w:color="auto" w:fill="FFFFFF"/>
        </w:rPr>
        <w:t xml:space="preserve"> </w:t>
      </w:r>
      <w:hyperlink r:id="rId10" w:history="1">
        <w:r w:rsidRPr="003E7EE5">
          <w:rPr>
            <w:rStyle w:val="Hyperlink"/>
            <w:rFonts w:eastAsia="Times New Roman"/>
            <w:color w:val="000000" w:themeColor="text1"/>
            <w:szCs w:val="20"/>
            <w:shd w:val="clear" w:color="auto" w:fill="FFFFFF"/>
          </w:rPr>
          <w:t>https://www.mckinsey.com/capabilities/risk-and-resilience/our-insights/somethings-coming-how-us-companies-can-build-resilience-survive-a-downturn-and-thrive-in-the-next-cycle</w:t>
        </w:r>
      </w:hyperlink>
      <w:r w:rsidR="007B436F" w:rsidRPr="003E7EE5">
        <w:rPr>
          <w:rFonts w:eastAsia="Times New Roman"/>
          <w:color w:val="000000" w:themeColor="text1"/>
          <w:szCs w:val="20"/>
          <w:shd w:val="clear" w:color="auto" w:fill="FFFFFF"/>
        </w:rPr>
        <w:t xml:space="preserve"> </w:t>
      </w:r>
      <w:r w:rsidR="007B436F" w:rsidRPr="003E7EE5">
        <w:rPr>
          <w:color w:val="000000" w:themeColor="text1"/>
        </w:rPr>
        <w:t>(accessed 4 July 2023)</w:t>
      </w:r>
      <w:r w:rsidR="0049601E">
        <w:rPr>
          <w:color w:val="000000" w:themeColor="text1"/>
        </w:rPr>
        <w:t>.</w:t>
      </w:r>
    </w:p>
    <w:p w14:paraId="08CD72EA" w14:textId="7A2C4AC9" w:rsidR="00BF2E17" w:rsidRPr="003E7EE5" w:rsidRDefault="00BF2E17" w:rsidP="00F12072">
      <w:pPr>
        <w:spacing w:line="360" w:lineRule="auto"/>
        <w:ind w:left="426" w:hanging="426"/>
        <w:rPr>
          <w:rFonts w:eastAsia="Times New Roman"/>
          <w:color w:val="000000" w:themeColor="text1"/>
          <w:sz w:val="36"/>
        </w:rPr>
      </w:pPr>
      <w:proofErr w:type="spellStart"/>
      <w:r w:rsidRPr="003E7EE5">
        <w:rPr>
          <w:rFonts w:eastAsia="Times New Roman"/>
          <w:color w:val="000000" w:themeColor="text1"/>
          <w:szCs w:val="20"/>
          <w:shd w:val="clear" w:color="auto" w:fill="FFFFFF"/>
        </w:rPr>
        <w:t>Menguc</w:t>
      </w:r>
      <w:proofErr w:type="spellEnd"/>
      <w:r w:rsidRPr="003E7EE5">
        <w:rPr>
          <w:rFonts w:eastAsia="Times New Roman"/>
          <w:color w:val="000000" w:themeColor="text1"/>
          <w:szCs w:val="20"/>
          <w:shd w:val="clear" w:color="auto" w:fill="FFFFFF"/>
        </w:rPr>
        <w:t>, B., Auh</w:t>
      </w:r>
      <w:r w:rsidR="00DC55F3" w:rsidRPr="003E7EE5">
        <w:rPr>
          <w:rFonts w:eastAsia="Times New Roman"/>
          <w:color w:val="000000" w:themeColor="text1"/>
          <w:szCs w:val="20"/>
          <w:shd w:val="clear" w:color="auto" w:fill="FFFFFF"/>
        </w:rPr>
        <w:t>, S.</w:t>
      </w:r>
      <w:r w:rsidRPr="003E7EE5">
        <w:rPr>
          <w:rFonts w:eastAsia="Times New Roman"/>
          <w:color w:val="000000" w:themeColor="text1"/>
          <w:szCs w:val="20"/>
          <w:shd w:val="clear" w:color="auto" w:fill="FFFFFF"/>
        </w:rPr>
        <w:t xml:space="preserve">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w:t>
      </w:r>
      <w:proofErr w:type="spellStart"/>
      <w:r w:rsidRPr="003E7EE5">
        <w:rPr>
          <w:rFonts w:eastAsia="Times New Roman"/>
          <w:color w:val="000000" w:themeColor="text1"/>
          <w:szCs w:val="20"/>
          <w:shd w:val="clear" w:color="auto" w:fill="FFFFFF"/>
        </w:rPr>
        <w:t>Ozanne</w:t>
      </w:r>
      <w:proofErr w:type="spellEnd"/>
      <w:r w:rsidR="00DC55F3" w:rsidRPr="003E7EE5">
        <w:rPr>
          <w:rFonts w:eastAsia="Times New Roman"/>
          <w:color w:val="000000" w:themeColor="text1"/>
          <w:szCs w:val="20"/>
          <w:shd w:val="clear" w:color="auto" w:fill="FFFFFF"/>
        </w:rPr>
        <w:t>, L.</w:t>
      </w:r>
      <w:r w:rsidRPr="003E7EE5">
        <w:rPr>
          <w:rFonts w:eastAsia="Times New Roman"/>
          <w:color w:val="000000" w:themeColor="text1"/>
          <w:szCs w:val="20"/>
          <w:shd w:val="clear" w:color="auto" w:fill="FFFFFF"/>
        </w:rPr>
        <w:t xml:space="preserve"> (2010)</w:t>
      </w:r>
      <w:r w:rsidR="00AC48CC" w:rsidRPr="003E7EE5">
        <w:rPr>
          <w:rFonts w:eastAsia="Times New Roman"/>
          <w:color w:val="000000" w:themeColor="text1"/>
          <w:szCs w:val="20"/>
          <w:shd w:val="clear" w:color="auto" w:fill="FFFFFF"/>
        </w:rPr>
        <w:t>, “</w:t>
      </w:r>
      <w:r w:rsidRPr="003E7EE5">
        <w:rPr>
          <w:rFonts w:eastAsia="Times New Roman"/>
          <w:color w:val="000000" w:themeColor="text1"/>
          <w:szCs w:val="20"/>
          <w:shd w:val="clear" w:color="auto" w:fill="FFFFFF"/>
        </w:rPr>
        <w:t>The interactive effect of internal and external factors on a proactive environmental strategy and its influence on a firm's performance</w:t>
      </w:r>
      <w:r w:rsidR="00AC48CC" w:rsidRPr="003E7EE5">
        <w:rPr>
          <w:rFonts w:eastAsia="Times New Roman"/>
          <w:color w:val="000000" w:themeColor="text1"/>
          <w:szCs w:val="20"/>
          <w:shd w:val="clear" w:color="auto" w:fill="FFFFFF"/>
        </w:rPr>
        <w:t>”,</w:t>
      </w:r>
      <w:r w:rsidR="0049601E">
        <w:rPr>
          <w:rFonts w:eastAsia="Times New Roman"/>
          <w:color w:val="000000" w:themeColor="text1"/>
          <w:szCs w:val="20"/>
          <w:shd w:val="clear" w:color="auto" w:fill="FFFFFF"/>
        </w:rPr>
        <w:t xml:space="preserve"> </w:t>
      </w:r>
      <w:r w:rsidRPr="003E7EE5">
        <w:rPr>
          <w:rFonts w:eastAsia="Times New Roman"/>
          <w:i/>
          <w:iCs/>
          <w:color w:val="000000" w:themeColor="text1"/>
          <w:szCs w:val="20"/>
        </w:rPr>
        <w:t>Journal of Business Ethics</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AC48CC" w:rsidRPr="003E7EE5">
        <w:rPr>
          <w:rFonts w:eastAsia="Times New Roman"/>
          <w:iCs/>
          <w:color w:val="000000" w:themeColor="text1"/>
          <w:szCs w:val="20"/>
        </w:rPr>
        <w:t>Vol. 94 No. 2,</w:t>
      </w:r>
      <w:r w:rsidRPr="003E7EE5">
        <w:rPr>
          <w:rFonts w:eastAsia="Times New Roman"/>
          <w:color w:val="000000" w:themeColor="text1"/>
          <w:szCs w:val="20"/>
          <w:shd w:val="clear" w:color="auto" w:fill="FFFFFF"/>
        </w:rPr>
        <w:t xml:space="preserve"> pp.</w:t>
      </w:r>
      <w:r w:rsidR="0049601E">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279-298.</w:t>
      </w:r>
    </w:p>
    <w:p w14:paraId="798D9D05" w14:textId="103DF77C" w:rsidR="003B39C1" w:rsidRPr="003E7EE5" w:rsidRDefault="00CB0262">
      <w:pPr>
        <w:spacing w:line="360" w:lineRule="auto"/>
        <w:ind w:left="426" w:hanging="426"/>
        <w:jc w:val="both"/>
        <w:rPr>
          <w:color w:val="000000" w:themeColor="text1"/>
        </w:rPr>
      </w:pPr>
      <w:r w:rsidRPr="003E7EE5">
        <w:rPr>
          <w:color w:val="000000" w:themeColor="text1"/>
        </w:rPr>
        <w:lastRenderedPageBreak/>
        <w:t xml:space="preserve">Menon, A. </w:t>
      </w:r>
      <w:r w:rsidR="007E71B6" w:rsidRPr="003E7EE5">
        <w:rPr>
          <w:color w:val="000000" w:themeColor="text1"/>
        </w:rPr>
        <w:t>and</w:t>
      </w:r>
      <w:r w:rsidRPr="003E7EE5">
        <w:rPr>
          <w:color w:val="000000" w:themeColor="text1"/>
        </w:rPr>
        <w:t xml:space="preserve"> Menon</w:t>
      </w:r>
      <w:r w:rsidR="00DC55F3" w:rsidRPr="003E7EE5">
        <w:rPr>
          <w:color w:val="000000" w:themeColor="text1"/>
        </w:rPr>
        <w:t>, A.</w:t>
      </w:r>
      <w:r w:rsidR="003B39C1" w:rsidRPr="003E7EE5">
        <w:rPr>
          <w:color w:val="000000" w:themeColor="text1"/>
        </w:rPr>
        <w:t xml:space="preserve"> (1997)</w:t>
      </w:r>
      <w:r w:rsidR="00AC48CC" w:rsidRPr="003E7EE5">
        <w:rPr>
          <w:color w:val="000000" w:themeColor="text1"/>
        </w:rPr>
        <w:t>,</w:t>
      </w:r>
      <w:r w:rsidR="003B39C1" w:rsidRPr="003E7EE5">
        <w:rPr>
          <w:color w:val="000000" w:themeColor="text1"/>
        </w:rPr>
        <w:t xml:space="preserve"> </w:t>
      </w:r>
      <w:r w:rsidR="00AC48CC" w:rsidRPr="003E7EE5">
        <w:rPr>
          <w:color w:val="000000" w:themeColor="text1"/>
        </w:rPr>
        <w:t>“</w:t>
      </w:r>
      <w:r w:rsidR="003B39C1" w:rsidRPr="003E7EE5">
        <w:rPr>
          <w:color w:val="000000" w:themeColor="text1"/>
        </w:rPr>
        <w:t>Enviropreneurial marketing strategy: the emergence of</w:t>
      </w:r>
      <w:r w:rsidR="00230562" w:rsidRPr="003E7EE5">
        <w:rPr>
          <w:color w:val="000000" w:themeColor="text1"/>
        </w:rPr>
        <w:t xml:space="preserve"> </w:t>
      </w:r>
      <w:r w:rsidR="003B39C1" w:rsidRPr="003E7EE5">
        <w:rPr>
          <w:color w:val="000000" w:themeColor="text1"/>
        </w:rPr>
        <w:t>corporate envi</w:t>
      </w:r>
      <w:r w:rsidRPr="003E7EE5">
        <w:rPr>
          <w:color w:val="000000" w:themeColor="text1"/>
        </w:rPr>
        <w:t>ronmentalism as market strategy</w:t>
      </w:r>
      <w:r w:rsidR="00AC48CC" w:rsidRPr="003E7EE5">
        <w:rPr>
          <w:color w:val="000000" w:themeColor="text1"/>
        </w:rPr>
        <w:t>”,</w:t>
      </w:r>
      <w:r w:rsidRPr="003E7EE5">
        <w:rPr>
          <w:color w:val="000000" w:themeColor="text1"/>
        </w:rPr>
        <w:t xml:space="preserve"> </w:t>
      </w:r>
      <w:r w:rsidR="003B39C1" w:rsidRPr="003E7EE5">
        <w:rPr>
          <w:i/>
          <w:iCs/>
          <w:color w:val="000000" w:themeColor="text1"/>
        </w:rPr>
        <w:t>Journal of Marketing</w:t>
      </w:r>
      <w:r w:rsidRPr="003E7EE5">
        <w:rPr>
          <w:color w:val="000000" w:themeColor="text1"/>
        </w:rPr>
        <w:t xml:space="preserve">, </w:t>
      </w:r>
      <w:r w:rsidR="00AC48CC" w:rsidRPr="003E7EE5">
        <w:rPr>
          <w:color w:val="000000" w:themeColor="text1"/>
        </w:rPr>
        <w:t xml:space="preserve">Vol. 1 No. </w:t>
      </w:r>
      <w:r w:rsidR="00355436" w:rsidRPr="003E7EE5">
        <w:rPr>
          <w:color w:val="000000" w:themeColor="text1"/>
        </w:rPr>
        <w:t>1</w:t>
      </w:r>
      <w:r w:rsidR="003B39C1" w:rsidRPr="003E7EE5">
        <w:rPr>
          <w:color w:val="000000" w:themeColor="text1"/>
        </w:rPr>
        <w:t xml:space="preserve">, </w:t>
      </w:r>
      <w:r w:rsidR="00AC48CC" w:rsidRPr="003E7EE5">
        <w:rPr>
          <w:color w:val="000000" w:themeColor="text1"/>
        </w:rPr>
        <w:t xml:space="preserve">pp. </w:t>
      </w:r>
      <w:r w:rsidR="003B39C1" w:rsidRPr="003E7EE5">
        <w:rPr>
          <w:color w:val="000000" w:themeColor="text1"/>
        </w:rPr>
        <w:t>51-67.</w:t>
      </w:r>
    </w:p>
    <w:p w14:paraId="2D7FDAAA" w14:textId="16B02F78" w:rsidR="003B39C1" w:rsidRPr="003E7EE5" w:rsidRDefault="003B39C1" w:rsidP="005E1791">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Morgan, N.A., </w:t>
      </w:r>
      <w:r w:rsidR="009963A8" w:rsidRPr="003E7EE5">
        <w:rPr>
          <w:rFonts w:eastAsia="Times New Roman"/>
          <w:color w:val="000000" w:themeColor="text1"/>
          <w:shd w:val="clear" w:color="auto" w:fill="FFFFFF"/>
        </w:rPr>
        <w:t>Kaleka</w:t>
      </w:r>
      <w:r w:rsidR="00DC55F3" w:rsidRPr="003E7EE5">
        <w:rPr>
          <w:rFonts w:eastAsia="Times New Roman"/>
          <w:color w:val="000000" w:themeColor="text1"/>
          <w:shd w:val="clear" w:color="auto" w:fill="FFFFFF"/>
        </w:rPr>
        <w:t>, A.</w:t>
      </w:r>
      <w:r w:rsidR="009963A8"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9963A8" w:rsidRPr="003E7EE5">
        <w:rPr>
          <w:rFonts w:eastAsia="Times New Roman"/>
          <w:color w:val="000000" w:themeColor="text1"/>
          <w:shd w:val="clear" w:color="auto" w:fill="FFFFFF"/>
        </w:rPr>
        <w:t xml:space="preserve"> Katsikeas</w:t>
      </w:r>
      <w:r w:rsidR="00DC55F3" w:rsidRPr="003E7EE5">
        <w:rPr>
          <w:rFonts w:eastAsia="Times New Roman"/>
          <w:color w:val="000000" w:themeColor="text1"/>
          <w:shd w:val="clear" w:color="auto" w:fill="FFFFFF"/>
        </w:rPr>
        <w:t xml:space="preserve">, C.S. </w:t>
      </w:r>
      <w:r w:rsidRPr="003E7EE5">
        <w:rPr>
          <w:rFonts w:eastAsia="Times New Roman"/>
          <w:color w:val="000000" w:themeColor="text1"/>
          <w:shd w:val="clear" w:color="auto" w:fill="FFFFFF"/>
        </w:rPr>
        <w:t>(2004)</w:t>
      </w:r>
      <w:r w:rsidR="00AC48CC"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AC48CC"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Antecedents of export venture performance: A theoretical model and empirical assessment</w:t>
      </w:r>
      <w:r w:rsidR="00AC48CC"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w:t>
      </w:r>
      <w:r w:rsidRPr="003E7EE5">
        <w:rPr>
          <w:rFonts w:eastAsia="Times New Roman"/>
          <w:i/>
          <w:iCs/>
          <w:color w:val="000000" w:themeColor="text1"/>
        </w:rPr>
        <w:t>Journal of Marketing</w:t>
      </w:r>
      <w:r w:rsidRPr="003E7EE5">
        <w:rPr>
          <w:rFonts w:eastAsia="Times New Roman"/>
          <w:color w:val="000000" w:themeColor="text1"/>
          <w:shd w:val="clear" w:color="auto" w:fill="FFFFFF"/>
        </w:rPr>
        <w:t>, </w:t>
      </w:r>
      <w:r w:rsidR="00AC48CC" w:rsidRPr="003E7EE5">
        <w:rPr>
          <w:rFonts w:eastAsia="Times New Roman"/>
          <w:iCs/>
          <w:color w:val="000000" w:themeColor="text1"/>
        </w:rPr>
        <w:t>Vol. 68 No.</w:t>
      </w:r>
      <w:r w:rsidR="00230562" w:rsidRPr="003E7EE5">
        <w:rPr>
          <w:rFonts w:eastAsia="Times New Roman"/>
          <w:iCs/>
          <w:color w:val="000000" w:themeColor="text1"/>
        </w:rPr>
        <w:t xml:space="preserve"> </w:t>
      </w:r>
      <w:r w:rsidR="00355436" w:rsidRPr="003E7EE5">
        <w:rPr>
          <w:rFonts w:eastAsia="Times New Roman"/>
          <w:iCs/>
          <w:color w:val="000000" w:themeColor="text1"/>
        </w:rPr>
        <w:t>1</w:t>
      </w:r>
      <w:r w:rsidR="009963A8" w:rsidRPr="003E7EE5">
        <w:rPr>
          <w:rFonts w:eastAsia="Times New Roman"/>
          <w:iCs/>
          <w:color w:val="000000" w:themeColor="text1"/>
        </w:rPr>
        <w:t>,</w:t>
      </w:r>
      <w:r w:rsidRPr="003E7EE5">
        <w:rPr>
          <w:rFonts w:eastAsia="Times New Roman"/>
          <w:color w:val="000000" w:themeColor="text1"/>
          <w:shd w:val="clear" w:color="auto" w:fill="FFFFFF"/>
        </w:rPr>
        <w:t xml:space="preserve"> </w:t>
      </w:r>
      <w:r w:rsidR="009963A8"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90-108.</w:t>
      </w:r>
    </w:p>
    <w:p w14:paraId="4E643158" w14:textId="35C5AA31" w:rsidR="00A42532" w:rsidRPr="003E7EE5" w:rsidRDefault="00A42532"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Murillo</w:t>
      </w:r>
      <w:r w:rsidRPr="003E7EE5">
        <w:rPr>
          <w:rFonts w:eastAsia="Calibri"/>
          <w:color w:val="000000" w:themeColor="text1"/>
          <w:shd w:val="clear" w:color="auto" w:fill="FFFFFF"/>
        </w:rPr>
        <w:t>‐</w:t>
      </w:r>
      <w:r w:rsidR="009963A8" w:rsidRPr="003E7EE5">
        <w:rPr>
          <w:rFonts w:eastAsia="Times New Roman"/>
          <w:color w:val="000000" w:themeColor="text1"/>
          <w:shd w:val="clear" w:color="auto" w:fill="FFFFFF"/>
        </w:rPr>
        <w:t xml:space="preserve">Luna, J.L., </w:t>
      </w:r>
      <w:proofErr w:type="spellStart"/>
      <w:r w:rsidRPr="003E7EE5">
        <w:rPr>
          <w:rFonts w:eastAsia="Times New Roman"/>
          <w:color w:val="000000" w:themeColor="text1"/>
          <w:shd w:val="clear" w:color="auto" w:fill="FFFFFF"/>
        </w:rPr>
        <w:t>Garcés</w:t>
      </w:r>
      <w:r w:rsidRPr="003E7EE5">
        <w:rPr>
          <w:rFonts w:eastAsia="Calibri"/>
          <w:color w:val="000000" w:themeColor="text1"/>
          <w:shd w:val="clear" w:color="auto" w:fill="FFFFFF"/>
        </w:rPr>
        <w:t>‐</w:t>
      </w:r>
      <w:r w:rsidRPr="003E7EE5">
        <w:rPr>
          <w:rFonts w:eastAsia="Times New Roman"/>
          <w:color w:val="000000" w:themeColor="text1"/>
          <w:shd w:val="clear" w:color="auto" w:fill="FFFFFF"/>
        </w:rPr>
        <w:t>Ayerbe</w:t>
      </w:r>
      <w:proofErr w:type="spellEnd"/>
      <w:r w:rsidR="0049355C"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49601E" w:rsidRPr="003E7EE5">
        <w:rPr>
          <w:rFonts w:eastAsia="Times New Roman"/>
          <w:color w:val="000000" w:themeColor="text1"/>
          <w:shd w:val="clear" w:color="auto" w:fill="FFFFFF"/>
        </w:rPr>
        <w:t xml:space="preserve">C.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Rivera</w:t>
      </w:r>
      <w:r w:rsidRPr="003E7EE5">
        <w:rPr>
          <w:rFonts w:eastAsia="Calibri"/>
          <w:color w:val="000000" w:themeColor="text1"/>
          <w:shd w:val="clear" w:color="auto" w:fill="FFFFFF"/>
        </w:rPr>
        <w:t>‐</w:t>
      </w:r>
      <w:r w:rsidRPr="003E7EE5">
        <w:rPr>
          <w:rFonts w:eastAsia="Times New Roman"/>
          <w:color w:val="000000" w:themeColor="text1"/>
          <w:shd w:val="clear" w:color="auto" w:fill="FFFFFF"/>
        </w:rPr>
        <w:t>Torres</w:t>
      </w:r>
      <w:r w:rsidR="0049601E">
        <w:rPr>
          <w:rFonts w:eastAsia="Times New Roman"/>
          <w:color w:val="000000" w:themeColor="text1"/>
          <w:shd w:val="clear" w:color="auto" w:fill="FFFFFF"/>
        </w:rPr>
        <w:t>,</w:t>
      </w:r>
      <w:r w:rsidR="0049601E" w:rsidRPr="0049601E">
        <w:rPr>
          <w:rFonts w:eastAsia="Times New Roman"/>
          <w:color w:val="000000" w:themeColor="text1"/>
          <w:shd w:val="clear" w:color="auto" w:fill="FFFFFF"/>
        </w:rPr>
        <w:t xml:space="preserve"> </w:t>
      </w:r>
      <w:r w:rsidR="0049601E" w:rsidRPr="003E7EE5">
        <w:rPr>
          <w:rFonts w:eastAsia="Times New Roman"/>
          <w:color w:val="000000" w:themeColor="text1"/>
          <w:shd w:val="clear" w:color="auto" w:fill="FFFFFF"/>
        </w:rPr>
        <w:t>P.</w:t>
      </w:r>
      <w:r w:rsidRPr="003E7EE5">
        <w:rPr>
          <w:rFonts w:eastAsia="Times New Roman"/>
          <w:color w:val="000000" w:themeColor="text1"/>
          <w:shd w:val="clear" w:color="auto" w:fill="FFFFFF"/>
        </w:rPr>
        <w:t xml:space="preserve"> (2008)</w:t>
      </w:r>
      <w:r w:rsidR="00AC48CC" w:rsidRPr="003E7EE5">
        <w:rPr>
          <w:rFonts w:eastAsia="Times New Roman"/>
          <w:color w:val="000000" w:themeColor="text1"/>
          <w:shd w:val="clear" w:color="auto" w:fill="FFFFFF"/>
        </w:rPr>
        <w:t>, “</w:t>
      </w:r>
      <w:r w:rsidRPr="003E7EE5">
        <w:rPr>
          <w:rFonts w:eastAsia="Times New Roman"/>
          <w:color w:val="000000" w:themeColor="text1"/>
          <w:shd w:val="clear" w:color="auto" w:fill="FFFFFF"/>
        </w:rPr>
        <w:t>Why do patterns of environmental response differ? A stakeholders' pressure approach</w:t>
      </w:r>
      <w:r w:rsidR="00AC48CC"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 xml:space="preserve">Strategic </w:t>
      </w:r>
      <w:r w:rsidR="0017312F" w:rsidRPr="003E7EE5">
        <w:rPr>
          <w:rFonts w:eastAsia="Times New Roman"/>
          <w:i/>
          <w:iCs/>
          <w:color w:val="000000" w:themeColor="text1"/>
        </w:rPr>
        <w:t>M</w:t>
      </w:r>
      <w:r w:rsidRPr="003E7EE5">
        <w:rPr>
          <w:rFonts w:eastAsia="Times New Roman"/>
          <w:i/>
          <w:iCs/>
          <w:color w:val="000000" w:themeColor="text1"/>
        </w:rPr>
        <w:t xml:space="preserve">anagement </w:t>
      </w:r>
      <w:r w:rsidR="0017312F" w:rsidRPr="003E7EE5">
        <w:rPr>
          <w:rFonts w:eastAsia="Times New Roman"/>
          <w:i/>
          <w:iCs/>
          <w:color w:val="000000" w:themeColor="text1"/>
        </w:rPr>
        <w:t>J</w:t>
      </w:r>
      <w:r w:rsidRPr="003E7EE5">
        <w:rPr>
          <w:rFonts w:eastAsia="Times New Roman"/>
          <w:i/>
          <w:iCs/>
          <w:color w:val="000000" w:themeColor="text1"/>
        </w:rPr>
        <w:t>ournal</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AC48CC" w:rsidRPr="003E7EE5">
        <w:rPr>
          <w:rFonts w:eastAsia="Times New Roman"/>
          <w:iCs/>
          <w:color w:val="000000" w:themeColor="text1"/>
        </w:rPr>
        <w:t xml:space="preserve">Vol. 29 No. </w:t>
      </w:r>
      <w:r w:rsidR="007B436F" w:rsidRPr="003E7EE5">
        <w:rPr>
          <w:rFonts w:eastAsia="Times New Roman"/>
          <w:iCs/>
          <w:color w:val="000000" w:themeColor="text1"/>
        </w:rPr>
        <w:t>11</w:t>
      </w:r>
      <w:r w:rsidRPr="003E7EE5">
        <w:rPr>
          <w:rFonts w:eastAsia="Times New Roman"/>
          <w:iCs/>
          <w:color w:val="000000" w:themeColor="text1"/>
        </w:rPr>
        <w:t xml:space="preserve">, pp. </w:t>
      </w:r>
      <w:r w:rsidRPr="003E7EE5">
        <w:rPr>
          <w:rFonts w:eastAsia="Times New Roman"/>
          <w:color w:val="000000" w:themeColor="text1"/>
          <w:shd w:val="clear" w:color="auto" w:fill="FFFFFF"/>
        </w:rPr>
        <w:t>1225-1240.</w:t>
      </w:r>
    </w:p>
    <w:p w14:paraId="519A1319" w14:textId="5E46ABDF" w:rsidR="00EC033E" w:rsidRPr="00EC033E" w:rsidRDefault="00A77480" w:rsidP="00EC033E">
      <w:pPr>
        <w:spacing w:line="360" w:lineRule="auto"/>
        <w:ind w:left="426" w:hanging="426"/>
        <w:rPr>
          <w:rFonts w:eastAsia="Times New Roman"/>
          <w:color w:val="000000" w:themeColor="text1"/>
          <w:shd w:val="clear" w:color="auto" w:fill="FFFFFF"/>
        </w:rPr>
      </w:pPr>
      <w:proofErr w:type="spellStart"/>
      <w:r w:rsidRPr="003E7EE5">
        <w:rPr>
          <w:rFonts w:eastAsia="Times New Roman"/>
          <w:color w:val="000000" w:themeColor="text1"/>
          <w:shd w:val="clear" w:color="auto" w:fill="FFFFFF"/>
        </w:rPr>
        <w:t>Nantsou</w:t>
      </w:r>
      <w:proofErr w:type="spellEnd"/>
      <w:r w:rsidRPr="003E7EE5">
        <w:rPr>
          <w:rFonts w:eastAsia="Times New Roman"/>
          <w:color w:val="000000" w:themeColor="text1"/>
          <w:shd w:val="clear" w:color="auto" w:fill="FFFFFF"/>
        </w:rPr>
        <w:t xml:space="preserve">, T., </w:t>
      </w:r>
      <w:proofErr w:type="spellStart"/>
      <w:r w:rsidRPr="003E7EE5">
        <w:rPr>
          <w:rFonts w:eastAsia="Times New Roman"/>
          <w:color w:val="000000" w:themeColor="text1"/>
          <w:shd w:val="clear" w:color="auto" w:fill="FFFFFF"/>
        </w:rPr>
        <w:t>Prodromou</w:t>
      </w:r>
      <w:proofErr w:type="spellEnd"/>
      <w:r w:rsidR="00A91DE7" w:rsidRPr="003E7EE5">
        <w:rPr>
          <w:rFonts w:eastAsia="Times New Roman"/>
          <w:color w:val="000000" w:themeColor="text1"/>
          <w:shd w:val="clear" w:color="auto" w:fill="FFFFFF"/>
        </w:rPr>
        <w:t>, N.</w:t>
      </w:r>
      <w:r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w:t>
      </w:r>
      <w:proofErr w:type="spellStart"/>
      <w:r w:rsidRPr="003E7EE5">
        <w:rPr>
          <w:rFonts w:eastAsia="Times New Roman"/>
          <w:color w:val="000000" w:themeColor="text1"/>
          <w:shd w:val="clear" w:color="auto" w:fill="FFFFFF"/>
        </w:rPr>
        <w:t>Mantzaris</w:t>
      </w:r>
      <w:proofErr w:type="spellEnd"/>
      <w:r w:rsidR="00A91DE7" w:rsidRPr="003E7EE5">
        <w:rPr>
          <w:rFonts w:eastAsia="Times New Roman"/>
          <w:color w:val="000000" w:themeColor="text1"/>
          <w:shd w:val="clear" w:color="auto" w:fill="FFFFFF"/>
        </w:rPr>
        <w:t>, N.</w:t>
      </w:r>
      <w:r w:rsidR="003B39C1" w:rsidRPr="003E7EE5">
        <w:rPr>
          <w:rFonts w:eastAsia="Times New Roman"/>
          <w:color w:val="000000" w:themeColor="text1"/>
          <w:shd w:val="clear" w:color="auto" w:fill="FFFFFF"/>
        </w:rPr>
        <w:t xml:space="preserve"> (2015). </w:t>
      </w:r>
      <w:r w:rsidR="003B39C1" w:rsidRPr="003E7EE5">
        <w:rPr>
          <w:rFonts w:eastAsia="Times New Roman"/>
          <w:i/>
          <w:color w:val="000000" w:themeColor="text1"/>
          <w:shd w:val="clear" w:color="auto" w:fill="FFFFFF"/>
        </w:rPr>
        <w:t>Environmental Law in Greece: 11</w:t>
      </w:r>
      <w:r w:rsidR="003B39C1" w:rsidRPr="003E7EE5">
        <w:rPr>
          <w:rFonts w:eastAsia="Times New Roman"/>
          <w:i/>
          <w:color w:val="000000" w:themeColor="text1"/>
          <w:shd w:val="clear" w:color="auto" w:fill="FFFFFF"/>
          <w:vertAlign w:val="superscript"/>
        </w:rPr>
        <w:t>th</w:t>
      </w:r>
      <w:r w:rsidR="003B39C1" w:rsidRPr="003E7EE5">
        <w:rPr>
          <w:rFonts w:eastAsia="Times New Roman"/>
          <w:i/>
          <w:color w:val="000000" w:themeColor="text1"/>
          <w:shd w:val="clear" w:color="auto" w:fill="FFFFFF"/>
        </w:rPr>
        <w:t xml:space="preserve"> Annual Review. Focus on the Greek Economic Programme</w:t>
      </w:r>
      <w:r w:rsidR="0049601E">
        <w:rPr>
          <w:rFonts w:eastAsia="Times New Roman"/>
          <w:iCs/>
          <w:color w:val="000000" w:themeColor="text1"/>
          <w:shd w:val="clear" w:color="auto" w:fill="FFFFFF"/>
        </w:rPr>
        <w:t>,</w:t>
      </w:r>
      <w:r w:rsidR="003B39C1" w:rsidRPr="003E7EE5">
        <w:rPr>
          <w:rFonts w:eastAsia="Times New Roman"/>
          <w:color w:val="000000" w:themeColor="text1"/>
          <w:shd w:val="clear" w:color="auto" w:fill="FFFFFF"/>
        </w:rPr>
        <w:t xml:space="preserve"> World Wildlife Fund</w:t>
      </w:r>
      <w:r w:rsidRPr="003E7EE5">
        <w:rPr>
          <w:rFonts w:eastAsia="Times New Roman"/>
          <w:color w:val="000000" w:themeColor="text1"/>
          <w:shd w:val="clear" w:color="auto" w:fill="FFFFFF"/>
        </w:rPr>
        <w:t xml:space="preserve"> Greece</w:t>
      </w:r>
      <w:r w:rsidR="0049601E">
        <w:rPr>
          <w:rFonts w:eastAsia="Times New Roman"/>
          <w:color w:val="000000" w:themeColor="text1"/>
          <w:shd w:val="clear" w:color="auto" w:fill="FFFFFF"/>
        </w:rPr>
        <w:t>,</w:t>
      </w:r>
      <w:r w:rsidR="0049601E" w:rsidRPr="0049601E">
        <w:rPr>
          <w:rFonts w:eastAsia="Times New Roman"/>
          <w:color w:val="000000" w:themeColor="text1"/>
          <w:shd w:val="clear" w:color="auto" w:fill="FFFFFF"/>
        </w:rPr>
        <w:t xml:space="preserve"> </w:t>
      </w:r>
      <w:r w:rsidR="0049601E" w:rsidRPr="003E7EE5">
        <w:rPr>
          <w:rFonts w:eastAsia="Times New Roman"/>
          <w:color w:val="000000" w:themeColor="text1"/>
          <w:shd w:val="clear" w:color="auto" w:fill="FFFFFF"/>
        </w:rPr>
        <w:t>Athens</w:t>
      </w:r>
      <w:r w:rsidR="003B39C1" w:rsidRPr="003E7EE5">
        <w:rPr>
          <w:rFonts w:eastAsia="Times New Roman"/>
          <w:color w:val="000000" w:themeColor="text1"/>
          <w:shd w:val="clear" w:color="auto" w:fill="FFFFFF"/>
        </w:rPr>
        <w:t>.</w:t>
      </w:r>
    </w:p>
    <w:p w14:paraId="56479A66" w14:textId="4B3A9C14" w:rsidR="00EC033E" w:rsidRPr="00EC033E" w:rsidRDefault="00EC033E" w:rsidP="00EC033E">
      <w:pPr>
        <w:ind w:left="425" w:hanging="425"/>
        <w:rPr>
          <w:rFonts w:eastAsia="Times New Roman"/>
          <w:color w:val="000000" w:themeColor="text1"/>
          <w:sz w:val="36"/>
          <w:szCs w:val="36"/>
          <w:shd w:val="clear" w:color="auto" w:fill="FFFFFF"/>
        </w:rPr>
      </w:pPr>
      <w:proofErr w:type="spellStart"/>
      <w:r w:rsidRPr="00EC033E">
        <w:rPr>
          <w:color w:val="000000" w:themeColor="text1"/>
          <w:shd w:val="clear" w:color="auto" w:fill="FFFFFF"/>
        </w:rPr>
        <w:t>Nenkov</w:t>
      </w:r>
      <w:proofErr w:type="spellEnd"/>
      <w:r w:rsidRPr="00EC033E">
        <w:rPr>
          <w:color w:val="000000" w:themeColor="text1"/>
          <w:shd w:val="clear" w:color="auto" w:fill="FFFFFF"/>
        </w:rPr>
        <w:t>, G. Y. (2024)</w:t>
      </w:r>
      <w:r>
        <w:rPr>
          <w:color w:val="000000" w:themeColor="text1"/>
          <w:shd w:val="clear" w:color="auto" w:fill="FFFFFF"/>
        </w:rPr>
        <w:t>,</w:t>
      </w:r>
      <w:r w:rsidRPr="00EC033E">
        <w:rPr>
          <w:color w:val="000000" w:themeColor="text1"/>
          <w:shd w:val="clear" w:color="auto" w:fill="FFFFFF"/>
        </w:rPr>
        <w:t xml:space="preserve"> </w:t>
      </w:r>
      <w:r>
        <w:rPr>
          <w:color w:val="000000" w:themeColor="text1"/>
          <w:shd w:val="clear" w:color="auto" w:fill="FFFFFF"/>
        </w:rPr>
        <w:t>“</w:t>
      </w:r>
      <w:r w:rsidRPr="00EC033E">
        <w:rPr>
          <w:color w:val="000000" w:themeColor="text1"/>
          <w:shd w:val="clear" w:color="auto" w:fill="FFFFFF"/>
        </w:rPr>
        <w:t>Shifting focus in the fight against core environmental challenges</w:t>
      </w:r>
      <w:r w:rsidR="00D56F22">
        <w:rPr>
          <w:color w:val="000000" w:themeColor="text1"/>
          <w:shd w:val="clear" w:color="auto" w:fill="FFFFFF"/>
        </w:rPr>
        <w:t>”,</w:t>
      </w:r>
      <w:r w:rsidRPr="00EC033E">
        <w:rPr>
          <w:color w:val="000000" w:themeColor="text1"/>
          <w:shd w:val="clear" w:color="auto" w:fill="FFFFFF"/>
        </w:rPr>
        <w:t> </w:t>
      </w:r>
      <w:r w:rsidRPr="00EC033E">
        <w:rPr>
          <w:i/>
          <w:iCs/>
          <w:color w:val="000000" w:themeColor="text1"/>
          <w:shd w:val="clear" w:color="auto" w:fill="FFFFFF"/>
        </w:rPr>
        <w:t>Journal of the Academy of Marketing Science</w:t>
      </w:r>
      <w:r w:rsidRPr="00EC033E">
        <w:rPr>
          <w:color w:val="000000" w:themeColor="text1"/>
          <w:shd w:val="clear" w:color="auto" w:fill="FFFFFF"/>
        </w:rPr>
        <w:t xml:space="preserve">, </w:t>
      </w:r>
      <w:r>
        <w:rPr>
          <w:color w:val="000000" w:themeColor="text1"/>
          <w:shd w:val="clear" w:color="auto" w:fill="FFFFFF"/>
        </w:rPr>
        <w:t xml:space="preserve">pp. </w:t>
      </w:r>
      <w:r w:rsidRPr="00EC033E">
        <w:rPr>
          <w:color w:val="000000" w:themeColor="text1"/>
          <w:shd w:val="clear" w:color="auto" w:fill="FFFFFF"/>
        </w:rPr>
        <w:t>1-6.</w:t>
      </w:r>
    </w:p>
    <w:p w14:paraId="4DE7B033" w14:textId="0B329A7A" w:rsidR="0003170C" w:rsidRDefault="0003170C" w:rsidP="0003170C">
      <w:pPr>
        <w:tabs>
          <w:tab w:val="left" w:pos="567"/>
          <w:tab w:val="left" w:pos="709"/>
        </w:tabs>
        <w:spacing w:before="240" w:after="120"/>
        <w:ind w:left="567" w:hanging="567"/>
        <w:jc w:val="both"/>
        <w:outlineLvl w:val="0"/>
        <w:rPr>
          <w:color w:val="000000" w:themeColor="text1"/>
        </w:rPr>
      </w:pPr>
      <w:r w:rsidRPr="00B15889">
        <w:rPr>
          <w:color w:val="000000" w:themeColor="text1"/>
        </w:rPr>
        <w:t>Nestlé (2022)</w:t>
      </w:r>
      <w:r>
        <w:rPr>
          <w:color w:val="000000" w:themeColor="text1"/>
        </w:rPr>
        <w:t xml:space="preserve">, </w:t>
      </w:r>
      <w:r w:rsidRPr="00B15889">
        <w:rPr>
          <w:color w:val="000000" w:themeColor="text1"/>
        </w:rPr>
        <w:t>“Creating Shared Value-Sustainability and Sustainability Report 2022”, available-at:</w:t>
      </w:r>
      <w:hyperlink r:id="rId11" w:history="1">
        <w:r w:rsidRPr="00B15889">
          <w:rPr>
            <w:rStyle w:val="Hyperlink"/>
            <w:color w:val="000000" w:themeColor="text1"/>
          </w:rPr>
          <w:t>https://www.nestle.com/sites/default/files/2023-03/creating-shared-value-sustainability-report-2022-en.pdf</w:t>
        </w:r>
      </w:hyperlink>
      <w:r w:rsidRPr="00B15889">
        <w:rPr>
          <w:color w:val="000000" w:themeColor="text1"/>
        </w:rPr>
        <w:t xml:space="preserve"> (accessed 9 February 2024)</w:t>
      </w:r>
    </w:p>
    <w:p w14:paraId="6379AAE3" w14:textId="29A8DB09" w:rsidR="003B39C1" w:rsidRPr="003E7EE5" w:rsidRDefault="003B39C1" w:rsidP="00F12072">
      <w:pPr>
        <w:widowControl w:val="0"/>
        <w:autoSpaceDE w:val="0"/>
        <w:autoSpaceDN w:val="0"/>
        <w:adjustRightInd w:val="0"/>
        <w:spacing w:line="360" w:lineRule="auto"/>
        <w:ind w:left="426" w:hanging="426"/>
        <w:rPr>
          <w:color w:val="000000" w:themeColor="text1"/>
        </w:rPr>
      </w:pPr>
      <w:proofErr w:type="spellStart"/>
      <w:r w:rsidRPr="003E7EE5">
        <w:rPr>
          <w:color w:val="000000" w:themeColor="text1"/>
        </w:rPr>
        <w:t>Netemeyer</w:t>
      </w:r>
      <w:proofErr w:type="spellEnd"/>
      <w:r w:rsidRPr="003E7EE5">
        <w:rPr>
          <w:color w:val="000000" w:themeColor="text1"/>
        </w:rPr>
        <w:t xml:space="preserve">, R.G., </w:t>
      </w:r>
      <w:r w:rsidR="009963A8" w:rsidRPr="003E7EE5">
        <w:rPr>
          <w:color w:val="000000" w:themeColor="text1"/>
        </w:rPr>
        <w:t>Bearden</w:t>
      </w:r>
      <w:r w:rsidR="00A91DE7" w:rsidRPr="003E7EE5">
        <w:rPr>
          <w:color w:val="000000" w:themeColor="text1"/>
        </w:rPr>
        <w:t>, W.O.</w:t>
      </w:r>
      <w:r w:rsidR="009963A8" w:rsidRPr="003E7EE5">
        <w:rPr>
          <w:color w:val="000000" w:themeColor="text1"/>
        </w:rPr>
        <w:t xml:space="preserve"> </w:t>
      </w:r>
      <w:r w:rsidR="007E71B6" w:rsidRPr="003E7EE5">
        <w:rPr>
          <w:color w:val="000000" w:themeColor="text1"/>
        </w:rPr>
        <w:t>and</w:t>
      </w:r>
      <w:r w:rsidR="009963A8" w:rsidRPr="003E7EE5">
        <w:rPr>
          <w:color w:val="000000" w:themeColor="text1"/>
        </w:rPr>
        <w:t xml:space="preserve"> Sharma</w:t>
      </w:r>
      <w:r w:rsidR="00A91DE7" w:rsidRPr="003E7EE5">
        <w:rPr>
          <w:color w:val="000000" w:themeColor="text1"/>
        </w:rPr>
        <w:t>, S.</w:t>
      </w:r>
      <w:r w:rsidR="009963A8" w:rsidRPr="003E7EE5">
        <w:rPr>
          <w:color w:val="000000" w:themeColor="text1"/>
        </w:rPr>
        <w:t xml:space="preserve"> </w:t>
      </w:r>
      <w:r w:rsidRPr="003E7EE5">
        <w:rPr>
          <w:color w:val="000000" w:themeColor="text1"/>
        </w:rPr>
        <w:t>(2003)</w:t>
      </w:r>
      <w:r w:rsidR="00AC48CC" w:rsidRPr="003E7EE5">
        <w:rPr>
          <w:color w:val="000000" w:themeColor="text1"/>
        </w:rPr>
        <w:t>,</w:t>
      </w:r>
      <w:r w:rsidRPr="003E7EE5">
        <w:rPr>
          <w:color w:val="000000" w:themeColor="text1"/>
        </w:rPr>
        <w:t xml:space="preserve"> </w:t>
      </w:r>
      <w:r w:rsidRPr="003E7EE5">
        <w:rPr>
          <w:i/>
          <w:color w:val="000000" w:themeColor="text1"/>
        </w:rPr>
        <w:t xml:space="preserve">Scaling </w:t>
      </w:r>
      <w:r w:rsidR="00692F28">
        <w:rPr>
          <w:i/>
          <w:color w:val="000000" w:themeColor="text1"/>
        </w:rPr>
        <w:t>P</w:t>
      </w:r>
      <w:r w:rsidRPr="003E7EE5">
        <w:rPr>
          <w:i/>
          <w:color w:val="000000" w:themeColor="text1"/>
        </w:rPr>
        <w:t xml:space="preserve">rocedures: Issues and </w:t>
      </w:r>
      <w:r w:rsidR="00692F28">
        <w:rPr>
          <w:i/>
          <w:color w:val="000000" w:themeColor="text1"/>
        </w:rPr>
        <w:t>A</w:t>
      </w:r>
      <w:r w:rsidRPr="003E7EE5">
        <w:rPr>
          <w:i/>
          <w:color w:val="000000" w:themeColor="text1"/>
        </w:rPr>
        <w:t>pplications</w:t>
      </w:r>
      <w:r w:rsidR="00692F28">
        <w:rPr>
          <w:iCs/>
          <w:color w:val="000000" w:themeColor="text1"/>
        </w:rPr>
        <w:t>,</w:t>
      </w:r>
      <w:r w:rsidRPr="003E7EE5">
        <w:rPr>
          <w:color w:val="000000" w:themeColor="text1"/>
        </w:rPr>
        <w:t xml:space="preserve"> Sage</w:t>
      </w:r>
      <w:r w:rsidR="00692F28">
        <w:rPr>
          <w:color w:val="000000" w:themeColor="text1"/>
        </w:rPr>
        <w:t>,</w:t>
      </w:r>
      <w:r w:rsidR="00692F28" w:rsidRPr="00692F28">
        <w:rPr>
          <w:color w:val="000000" w:themeColor="text1"/>
        </w:rPr>
        <w:t xml:space="preserve"> </w:t>
      </w:r>
      <w:r w:rsidR="00692F28" w:rsidRPr="003E7EE5">
        <w:rPr>
          <w:color w:val="000000" w:themeColor="text1"/>
        </w:rPr>
        <w:t>London</w:t>
      </w:r>
      <w:r w:rsidRPr="003E7EE5">
        <w:rPr>
          <w:color w:val="000000" w:themeColor="text1"/>
        </w:rPr>
        <w:t>.</w:t>
      </w:r>
    </w:p>
    <w:p w14:paraId="4D9DA9D2" w14:textId="6AB6955B" w:rsidR="003B39C1" w:rsidRPr="003E7EE5" w:rsidRDefault="009963A8"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Nohria, N. </w:t>
      </w:r>
      <w:r w:rsidR="007E71B6" w:rsidRPr="003E7EE5">
        <w:rPr>
          <w:rFonts w:eastAsia="Times New Roman"/>
          <w:color w:val="000000" w:themeColor="text1"/>
          <w:shd w:val="clear" w:color="auto" w:fill="FFFFFF"/>
        </w:rPr>
        <w:t>and</w:t>
      </w:r>
      <w:r w:rsidR="003B39C1" w:rsidRPr="003E7EE5">
        <w:rPr>
          <w:rFonts w:eastAsia="Times New Roman"/>
          <w:color w:val="000000" w:themeColor="text1"/>
          <w:shd w:val="clear" w:color="auto" w:fill="FFFFFF"/>
        </w:rPr>
        <w:t xml:space="preserve"> Gulati, R. (1996)</w:t>
      </w:r>
      <w:r w:rsidR="00AC48CC"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 </w:t>
      </w:r>
      <w:r w:rsidR="00AC48CC"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Is slack good or bad for innovation?</w:t>
      </w:r>
      <w:r w:rsidR="00AC48CC" w:rsidRPr="003E7EE5">
        <w:rPr>
          <w:rFonts w:eastAsia="Times New Roman"/>
          <w:color w:val="000000" w:themeColor="text1"/>
          <w:shd w:val="clear" w:color="auto" w:fill="FFFFFF"/>
        </w:rPr>
        <w:t>”,</w:t>
      </w:r>
      <w:r w:rsidR="00A91DE7" w:rsidRPr="003E7EE5">
        <w:rPr>
          <w:rFonts w:eastAsia="Times New Roman"/>
          <w:color w:val="000000" w:themeColor="text1"/>
          <w:shd w:val="clear" w:color="auto" w:fill="FFFFFF"/>
        </w:rPr>
        <w:t xml:space="preserve"> </w:t>
      </w:r>
      <w:r w:rsidRPr="003E7EE5">
        <w:rPr>
          <w:rFonts w:eastAsia="Times New Roman"/>
          <w:i/>
          <w:iCs/>
          <w:color w:val="000000" w:themeColor="text1"/>
        </w:rPr>
        <w:t>Academy of M</w:t>
      </w:r>
      <w:r w:rsidR="003B39C1" w:rsidRPr="003E7EE5">
        <w:rPr>
          <w:rFonts w:eastAsia="Times New Roman"/>
          <w:i/>
          <w:iCs/>
          <w:color w:val="000000" w:themeColor="text1"/>
        </w:rPr>
        <w:t>anagement Journal</w:t>
      </w:r>
      <w:r w:rsidR="003B39C1"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AC48CC" w:rsidRPr="003E7EE5">
        <w:rPr>
          <w:rFonts w:eastAsia="Times New Roman"/>
          <w:iCs/>
          <w:color w:val="000000" w:themeColor="text1"/>
        </w:rPr>
        <w:t xml:space="preserve">Vol. 39 No. </w:t>
      </w:r>
      <w:r w:rsidR="00355436" w:rsidRPr="003E7EE5">
        <w:rPr>
          <w:rFonts w:eastAsia="Times New Roman"/>
          <w:iCs/>
          <w:color w:val="000000" w:themeColor="text1"/>
        </w:rPr>
        <w:t>5</w:t>
      </w:r>
      <w:r w:rsidR="003B39C1"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 xml:space="preserve">pp. </w:t>
      </w:r>
      <w:r w:rsidR="003B39C1" w:rsidRPr="003E7EE5">
        <w:rPr>
          <w:rFonts w:eastAsia="Times New Roman"/>
          <w:color w:val="000000" w:themeColor="text1"/>
          <w:shd w:val="clear" w:color="auto" w:fill="FFFFFF"/>
        </w:rPr>
        <w:t>1245-1264.</w:t>
      </w:r>
    </w:p>
    <w:p w14:paraId="15E2B4D4" w14:textId="5A3232BE" w:rsidR="0049355C" w:rsidRPr="003E7EE5" w:rsidRDefault="00B64176">
      <w:pPr>
        <w:spacing w:line="360" w:lineRule="auto"/>
        <w:ind w:left="426" w:hanging="426"/>
        <w:rPr>
          <w:color w:val="000000" w:themeColor="text1"/>
        </w:rPr>
      </w:pPr>
      <w:r w:rsidRPr="003E7EE5">
        <w:rPr>
          <w:color w:val="000000" w:themeColor="text1"/>
        </w:rPr>
        <w:t>OECD</w:t>
      </w:r>
      <w:r w:rsidR="003B39C1" w:rsidRPr="003E7EE5">
        <w:rPr>
          <w:color w:val="000000" w:themeColor="text1"/>
        </w:rPr>
        <w:t xml:space="preserve"> (2017)</w:t>
      </w:r>
      <w:r w:rsidR="00692F28">
        <w:rPr>
          <w:color w:val="000000" w:themeColor="text1"/>
        </w:rPr>
        <w:t>, “</w:t>
      </w:r>
      <w:r w:rsidR="003B39C1" w:rsidRPr="005E1791">
        <w:rPr>
          <w:color w:val="000000" w:themeColor="text1"/>
        </w:rPr>
        <w:t>Policy instruments for the environment</w:t>
      </w:r>
      <w:r w:rsidR="00692F28">
        <w:rPr>
          <w:color w:val="000000" w:themeColor="text1"/>
        </w:rPr>
        <w:t>”,</w:t>
      </w:r>
      <w:r w:rsidR="00A91DE7" w:rsidRPr="003E7EE5">
        <w:rPr>
          <w:color w:val="000000" w:themeColor="text1"/>
        </w:rPr>
        <w:t xml:space="preserve"> </w:t>
      </w:r>
      <w:r w:rsidR="00692F28">
        <w:rPr>
          <w:color w:val="000000" w:themeColor="text1"/>
        </w:rPr>
        <w:t>a</w:t>
      </w:r>
      <w:r w:rsidR="007B436F" w:rsidRPr="003E7EE5">
        <w:rPr>
          <w:color w:val="000000" w:themeColor="text1"/>
        </w:rPr>
        <w:t>vailable at:</w:t>
      </w:r>
      <w:r w:rsidR="003B39C1" w:rsidRPr="003E7EE5">
        <w:rPr>
          <w:color w:val="000000" w:themeColor="text1"/>
        </w:rPr>
        <w:t xml:space="preserve"> </w:t>
      </w:r>
      <w:hyperlink r:id="rId12" w:history="1">
        <w:r w:rsidR="0049355C" w:rsidRPr="003E7EE5">
          <w:rPr>
            <w:rStyle w:val="Hyperlink"/>
            <w:color w:val="000000" w:themeColor="text1"/>
          </w:rPr>
          <w:t>https://www.oecd.org/environment/tools-evaluation/PINE_database_brochure.pdf</w:t>
        </w:r>
      </w:hyperlink>
      <w:r w:rsidR="00230562" w:rsidRPr="003E7EE5">
        <w:rPr>
          <w:color w:val="000000" w:themeColor="text1"/>
        </w:rPr>
        <w:t xml:space="preserve"> </w:t>
      </w:r>
      <w:r w:rsidR="007B436F" w:rsidRPr="003E7EE5">
        <w:rPr>
          <w:color w:val="000000" w:themeColor="text1"/>
        </w:rPr>
        <w:t>(accessed 4 July 2023)</w:t>
      </w:r>
      <w:r w:rsidR="00692F28">
        <w:rPr>
          <w:color w:val="000000" w:themeColor="text1"/>
        </w:rPr>
        <w:t>.</w:t>
      </w:r>
    </w:p>
    <w:p w14:paraId="4E21A45E" w14:textId="5AAEA143" w:rsidR="004344A9" w:rsidRPr="003E7EE5" w:rsidRDefault="004344A9" w:rsidP="00F12072">
      <w:pPr>
        <w:spacing w:line="360" w:lineRule="auto"/>
        <w:ind w:left="426" w:hanging="426"/>
        <w:rPr>
          <w:color w:val="000000" w:themeColor="text1"/>
          <w:shd w:val="clear" w:color="auto" w:fill="FFFFFF"/>
        </w:rPr>
      </w:pPr>
      <w:r w:rsidRPr="003E7EE5">
        <w:rPr>
          <w:color w:val="000000" w:themeColor="text1"/>
          <w:shd w:val="clear" w:color="auto" w:fill="FFFFFF"/>
        </w:rPr>
        <w:t>Oh, S., Yoon, S. and Vargas, P. (2019), “</w:t>
      </w:r>
      <w:r w:rsidR="00692F28">
        <w:rPr>
          <w:color w:val="000000" w:themeColor="text1"/>
          <w:shd w:val="clear" w:color="auto" w:fill="FFFFFF"/>
        </w:rPr>
        <w:t>‘</w:t>
      </w:r>
      <w:r w:rsidRPr="003E7EE5">
        <w:rPr>
          <w:color w:val="000000" w:themeColor="text1"/>
          <w:shd w:val="clear" w:color="auto" w:fill="FFFFFF"/>
        </w:rPr>
        <w:t>In-depth</w:t>
      </w:r>
      <w:r w:rsidR="00692F28">
        <w:rPr>
          <w:color w:val="000000" w:themeColor="text1"/>
          <w:shd w:val="clear" w:color="auto" w:fill="FFFFFF"/>
        </w:rPr>
        <w:t>’</w:t>
      </w:r>
      <w:r w:rsidRPr="003E7EE5">
        <w:rPr>
          <w:color w:val="000000" w:themeColor="text1"/>
          <w:shd w:val="clear" w:color="auto" w:fill="FFFFFF"/>
        </w:rPr>
        <w:t xml:space="preserve"> incidental exposure: </w:t>
      </w:r>
      <w:r w:rsidR="00692F28">
        <w:rPr>
          <w:color w:val="000000" w:themeColor="text1"/>
          <w:shd w:val="clear" w:color="auto" w:fill="FFFFFF"/>
        </w:rPr>
        <w:t>h</w:t>
      </w:r>
      <w:r w:rsidRPr="003E7EE5">
        <w:rPr>
          <w:color w:val="000000" w:themeColor="text1"/>
          <w:shd w:val="clear" w:color="auto" w:fill="FFFFFF"/>
        </w:rPr>
        <w:t>ow processing difficulty and processing style affect evaluations of transparent overlay</w:t>
      </w:r>
      <w:r w:rsidR="0017312F" w:rsidRPr="003E7EE5">
        <w:rPr>
          <w:color w:val="000000" w:themeColor="text1"/>
          <w:shd w:val="clear" w:color="auto" w:fill="FFFFFF"/>
        </w:rPr>
        <w:t xml:space="preserve"> </w:t>
      </w:r>
      <w:r w:rsidRPr="003E7EE5">
        <w:rPr>
          <w:color w:val="000000" w:themeColor="text1"/>
          <w:shd w:val="clear" w:color="auto" w:fill="FFFFFF"/>
        </w:rPr>
        <w:t>images”,</w:t>
      </w:r>
      <w:r w:rsidR="00692F28">
        <w:rPr>
          <w:color w:val="000000" w:themeColor="text1"/>
          <w:shd w:val="clear" w:color="auto" w:fill="FFFFFF"/>
        </w:rPr>
        <w:t xml:space="preserve"> </w:t>
      </w:r>
      <w:r w:rsidRPr="003E7EE5">
        <w:rPr>
          <w:i/>
          <w:iCs/>
          <w:color w:val="000000" w:themeColor="text1"/>
          <w:shd w:val="clear" w:color="auto" w:fill="FFFFFF"/>
        </w:rPr>
        <w:t>European Journal of Marketing</w:t>
      </w:r>
      <w:r w:rsidRPr="003E7EE5">
        <w:rPr>
          <w:color w:val="000000" w:themeColor="text1"/>
          <w:shd w:val="clear" w:color="auto" w:fill="FFFFFF"/>
        </w:rPr>
        <w:t>, Vol. 53 No. 2, pp. 279-298.</w:t>
      </w:r>
    </w:p>
    <w:p w14:paraId="7B11883A" w14:textId="7116E27E" w:rsidR="003B39C1" w:rsidRPr="003E7EE5" w:rsidRDefault="003B39C1"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O'Malley, L.,</w:t>
      </w:r>
      <w:r w:rsidR="002A4DC0" w:rsidRPr="003E7EE5">
        <w:rPr>
          <w:rFonts w:eastAsia="Times New Roman"/>
          <w:color w:val="000000" w:themeColor="text1"/>
          <w:shd w:val="clear" w:color="auto" w:fill="FFFFFF"/>
        </w:rPr>
        <w:t xml:space="preserve"> Story</w:t>
      </w:r>
      <w:r w:rsidR="00A91DE7" w:rsidRPr="003E7EE5">
        <w:rPr>
          <w:rFonts w:eastAsia="Times New Roman"/>
          <w:color w:val="000000" w:themeColor="text1"/>
          <w:shd w:val="clear" w:color="auto" w:fill="FFFFFF"/>
        </w:rPr>
        <w:t xml:space="preserve">, V. </w:t>
      </w:r>
      <w:r w:rsidR="007E71B6" w:rsidRPr="003E7EE5">
        <w:rPr>
          <w:rFonts w:eastAsia="Times New Roman"/>
          <w:color w:val="000000" w:themeColor="text1"/>
          <w:shd w:val="clear" w:color="auto" w:fill="FFFFFF"/>
        </w:rPr>
        <w:t>and</w:t>
      </w:r>
      <w:r w:rsidR="002A4DC0"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O'Sullivan, V. (2011)</w:t>
      </w:r>
      <w:r w:rsidR="00AC48CC" w:rsidRPr="003E7EE5">
        <w:rPr>
          <w:rFonts w:eastAsia="Times New Roman"/>
          <w:color w:val="000000" w:themeColor="text1"/>
          <w:shd w:val="clear" w:color="auto" w:fill="FFFFFF"/>
        </w:rPr>
        <w:t>, “</w:t>
      </w:r>
      <w:r w:rsidRPr="003E7EE5">
        <w:rPr>
          <w:rFonts w:eastAsia="Times New Roman"/>
          <w:color w:val="000000" w:themeColor="text1"/>
          <w:shd w:val="clear" w:color="auto" w:fill="FFFFFF"/>
        </w:rPr>
        <w:t>Marketing in a recession: retrench or invest?</w:t>
      </w:r>
      <w:r w:rsidR="00AC48CC"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Journal of Strategic Marketing</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AC48CC" w:rsidRPr="003E7EE5">
        <w:rPr>
          <w:rFonts w:eastAsia="Times New Roman"/>
          <w:iCs/>
          <w:color w:val="000000" w:themeColor="text1"/>
        </w:rPr>
        <w:t xml:space="preserve">Vol. 19 No. </w:t>
      </w:r>
      <w:r w:rsidR="00355436" w:rsidRPr="003E7EE5">
        <w:rPr>
          <w:rFonts w:eastAsia="Times New Roman"/>
          <w:iCs/>
          <w:color w:val="000000" w:themeColor="text1"/>
        </w:rPr>
        <w:t>3</w:t>
      </w:r>
      <w:r w:rsidRPr="003E7EE5">
        <w:rPr>
          <w:rFonts w:eastAsia="Times New Roman"/>
          <w:color w:val="000000" w:themeColor="text1"/>
          <w:shd w:val="clear" w:color="auto" w:fill="FFFFFF"/>
        </w:rPr>
        <w:t xml:space="preserve">, </w:t>
      </w:r>
      <w:r w:rsidR="002A4DC0"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285-310.</w:t>
      </w:r>
    </w:p>
    <w:p w14:paraId="33B0AF1D" w14:textId="7BB15D96" w:rsidR="00BF2E17" w:rsidRPr="003E7EE5" w:rsidRDefault="00BF2E17" w:rsidP="00F12072">
      <w:pPr>
        <w:spacing w:line="360" w:lineRule="auto"/>
        <w:ind w:left="426" w:hanging="426"/>
        <w:rPr>
          <w:rFonts w:eastAsia="Times New Roman"/>
          <w:color w:val="000000" w:themeColor="text1"/>
          <w:szCs w:val="20"/>
          <w:shd w:val="clear" w:color="auto" w:fill="FFFFFF"/>
        </w:rPr>
      </w:pPr>
      <w:proofErr w:type="spellStart"/>
      <w:r w:rsidRPr="003E7EE5">
        <w:rPr>
          <w:rFonts w:eastAsia="Times New Roman"/>
          <w:color w:val="000000" w:themeColor="text1"/>
          <w:szCs w:val="20"/>
          <w:shd w:val="clear" w:color="auto" w:fill="FFFFFF"/>
        </w:rPr>
        <w:t>Orlitzky</w:t>
      </w:r>
      <w:proofErr w:type="spellEnd"/>
      <w:r w:rsidRPr="003E7EE5">
        <w:rPr>
          <w:rFonts w:eastAsia="Times New Roman"/>
          <w:color w:val="000000" w:themeColor="text1"/>
          <w:szCs w:val="20"/>
          <w:shd w:val="clear" w:color="auto" w:fill="FFFFFF"/>
        </w:rPr>
        <w:t>, M., Schmidt</w:t>
      </w:r>
      <w:r w:rsidR="00A91DE7" w:rsidRPr="003E7EE5">
        <w:rPr>
          <w:rFonts w:eastAsia="Times New Roman"/>
          <w:color w:val="000000" w:themeColor="text1"/>
          <w:szCs w:val="20"/>
          <w:shd w:val="clear" w:color="auto" w:fill="FFFFFF"/>
        </w:rPr>
        <w:t>, F.L.</w:t>
      </w:r>
      <w:r w:rsidRPr="003E7EE5">
        <w:rPr>
          <w:rFonts w:eastAsia="Times New Roman"/>
          <w:color w:val="000000" w:themeColor="text1"/>
          <w:szCs w:val="20"/>
          <w:shd w:val="clear" w:color="auto" w:fill="FFFFFF"/>
        </w:rPr>
        <w:t xml:space="preserve"> </w:t>
      </w:r>
      <w:r w:rsidR="007E71B6" w:rsidRPr="003E7EE5">
        <w:rPr>
          <w:rFonts w:eastAsia="Times New Roman"/>
          <w:color w:val="000000" w:themeColor="text1"/>
          <w:szCs w:val="20"/>
          <w:shd w:val="clear" w:color="auto" w:fill="FFFFFF"/>
        </w:rPr>
        <w:t>and</w:t>
      </w:r>
      <w:r w:rsidRPr="003E7EE5">
        <w:rPr>
          <w:rFonts w:eastAsia="Times New Roman"/>
          <w:color w:val="000000" w:themeColor="text1"/>
          <w:szCs w:val="20"/>
          <w:shd w:val="clear" w:color="auto" w:fill="FFFFFF"/>
        </w:rPr>
        <w:t xml:space="preserve"> </w:t>
      </w:r>
      <w:proofErr w:type="spellStart"/>
      <w:r w:rsidRPr="003E7EE5">
        <w:rPr>
          <w:rFonts w:eastAsia="Times New Roman"/>
          <w:color w:val="000000" w:themeColor="text1"/>
          <w:szCs w:val="20"/>
          <w:shd w:val="clear" w:color="auto" w:fill="FFFFFF"/>
        </w:rPr>
        <w:t>Rynes</w:t>
      </w:r>
      <w:proofErr w:type="spellEnd"/>
      <w:r w:rsidR="00A91DE7" w:rsidRPr="003E7EE5">
        <w:rPr>
          <w:rFonts w:eastAsia="Times New Roman"/>
          <w:color w:val="000000" w:themeColor="text1"/>
          <w:szCs w:val="20"/>
          <w:shd w:val="clear" w:color="auto" w:fill="FFFFFF"/>
        </w:rPr>
        <w:t>, S.L.</w:t>
      </w:r>
      <w:r w:rsidRPr="003E7EE5">
        <w:rPr>
          <w:rFonts w:eastAsia="Times New Roman"/>
          <w:color w:val="000000" w:themeColor="text1"/>
          <w:szCs w:val="20"/>
          <w:shd w:val="clear" w:color="auto" w:fill="FFFFFF"/>
        </w:rPr>
        <w:t xml:space="preserve"> (2003)</w:t>
      </w:r>
      <w:r w:rsidR="00F67E61"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F67E61"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Corporate social and financial performance: </w:t>
      </w:r>
      <w:r w:rsidR="00692F28">
        <w:rPr>
          <w:rFonts w:eastAsia="Times New Roman"/>
          <w:color w:val="000000" w:themeColor="text1"/>
          <w:szCs w:val="20"/>
          <w:shd w:val="clear" w:color="auto" w:fill="FFFFFF"/>
        </w:rPr>
        <w:t>a</w:t>
      </w:r>
      <w:r w:rsidRPr="003E7EE5">
        <w:rPr>
          <w:rFonts w:eastAsia="Times New Roman"/>
          <w:color w:val="000000" w:themeColor="text1"/>
          <w:szCs w:val="20"/>
          <w:shd w:val="clear" w:color="auto" w:fill="FFFFFF"/>
        </w:rPr>
        <w:t xml:space="preserve"> meta-analysis</w:t>
      </w:r>
      <w:r w:rsidR="00F67E61" w:rsidRPr="003E7EE5">
        <w:rPr>
          <w:rFonts w:eastAsia="Times New Roman"/>
          <w:color w:val="000000" w:themeColor="text1"/>
          <w:szCs w:val="20"/>
          <w:shd w:val="clear" w:color="auto" w:fill="FFFFFF"/>
        </w:rPr>
        <w:t>”</w:t>
      </w:r>
      <w:r w:rsidR="00355436"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Pr="003E7EE5">
        <w:rPr>
          <w:rFonts w:eastAsia="Times New Roman"/>
          <w:i/>
          <w:iCs/>
          <w:color w:val="000000" w:themeColor="text1"/>
          <w:szCs w:val="20"/>
        </w:rPr>
        <w:t xml:space="preserve">Organization </w:t>
      </w:r>
      <w:r w:rsidR="00F67E61" w:rsidRPr="003E7EE5">
        <w:rPr>
          <w:rFonts w:eastAsia="Times New Roman"/>
          <w:i/>
          <w:iCs/>
          <w:color w:val="000000" w:themeColor="text1"/>
          <w:szCs w:val="20"/>
        </w:rPr>
        <w:t>S</w:t>
      </w:r>
      <w:r w:rsidRPr="003E7EE5">
        <w:rPr>
          <w:rFonts w:eastAsia="Times New Roman"/>
          <w:i/>
          <w:iCs/>
          <w:color w:val="000000" w:themeColor="text1"/>
          <w:szCs w:val="20"/>
        </w:rPr>
        <w:t>tudies</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F67E61" w:rsidRPr="003E7EE5">
        <w:rPr>
          <w:rFonts w:eastAsia="Times New Roman"/>
          <w:iCs/>
          <w:color w:val="000000" w:themeColor="text1"/>
          <w:szCs w:val="20"/>
        </w:rPr>
        <w:t>Vol. 24 No. 3</w:t>
      </w:r>
      <w:r w:rsidRPr="003E7EE5">
        <w:rPr>
          <w:rFonts w:eastAsia="Times New Roman"/>
          <w:color w:val="000000" w:themeColor="text1"/>
          <w:szCs w:val="20"/>
          <w:shd w:val="clear" w:color="auto" w:fill="FFFFFF"/>
        </w:rPr>
        <w:t>, pp.</w:t>
      </w:r>
      <w:r w:rsidR="00A91DE7" w:rsidRPr="003E7EE5">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403-441.</w:t>
      </w:r>
    </w:p>
    <w:p w14:paraId="7C282C34" w14:textId="48439584" w:rsidR="00BD26ED" w:rsidRPr="003E7EE5" w:rsidRDefault="00BD26ED" w:rsidP="00F12072">
      <w:pPr>
        <w:spacing w:line="360" w:lineRule="auto"/>
        <w:ind w:left="426" w:hanging="426"/>
        <w:rPr>
          <w:color w:val="000000" w:themeColor="text1"/>
          <w:shd w:val="clear" w:color="auto" w:fill="FFFFFF"/>
        </w:rPr>
      </w:pPr>
      <w:r w:rsidRPr="003E7EE5">
        <w:rPr>
          <w:color w:val="000000" w:themeColor="text1"/>
          <w:shd w:val="clear" w:color="auto" w:fill="FFFFFF"/>
        </w:rPr>
        <w:t>Ortiz</w:t>
      </w:r>
      <w:r w:rsidR="00300ACD">
        <w:rPr>
          <w:color w:val="000000" w:themeColor="text1"/>
          <w:shd w:val="clear" w:color="auto" w:fill="FFFFFF"/>
        </w:rPr>
        <w:t>-</w:t>
      </w:r>
      <w:r w:rsidRPr="003E7EE5">
        <w:rPr>
          <w:color w:val="000000" w:themeColor="text1"/>
          <w:shd w:val="clear" w:color="auto" w:fill="FFFFFF"/>
        </w:rPr>
        <w:t>de</w:t>
      </w:r>
      <w:r w:rsidR="00300ACD">
        <w:rPr>
          <w:color w:val="000000" w:themeColor="text1"/>
          <w:shd w:val="clear" w:color="auto" w:fill="FFFFFF"/>
        </w:rPr>
        <w:t>-</w:t>
      </w:r>
      <w:proofErr w:type="spellStart"/>
      <w:r w:rsidRPr="003E7EE5">
        <w:rPr>
          <w:color w:val="000000" w:themeColor="text1"/>
          <w:shd w:val="clear" w:color="auto" w:fill="FFFFFF"/>
        </w:rPr>
        <w:t>Mandojana</w:t>
      </w:r>
      <w:proofErr w:type="spellEnd"/>
      <w:r w:rsidRPr="003E7EE5">
        <w:rPr>
          <w:color w:val="000000" w:themeColor="text1"/>
          <w:shd w:val="clear" w:color="auto" w:fill="FFFFFF"/>
        </w:rPr>
        <w:t>, N. and Bansal, P. (2016), “The long‐term benefits of organizational resilience through sustainable business practices”, </w:t>
      </w:r>
      <w:r w:rsidRPr="003E7EE5">
        <w:rPr>
          <w:i/>
          <w:iCs/>
          <w:color w:val="000000" w:themeColor="text1"/>
          <w:shd w:val="clear" w:color="auto" w:fill="FFFFFF"/>
        </w:rPr>
        <w:t>Strategic Management Journal</w:t>
      </w:r>
      <w:r w:rsidRPr="003E7EE5">
        <w:rPr>
          <w:color w:val="000000" w:themeColor="text1"/>
          <w:shd w:val="clear" w:color="auto" w:fill="FFFFFF"/>
        </w:rPr>
        <w:t>, Vol. 37 No. 8, pp. 1615-1631.</w:t>
      </w:r>
    </w:p>
    <w:p w14:paraId="62E0FD92" w14:textId="528DCE8E" w:rsidR="0049601E" w:rsidRPr="003E7EE5" w:rsidRDefault="0049601E" w:rsidP="0049601E">
      <w:pPr>
        <w:spacing w:line="360" w:lineRule="auto"/>
        <w:ind w:left="426" w:hanging="426"/>
        <w:rPr>
          <w:rFonts w:eastAsia="Times New Roman"/>
          <w:color w:val="000000" w:themeColor="text1"/>
          <w:sz w:val="48"/>
          <w:szCs w:val="48"/>
          <w:shd w:val="clear" w:color="auto" w:fill="FFFFFF"/>
        </w:rPr>
      </w:pPr>
      <w:proofErr w:type="spellStart"/>
      <w:r w:rsidRPr="003E7EE5">
        <w:rPr>
          <w:color w:val="000000" w:themeColor="text1"/>
          <w:shd w:val="clear" w:color="auto" w:fill="FFFFFF"/>
        </w:rPr>
        <w:lastRenderedPageBreak/>
        <w:t>Özturan</w:t>
      </w:r>
      <w:proofErr w:type="spellEnd"/>
      <w:r w:rsidRPr="003E7EE5">
        <w:rPr>
          <w:color w:val="000000" w:themeColor="text1"/>
          <w:shd w:val="clear" w:color="auto" w:fill="FFFFFF"/>
        </w:rPr>
        <w:t>, P. and Grinstein, A. (2022), “Can the marketing department benefit from socially responsible marketing activities? The role of legitimacy and customers’ interest in social responsibility”, </w:t>
      </w:r>
      <w:r w:rsidRPr="003E7EE5">
        <w:rPr>
          <w:i/>
          <w:iCs/>
          <w:color w:val="000000" w:themeColor="text1"/>
          <w:shd w:val="clear" w:color="auto" w:fill="FFFFFF"/>
        </w:rPr>
        <w:t>European Journal of Marketing</w:t>
      </w:r>
      <w:r w:rsidRPr="003E7EE5">
        <w:rPr>
          <w:color w:val="000000" w:themeColor="text1"/>
          <w:shd w:val="clear" w:color="auto" w:fill="FFFFFF"/>
        </w:rPr>
        <w:t>, Vol. 56 No. 2, pp. 400-441.</w:t>
      </w:r>
    </w:p>
    <w:p w14:paraId="590ADAA0" w14:textId="63CBD453" w:rsidR="00344463" w:rsidRPr="003E7EE5" w:rsidRDefault="00344463" w:rsidP="00F12072">
      <w:pPr>
        <w:spacing w:line="360" w:lineRule="auto"/>
        <w:ind w:left="426" w:hanging="426"/>
        <w:rPr>
          <w:rFonts w:eastAsia="Times New Roman"/>
          <w:color w:val="000000" w:themeColor="text1"/>
          <w:sz w:val="72"/>
          <w:szCs w:val="48"/>
        </w:rPr>
      </w:pPr>
      <w:r w:rsidRPr="003E7EE5">
        <w:rPr>
          <w:color w:val="000000" w:themeColor="text1"/>
          <w:shd w:val="clear" w:color="auto" w:fill="FFFFFF"/>
        </w:rPr>
        <w:t xml:space="preserve">Papadas, K. and Avlonitis, G.J. (2014), “The 4 Cs of environmental business: </w:t>
      </w:r>
      <w:r w:rsidR="00692F28">
        <w:rPr>
          <w:color w:val="000000" w:themeColor="text1"/>
          <w:shd w:val="clear" w:color="auto" w:fill="FFFFFF"/>
        </w:rPr>
        <w:t>i</w:t>
      </w:r>
      <w:r w:rsidRPr="003E7EE5">
        <w:rPr>
          <w:color w:val="000000" w:themeColor="text1"/>
          <w:shd w:val="clear" w:color="auto" w:fill="FFFFFF"/>
        </w:rPr>
        <w:t>ntroducing a new conceptual framework”, </w:t>
      </w:r>
      <w:r w:rsidRPr="003E7EE5">
        <w:rPr>
          <w:i/>
          <w:iCs/>
          <w:color w:val="000000" w:themeColor="text1"/>
          <w:shd w:val="clear" w:color="auto" w:fill="FFFFFF"/>
        </w:rPr>
        <w:t>Social Business</w:t>
      </w:r>
      <w:r w:rsidRPr="003E7EE5">
        <w:rPr>
          <w:color w:val="000000" w:themeColor="text1"/>
          <w:shd w:val="clear" w:color="auto" w:fill="FFFFFF"/>
        </w:rPr>
        <w:t>, Vol. 4 No. 4, pp.</w:t>
      </w:r>
      <w:r w:rsidR="00692F28">
        <w:rPr>
          <w:color w:val="000000" w:themeColor="text1"/>
          <w:shd w:val="clear" w:color="auto" w:fill="FFFFFF"/>
        </w:rPr>
        <w:t xml:space="preserve"> </w:t>
      </w:r>
      <w:r w:rsidRPr="003E7EE5">
        <w:rPr>
          <w:color w:val="000000" w:themeColor="text1"/>
          <w:shd w:val="clear" w:color="auto" w:fill="FFFFFF"/>
        </w:rPr>
        <w:t>345-360.</w:t>
      </w:r>
    </w:p>
    <w:p w14:paraId="27C4B635" w14:textId="0E68F104" w:rsidR="003B39C1" w:rsidRPr="003E7EE5" w:rsidRDefault="00AB2B85" w:rsidP="005E1791">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Papadas, K.</w:t>
      </w:r>
      <w:r w:rsidR="003B39C1" w:rsidRPr="003E7EE5">
        <w:rPr>
          <w:rFonts w:eastAsia="Times New Roman"/>
          <w:color w:val="000000" w:themeColor="text1"/>
          <w:shd w:val="clear" w:color="auto" w:fill="FFFFFF"/>
        </w:rPr>
        <w:t>,</w:t>
      </w:r>
      <w:r w:rsidR="00A91DE7" w:rsidRPr="003E7EE5">
        <w:rPr>
          <w:rFonts w:eastAsia="Times New Roman"/>
          <w:color w:val="000000" w:themeColor="text1"/>
          <w:shd w:val="clear" w:color="auto" w:fill="FFFFFF"/>
        </w:rPr>
        <w:t xml:space="preserve"> </w:t>
      </w:r>
      <w:r w:rsidR="002A4DC0" w:rsidRPr="003E7EE5">
        <w:rPr>
          <w:rFonts w:eastAsia="Times New Roman"/>
          <w:color w:val="000000" w:themeColor="text1"/>
          <w:shd w:val="clear" w:color="auto" w:fill="FFFFFF"/>
        </w:rPr>
        <w:t>Avlonitis</w:t>
      </w:r>
      <w:r w:rsidR="00A91DE7" w:rsidRPr="003E7EE5">
        <w:rPr>
          <w:rFonts w:eastAsia="Times New Roman"/>
          <w:color w:val="000000" w:themeColor="text1"/>
          <w:shd w:val="clear" w:color="auto" w:fill="FFFFFF"/>
        </w:rPr>
        <w:t>, G.J.</w:t>
      </w:r>
      <w:r w:rsidR="002A4DC0"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2A4DC0" w:rsidRPr="003E7EE5">
        <w:rPr>
          <w:rFonts w:eastAsia="Times New Roman"/>
          <w:color w:val="000000" w:themeColor="text1"/>
          <w:shd w:val="clear" w:color="auto" w:fill="FFFFFF"/>
        </w:rPr>
        <w:t xml:space="preserve"> Carrigan,</w:t>
      </w:r>
      <w:r w:rsidR="00A91DE7" w:rsidRPr="003E7EE5">
        <w:rPr>
          <w:rFonts w:eastAsia="Times New Roman"/>
          <w:color w:val="000000" w:themeColor="text1"/>
          <w:shd w:val="clear" w:color="auto" w:fill="FFFFFF"/>
        </w:rPr>
        <w:t xml:space="preserve"> M.</w:t>
      </w:r>
      <w:r w:rsidR="003B39C1" w:rsidRPr="003E7EE5">
        <w:rPr>
          <w:rFonts w:eastAsia="Times New Roman"/>
          <w:color w:val="000000" w:themeColor="text1"/>
          <w:shd w:val="clear" w:color="auto" w:fill="FFFFFF"/>
        </w:rPr>
        <w:t xml:space="preserve"> (2017)</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Green marketing orientation: </w:t>
      </w:r>
      <w:r w:rsidR="00692F28">
        <w:rPr>
          <w:rFonts w:eastAsia="Times New Roman"/>
          <w:color w:val="000000" w:themeColor="text1"/>
          <w:shd w:val="clear" w:color="auto" w:fill="FFFFFF"/>
        </w:rPr>
        <w:t>c</w:t>
      </w:r>
      <w:r w:rsidR="003B39C1" w:rsidRPr="003E7EE5">
        <w:rPr>
          <w:rFonts w:eastAsia="Times New Roman"/>
          <w:color w:val="000000" w:themeColor="text1"/>
          <w:shd w:val="clear" w:color="auto" w:fill="FFFFFF"/>
        </w:rPr>
        <w:t>onceptualization, scale development and validation</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w:t>
      </w:r>
      <w:r w:rsidR="003B39C1" w:rsidRPr="003E7EE5">
        <w:rPr>
          <w:rFonts w:eastAsia="Times New Roman"/>
          <w:i/>
          <w:iCs/>
          <w:color w:val="000000" w:themeColor="text1"/>
        </w:rPr>
        <w:t>Journal of Business Research</w:t>
      </w:r>
      <w:r w:rsidR="002A4DC0"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Vol. 80</w:t>
      </w:r>
      <w:r w:rsidR="00F67E61" w:rsidRPr="005E1791">
        <w:rPr>
          <w:rFonts w:eastAsia="Times New Roman"/>
          <w:color w:val="000000" w:themeColor="text1"/>
          <w:shd w:val="clear" w:color="auto" w:fill="FFFFFF"/>
        </w:rPr>
        <w:t>,</w:t>
      </w:r>
      <w:r w:rsidR="00F67E61" w:rsidRPr="003E7EE5">
        <w:rPr>
          <w:rFonts w:eastAsia="Times New Roman"/>
          <w:i/>
          <w:iCs/>
          <w:color w:val="000000" w:themeColor="text1"/>
          <w:shd w:val="clear" w:color="auto" w:fill="FFFFFF"/>
        </w:rPr>
        <w:t xml:space="preserve"> </w:t>
      </w:r>
      <w:r w:rsidR="002A4DC0" w:rsidRPr="003E7EE5">
        <w:rPr>
          <w:rFonts w:eastAsia="Times New Roman"/>
          <w:color w:val="000000" w:themeColor="text1"/>
          <w:shd w:val="clear" w:color="auto" w:fill="FFFFFF"/>
        </w:rPr>
        <w:t xml:space="preserve">pp. </w:t>
      </w:r>
      <w:r w:rsidR="003B39C1" w:rsidRPr="003E7EE5">
        <w:rPr>
          <w:rFonts w:eastAsia="Times New Roman"/>
          <w:color w:val="000000" w:themeColor="text1"/>
          <w:shd w:val="clear" w:color="auto" w:fill="FFFFFF"/>
        </w:rPr>
        <w:t>236-246.</w:t>
      </w:r>
    </w:p>
    <w:p w14:paraId="408ECD5F" w14:textId="027F870D" w:rsidR="003B39C1" w:rsidRPr="003E7EE5" w:rsidRDefault="00AB2B85" w:rsidP="005E1791">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Papadas, K.</w:t>
      </w:r>
      <w:r w:rsidR="003B39C1" w:rsidRPr="003E7EE5">
        <w:rPr>
          <w:rFonts w:eastAsia="Times New Roman"/>
          <w:color w:val="000000" w:themeColor="text1"/>
          <w:shd w:val="clear" w:color="auto" w:fill="FFFFFF"/>
        </w:rPr>
        <w:t xml:space="preserve">, </w:t>
      </w:r>
      <w:r w:rsidR="002A4DC0" w:rsidRPr="003E7EE5">
        <w:rPr>
          <w:rFonts w:eastAsia="Times New Roman"/>
          <w:color w:val="000000" w:themeColor="text1"/>
          <w:shd w:val="clear" w:color="auto" w:fill="FFFFFF"/>
        </w:rPr>
        <w:t>Avlonitis</w:t>
      </w:r>
      <w:r w:rsidR="00A91DE7" w:rsidRPr="003E7EE5">
        <w:rPr>
          <w:rFonts w:eastAsia="Times New Roman"/>
          <w:color w:val="000000" w:themeColor="text1"/>
          <w:shd w:val="clear" w:color="auto" w:fill="FFFFFF"/>
        </w:rPr>
        <w:t>, G.J.</w:t>
      </w:r>
      <w:r w:rsidR="002A4DC0" w:rsidRPr="003E7EE5">
        <w:rPr>
          <w:rFonts w:eastAsia="Times New Roman"/>
          <w:color w:val="000000" w:themeColor="text1"/>
          <w:shd w:val="clear" w:color="auto" w:fill="FFFFFF"/>
        </w:rPr>
        <w:t>, Carrigan</w:t>
      </w:r>
      <w:r w:rsidR="00A91DE7" w:rsidRPr="003E7EE5">
        <w:rPr>
          <w:rFonts w:eastAsia="Times New Roman"/>
          <w:color w:val="000000" w:themeColor="text1"/>
          <w:shd w:val="clear" w:color="auto" w:fill="FFFFFF"/>
        </w:rPr>
        <w:t>, M.</w:t>
      </w:r>
      <w:r w:rsidR="002A4DC0"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2A4DC0" w:rsidRPr="003E7EE5">
        <w:rPr>
          <w:rFonts w:eastAsia="Times New Roman"/>
          <w:color w:val="000000" w:themeColor="text1"/>
          <w:shd w:val="clear" w:color="auto" w:fill="FFFFFF"/>
        </w:rPr>
        <w:t xml:space="preserve"> Piha</w:t>
      </w:r>
      <w:r w:rsidR="00A91DE7" w:rsidRPr="003E7EE5">
        <w:rPr>
          <w:rFonts w:eastAsia="Times New Roman"/>
          <w:color w:val="000000" w:themeColor="text1"/>
          <w:shd w:val="clear" w:color="auto" w:fill="FFFFFF"/>
        </w:rPr>
        <w:t>, L.</w:t>
      </w:r>
      <w:r w:rsidR="003B39C1" w:rsidRPr="003E7EE5">
        <w:rPr>
          <w:rFonts w:eastAsia="Times New Roman"/>
          <w:color w:val="000000" w:themeColor="text1"/>
          <w:shd w:val="clear" w:color="auto" w:fill="FFFFFF"/>
        </w:rPr>
        <w:t xml:space="preserve"> (2019) </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The interplay of strategic and internal green marketing orien</w:t>
      </w:r>
      <w:r w:rsidR="002A4DC0" w:rsidRPr="003E7EE5">
        <w:rPr>
          <w:rFonts w:eastAsia="Times New Roman"/>
          <w:color w:val="000000" w:themeColor="text1"/>
          <w:shd w:val="clear" w:color="auto" w:fill="FFFFFF"/>
        </w:rPr>
        <w:t>tation on competitive advantage</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w:t>
      </w:r>
      <w:r w:rsidR="003B39C1" w:rsidRPr="003E7EE5">
        <w:rPr>
          <w:rFonts w:eastAsia="Times New Roman"/>
          <w:i/>
          <w:iCs/>
          <w:color w:val="000000" w:themeColor="text1"/>
        </w:rPr>
        <w:t>Journal of Business Research</w:t>
      </w:r>
      <w:r w:rsidR="003B39C1"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Vol. 109</w:t>
      </w:r>
      <w:r w:rsidR="003B39C1" w:rsidRPr="003E7EE5">
        <w:rPr>
          <w:rFonts w:eastAsia="Times New Roman"/>
          <w:color w:val="000000" w:themeColor="text1"/>
          <w:shd w:val="clear" w:color="auto" w:fill="FFFFFF"/>
        </w:rPr>
        <w:t xml:space="preserve">, </w:t>
      </w:r>
      <w:r w:rsidR="002A4DC0" w:rsidRPr="003E7EE5">
        <w:rPr>
          <w:rFonts w:eastAsia="Times New Roman"/>
          <w:color w:val="000000" w:themeColor="text1"/>
          <w:shd w:val="clear" w:color="auto" w:fill="FFFFFF"/>
        </w:rPr>
        <w:t xml:space="preserve">pp. </w:t>
      </w:r>
      <w:r w:rsidR="003B39C1" w:rsidRPr="003E7EE5">
        <w:rPr>
          <w:rFonts w:eastAsia="Times New Roman"/>
          <w:color w:val="000000" w:themeColor="text1"/>
          <w:shd w:val="clear" w:color="auto" w:fill="FFFFFF"/>
        </w:rPr>
        <w:t>632-643.</w:t>
      </w:r>
    </w:p>
    <w:p w14:paraId="66A64D34" w14:textId="716CA236" w:rsidR="001073B7" w:rsidRDefault="001073B7" w:rsidP="005E1791">
      <w:pPr>
        <w:tabs>
          <w:tab w:val="left" w:pos="284"/>
        </w:tabs>
        <w:spacing w:line="360" w:lineRule="auto"/>
        <w:ind w:left="426" w:hanging="426"/>
        <w:outlineLvl w:val="0"/>
        <w:rPr>
          <w:color w:val="000000" w:themeColor="text1"/>
          <w:sz w:val="36"/>
          <w:szCs w:val="36"/>
        </w:rPr>
      </w:pPr>
      <w:r w:rsidRPr="003E7EE5">
        <w:rPr>
          <w:color w:val="000000" w:themeColor="text1"/>
          <w:shd w:val="clear" w:color="auto" w:fill="FFFFFF"/>
        </w:rPr>
        <w:t>Polonsky, M.J. (2011)</w:t>
      </w:r>
      <w:r w:rsidR="00F67E61" w:rsidRPr="003E7EE5">
        <w:rPr>
          <w:color w:val="000000" w:themeColor="text1"/>
          <w:shd w:val="clear" w:color="auto" w:fill="FFFFFF"/>
        </w:rPr>
        <w:t>,</w:t>
      </w:r>
      <w:r w:rsidRPr="003E7EE5">
        <w:rPr>
          <w:color w:val="000000" w:themeColor="text1"/>
          <w:shd w:val="clear" w:color="auto" w:fill="FFFFFF"/>
        </w:rPr>
        <w:t xml:space="preserve"> </w:t>
      </w:r>
      <w:r w:rsidR="00F67E61" w:rsidRPr="003E7EE5">
        <w:rPr>
          <w:color w:val="000000" w:themeColor="text1"/>
          <w:shd w:val="clear" w:color="auto" w:fill="FFFFFF"/>
        </w:rPr>
        <w:t>“</w:t>
      </w:r>
      <w:r w:rsidRPr="003E7EE5">
        <w:rPr>
          <w:color w:val="000000" w:themeColor="text1"/>
          <w:shd w:val="clear" w:color="auto" w:fill="FFFFFF"/>
        </w:rPr>
        <w:t xml:space="preserve">Transformative green marketing: Impediments and </w:t>
      </w:r>
      <w:r w:rsidR="00F67E61" w:rsidRPr="003E7EE5">
        <w:rPr>
          <w:color w:val="000000" w:themeColor="text1"/>
          <w:shd w:val="clear" w:color="auto" w:fill="FFFFFF"/>
        </w:rPr>
        <w:t>O</w:t>
      </w:r>
      <w:r w:rsidRPr="003E7EE5">
        <w:rPr>
          <w:color w:val="000000" w:themeColor="text1"/>
          <w:shd w:val="clear" w:color="auto" w:fill="FFFFFF"/>
        </w:rPr>
        <w:t>pportunities</w:t>
      </w:r>
      <w:r w:rsidR="00F67E61" w:rsidRPr="003E7EE5">
        <w:rPr>
          <w:color w:val="000000" w:themeColor="text1"/>
          <w:shd w:val="clear" w:color="auto" w:fill="FFFFFF"/>
        </w:rPr>
        <w:t>”,</w:t>
      </w:r>
      <w:r w:rsidRPr="003E7EE5">
        <w:rPr>
          <w:color w:val="000000" w:themeColor="text1"/>
          <w:shd w:val="clear" w:color="auto" w:fill="FFFFFF"/>
        </w:rPr>
        <w:t> </w:t>
      </w:r>
      <w:r w:rsidRPr="003E7EE5">
        <w:rPr>
          <w:i/>
          <w:iCs/>
          <w:color w:val="000000" w:themeColor="text1"/>
          <w:shd w:val="clear" w:color="auto" w:fill="FFFFFF"/>
        </w:rPr>
        <w:t xml:space="preserve">Journal of </w:t>
      </w:r>
      <w:r w:rsidR="00F67E61" w:rsidRPr="003E7EE5">
        <w:rPr>
          <w:i/>
          <w:iCs/>
          <w:color w:val="000000" w:themeColor="text1"/>
          <w:shd w:val="clear" w:color="auto" w:fill="FFFFFF"/>
        </w:rPr>
        <w:t>B</w:t>
      </w:r>
      <w:r w:rsidRPr="003E7EE5">
        <w:rPr>
          <w:i/>
          <w:iCs/>
          <w:color w:val="000000" w:themeColor="text1"/>
          <w:shd w:val="clear" w:color="auto" w:fill="FFFFFF"/>
        </w:rPr>
        <w:t xml:space="preserve">usiness </w:t>
      </w:r>
      <w:r w:rsidR="00F67E61" w:rsidRPr="003E7EE5">
        <w:rPr>
          <w:i/>
          <w:iCs/>
          <w:color w:val="000000" w:themeColor="text1"/>
          <w:shd w:val="clear" w:color="auto" w:fill="FFFFFF"/>
        </w:rPr>
        <w:t>R</w:t>
      </w:r>
      <w:r w:rsidRPr="003E7EE5">
        <w:rPr>
          <w:i/>
          <w:iCs/>
          <w:color w:val="000000" w:themeColor="text1"/>
          <w:shd w:val="clear" w:color="auto" w:fill="FFFFFF"/>
        </w:rPr>
        <w:t>esearch</w:t>
      </w:r>
      <w:r w:rsidRPr="003E7EE5">
        <w:rPr>
          <w:color w:val="000000" w:themeColor="text1"/>
          <w:shd w:val="clear" w:color="auto" w:fill="FFFFFF"/>
        </w:rPr>
        <w:t>, </w:t>
      </w:r>
      <w:r w:rsidR="00F67E61" w:rsidRPr="003E7EE5">
        <w:rPr>
          <w:color w:val="000000" w:themeColor="text1"/>
          <w:shd w:val="clear" w:color="auto" w:fill="FFFFFF"/>
        </w:rPr>
        <w:t>Vol. 64 No. 12</w:t>
      </w:r>
      <w:r w:rsidRPr="003E7EE5">
        <w:rPr>
          <w:color w:val="000000" w:themeColor="text1"/>
          <w:shd w:val="clear" w:color="auto" w:fill="FFFFFF"/>
        </w:rPr>
        <w:t xml:space="preserve">, </w:t>
      </w:r>
      <w:r w:rsidR="00F67E61" w:rsidRPr="003E7EE5">
        <w:rPr>
          <w:color w:val="000000" w:themeColor="text1"/>
          <w:shd w:val="clear" w:color="auto" w:fill="FFFFFF"/>
        </w:rPr>
        <w:t xml:space="preserve">pp. </w:t>
      </w:r>
      <w:r w:rsidRPr="003E7EE5">
        <w:rPr>
          <w:color w:val="000000" w:themeColor="text1"/>
          <w:shd w:val="clear" w:color="auto" w:fill="FFFFFF"/>
        </w:rPr>
        <w:t>1311-1319.</w:t>
      </w:r>
      <w:r w:rsidRPr="003E7EE5">
        <w:rPr>
          <w:color w:val="000000" w:themeColor="text1"/>
          <w:sz w:val="36"/>
          <w:szCs w:val="36"/>
        </w:rPr>
        <w:t xml:space="preserve"> </w:t>
      </w:r>
    </w:p>
    <w:p w14:paraId="1ABF4F0B" w14:textId="5267C9F9" w:rsidR="0003170C" w:rsidRPr="0003170C" w:rsidRDefault="0003170C" w:rsidP="005E1791">
      <w:pPr>
        <w:tabs>
          <w:tab w:val="left" w:pos="284"/>
        </w:tabs>
        <w:spacing w:line="360" w:lineRule="auto"/>
        <w:ind w:left="426" w:hanging="426"/>
        <w:outlineLvl w:val="0"/>
        <w:rPr>
          <w:color w:val="000000" w:themeColor="text1"/>
          <w:sz w:val="48"/>
          <w:szCs w:val="48"/>
        </w:rPr>
      </w:pPr>
      <w:r w:rsidRPr="0003170C">
        <w:rPr>
          <w:color w:val="000000" w:themeColor="text1"/>
          <w:shd w:val="clear" w:color="auto" w:fill="FFFFFF"/>
        </w:rPr>
        <w:t>Ping Jr, R. A. (1995)</w:t>
      </w:r>
      <w:r>
        <w:rPr>
          <w:color w:val="000000" w:themeColor="text1"/>
          <w:shd w:val="clear" w:color="auto" w:fill="FFFFFF"/>
        </w:rPr>
        <w:t>, “</w:t>
      </w:r>
      <w:r w:rsidRPr="0003170C">
        <w:rPr>
          <w:color w:val="000000" w:themeColor="text1"/>
          <w:shd w:val="clear" w:color="auto" w:fill="FFFFFF"/>
        </w:rPr>
        <w:t>A parsimonious estimating technique for interaction and quadratic latent variables</w:t>
      </w:r>
      <w:proofErr w:type="gramStart"/>
      <w:r>
        <w:rPr>
          <w:color w:val="000000" w:themeColor="text1"/>
          <w:shd w:val="clear" w:color="auto" w:fill="FFFFFF"/>
        </w:rPr>
        <w:t xml:space="preserve">”, </w:t>
      </w:r>
      <w:r w:rsidRPr="0003170C">
        <w:rPr>
          <w:color w:val="000000" w:themeColor="text1"/>
          <w:shd w:val="clear" w:color="auto" w:fill="FFFFFF"/>
        </w:rPr>
        <w:t> </w:t>
      </w:r>
      <w:r w:rsidRPr="0003170C">
        <w:rPr>
          <w:i/>
          <w:iCs/>
          <w:color w:val="000000" w:themeColor="text1"/>
          <w:shd w:val="clear" w:color="auto" w:fill="FFFFFF"/>
        </w:rPr>
        <w:t>Journal</w:t>
      </w:r>
      <w:proofErr w:type="gramEnd"/>
      <w:r w:rsidRPr="0003170C">
        <w:rPr>
          <w:i/>
          <w:iCs/>
          <w:color w:val="000000" w:themeColor="text1"/>
          <w:shd w:val="clear" w:color="auto" w:fill="FFFFFF"/>
        </w:rPr>
        <w:t xml:space="preserve"> of marketing research</w:t>
      </w:r>
      <w:r w:rsidRPr="0003170C">
        <w:rPr>
          <w:color w:val="000000" w:themeColor="text1"/>
          <w:shd w:val="clear" w:color="auto" w:fill="FFFFFF"/>
        </w:rPr>
        <w:t>, </w:t>
      </w:r>
      <w:r>
        <w:rPr>
          <w:color w:val="000000" w:themeColor="text1"/>
          <w:shd w:val="clear" w:color="auto" w:fill="FFFFFF"/>
        </w:rPr>
        <w:t>Vol. 32 No. 3</w:t>
      </w:r>
      <w:r w:rsidRPr="0003170C">
        <w:rPr>
          <w:color w:val="000000" w:themeColor="text1"/>
          <w:shd w:val="clear" w:color="auto" w:fill="FFFFFF"/>
        </w:rPr>
        <w:t xml:space="preserve">, </w:t>
      </w:r>
      <w:r>
        <w:rPr>
          <w:color w:val="000000" w:themeColor="text1"/>
          <w:shd w:val="clear" w:color="auto" w:fill="FFFFFF"/>
        </w:rPr>
        <w:t xml:space="preserve">pp. </w:t>
      </w:r>
      <w:r w:rsidRPr="0003170C">
        <w:rPr>
          <w:color w:val="000000" w:themeColor="text1"/>
          <w:shd w:val="clear" w:color="auto" w:fill="FFFFFF"/>
        </w:rPr>
        <w:t>336-347</w:t>
      </w:r>
    </w:p>
    <w:p w14:paraId="478AD7AE" w14:textId="5896798B" w:rsidR="003B39C1" w:rsidRPr="003E7EE5" w:rsidRDefault="003B39C1" w:rsidP="00F12072">
      <w:pPr>
        <w:autoSpaceDE w:val="0"/>
        <w:autoSpaceDN w:val="0"/>
        <w:adjustRightInd w:val="0"/>
        <w:spacing w:line="360" w:lineRule="auto"/>
        <w:ind w:left="426" w:hanging="426"/>
        <w:rPr>
          <w:color w:val="000000" w:themeColor="text1"/>
        </w:rPr>
      </w:pPr>
      <w:r w:rsidRPr="003E7EE5">
        <w:rPr>
          <w:color w:val="000000" w:themeColor="text1"/>
        </w:rPr>
        <w:t>Pre</w:t>
      </w:r>
      <w:r w:rsidR="00813CE6" w:rsidRPr="003E7EE5">
        <w:rPr>
          <w:color w:val="000000" w:themeColor="text1"/>
        </w:rPr>
        <w:t xml:space="preserve">acher, K.J. </w:t>
      </w:r>
      <w:r w:rsidR="007E71B6" w:rsidRPr="003E7EE5">
        <w:rPr>
          <w:color w:val="000000" w:themeColor="text1"/>
        </w:rPr>
        <w:t>and</w:t>
      </w:r>
      <w:r w:rsidR="00813CE6" w:rsidRPr="003E7EE5">
        <w:rPr>
          <w:color w:val="000000" w:themeColor="text1"/>
        </w:rPr>
        <w:t xml:space="preserve"> Hayes</w:t>
      </w:r>
      <w:r w:rsidR="00A91DE7" w:rsidRPr="003E7EE5">
        <w:rPr>
          <w:color w:val="000000" w:themeColor="text1"/>
        </w:rPr>
        <w:t>, A.F.</w:t>
      </w:r>
      <w:r w:rsidRPr="003E7EE5">
        <w:rPr>
          <w:color w:val="000000" w:themeColor="text1"/>
        </w:rPr>
        <w:t xml:space="preserve"> (2004)</w:t>
      </w:r>
      <w:r w:rsidR="00F67E61" w:rsidRPr="003E7EE5">
        <w:rPr>
          <w:color w:val="000000" w:themeColor="text1"/>
        </w:rPr>
        <w:t>, “</w:t>
      </w:r>
      <w:r w:rsidRPr="003E7EE5">
        <w:rPr>
          <w:color w:val="000000" w:themeColor="text1"/>
        </w:rPr>
        <w:t>SPSS and SAS procedures for estimating indirect effects in simple mediation models</w:t>
      </w:r>
      <w:r w:rsidR="00F67E61" w:rsidRPr="003E7EE5">
        <w:rPr>
          <w:color w:val="000000" w:themeColor="text1"/>
        </w:rPr>
        <w:t>”,</w:t>
      </w:r>
      <w:r w:rsidRPr="003E7EE5">
        <w:rPr>
          <w:color w:val="000000" w:themeColor="text1"/>
        </w:rPr>
        <w:t xml:space="preserve"> </w:t>
      </w:r>
      <w:r w:rsidR="008B7CBD" w:rsidRPr="003E7EE5">
        <w:rPr>
          <w:i/>
          <w:iCs/>
          <w:color w:val="000000" w:themeColor="text1"/>
        </w:rPr>
        <w:t>Behavior Research Methods</w:t>
      </w:r>
      <w:r w:rsidR="008B7CBD" w:rsidRPr="005E1791">
        <w:rPr>
          <w:color w:val="000000" w:themeColor="text1"/>
        </w:rPr>
        <w:t>,</w:t>
      </w:r>
      <w:r w:rsidR="008B7CBD" w:rsidRPr="003E7EE5">
        <w:rPr>
          <w:i/>
          <w:iCs/>
          <w:color w:val="000000" w:themeColor="text1"/>
        </w:rPr>
        <w:t xml:space="preserve"> </w:t>
      </w:r>
      <w:r w:rsidR="00F67E61" w:rsidRPr="003E7EE5">
        <w:rPr>
          <w:iCs/>
          <w:color w:val="000000" w:themeColor="text1"/>
        </w:rPr>
        <w:t xml:space="preserve">Vol. 36 No. </w:t>
      </w:r>
      <w:r w:rsidR="00355436" w:rsidRPr="003E7EE5">
        <w:rPr>
          <w:iCs/>
          <w:color w:val="000000" w:themeColor="text1"/>
        </w:rPr>
        <w:t>4</w:t>
      </w:r>
      <w:r w:rsidRPr="003E7EE5">
        <w:rPr>
          <w:color w:val="000000" w:themeColor="text1"/>
        </w:rPr>
        <w:t xml:space="preserve">, </w:t>
      </w:r>
      <w:r w:rsidR="008B7CBD" w:rsidRPr="003E7EE5">
        <w:rPr>
          <w:color w:val="000000" w:themeColor="text1"/>
        </w:rPr>
        <w:t xml:space="preserve">pp. </w:t>
      </w:r>
      <w:r w:rsidRPr="003E7EE5">
        <w:rPr>
          <w:color w:val="000000" w:themeColor="text1"/>
        </w:rPr>
        <w:t>717</w:t>
      </w:r>
      <w:r w:rsidR="00F67E61" w:rsidRPr="003E7EE5">
        <w:rPr>
          <w:color w:val="000000" w:themeColor="text1"/>
        </w:rPr>
        <w:t>-</w:t>
      </w:r>
      <w:r w:rsidRPr="003E7EE5">
        <w:rPr>
          <w:color w:val="000000" w:themeColor="text1"/>
        </w:rPr>
        <w:t>731.</w:t>
      </w:r>
    </w:p>
    <w:p w14:paraId="2AED4BDF" w14:textId="1FC1AEF4" w:rsidR="003B39C1" w:rsidRDefault="000A11F6" w:rsidP="005E1791">
      <w:pPr>
        <w:spacing w:line="360" w:lineRule="auto"/>
        <w:ind w:left="426" w:hanging="426"/>
        <w:rPr>
          <w:color w:val="000000" w:themeColor="text1"/>
        </w:rPr>
      </w:pPr>
      <w:r w:rsidRPr="003E7EE5">
        <w:rPr>
          <w:color w:val="000000" w:themeColor="text1"/>
        </w:rPr>
        <w:t xml:space="preserve">Punj, G. </w:t>
      </w:r>
      <w:r w:rsidR="007E71B6" w:rsidRPr="003E7EE5">
        <w:rPr>
          <w:color w:val="000000" w:themeColor="text1"/>
        </w:rPr>
        <w:t>and</w:t>
      </w:r>
      <w:r w:rsidRPr="003E7EE5">
        <w:rPr>
          <w:color w:val="000000" w:themeColor="text1"/>
        </w:rPr>
        <w:t xml:space="preserve"> </w:t>
      </w:r>
      <w:r w:rsidR="008B7CBD" w:rsidRPr="003E7EE5">
        <w:rPr>
          <w:color w:val="000000" w:themeColor="text1"/>
        </w:rPr>
        <w:t>Steward</w:t>
      </w:r>
      <w:r w:rsidR="00A91DE7" w:rsidRPr="003E7EE5">
        <w:rPr>
          <w:color w:val="000000" w:themeColor="text1"/>
        </w:rPr>
        <w:t>, D.</w:t>
      </w:r>
      <w:r w:rsidR="008B7CBD" w:rsidRPr="003E7EE5">
        <w:rPr>
          <w:color w:val="000000" w:themeColor="text1"/>
        </w:rPr>
        <w:t xml:space="preserve"> (1983)</w:t>
      </w:r>
      <w:r w:rsidR="00F67E61" w:rsidRPr="003E7EE5">
        <w:rPr>
          <w:color w:val="000000" w:themeColor="text1"/>
        </w:rPr>
        <w:t>,</w:t>
      </w:r>
      <w:r w:rsidR="008B7CBD" w:rsidRPr="003E7EE5">
        <w:rPr>
          <w:color w:val="000000" w:themeColor="text1"/>
        </w:rPr>
        <w:t xml:space="preserve"> </w:t>
      </w:r>
      <w:r w:rsidR="00F67E61" w:rsidRPr="003E7EE5">
        <w:rPr>
          <w:color w:val="000000" w:themeColor="text1"/>
        </w:rPr>
        <w:t>“</w:t>
      </w:r>
      <w:r w:rsidRPr="003E7EE5">
        <w:rPr>
          <w:color w:val="000000" w:themeColor="text1"/>
        </w:rPr>
        <w:t xml:space="preserve">Cluster </w:t>
      </w:r>
      <w:r w:rsidR="00692F28" w:rsidRPr="003E7EE5">
        <w:rPr>
          <w:color w:val="000000" w:themeColor="text1"/>
        </w:rPr>
        <w:t>analysis in marketing research: review and suggestions for application</w:t>
      </w:r>
      <w:r w:rsidR="00F67E61" w:rsidRPr="003E7EE5">
        <w:rPr>
          <w:color w:val="000000" w:themeColor="text1"/>
        </w:rPr>
        <w:t>”,</w:t>
      </w:r>
      <w:r w:rsidRPr="003E7EE5">
        <w:rPr>
          <w:color w:val="000000" w:themeColor="text1"/>
        </w:rPr>
        <w:t xml:space="preserve"> </w:t>
      </w:r>
      <w:r w:rsidRPr="003E7EE5">
        <w:rPr>
          <w:i/>
          <w:iCs/>
          <w:color w:val="000000" w:themeColor="text1"/>
        </w:rPr>
        <w:t>Journal of Marketing Research,</w:t>
      </w:r>
      <w:r w:rsidR="00F67E61" w:rsidRPr="003E7EE5">
        <w:rPr>
          <w:i/>
          <w:iCs/>
          <w:color w:val="000000" w:themeColor="text1"/>
        </w:rPr>
        <w:t xml:space="preserve"> </w:t>
      </w:r>
      <w:r w:rsidR="00F67E61" w:rsidRPr="003E7EE5">
        <w:rPr>
          <w:color w:val="000000" w:themeColor="text1"/>
        </w:rPr>
        <w:t>Vol.</w:t>
      </w:r>
      <w:r w:rsidRPr="003E7EE5">
        <w:rPr>
          <w:i/>
          <w:iCs/>
          <w:color w:val="000000" w:themeColor="text1"/>
        </w:rPr>
        <w:t xml:space="preserve"> </w:t>
      </w:r>
      <w:r w:rsidR="008B7CBD" w:rsidRPr="003E7EE5">
        <w:rPr>
          <w:iCs/>
          <w:color w:val="000000" w:themeColor="text1"/>
        </w:rPr>
        <w:t>20</w:t>
      </w:r>
      <w:r w:rsidR="00F67E61" w:rsidRPr="003E7EE5">
        <w:rPr>
          <w:color w:val="000000" w:themeColor="text1"/>
        </w:rPr>
        <w:t xml:space="preserve"> No. </w:t>
      </w:r>
      <w:r w:rsidR="00355436" w:rsidRPr="003E7EE5">
        <w:rPr>
          <w:color w:val="000000" w:themeColor="text1"/>
        </w:rPr>
        <w:t>2</w:t>
      </w:r>
      <w:r w:rsidRPr="003E7EE5">
        <w:rPr>
          <w:color w:val="000000" w:themeColor="text1"/>
        </w:rPr>
        <w:t xml:space="preserve">, </w:t>
      </w:r>
      <w:r w:rsidR="008B7CBD" w:rsidRPr="003E7EE5">
        <w:rPr>
          <w:color w:val="000000" w:themeColor="text1"/>
        </w:rPr>
        <w:t xml:space="preserve">pp. </w:t>
      </w:r>
      <w:r w:rsidRPr="003E7EE5">
        <w:rPr>
          <w:color w:val="000000" w:themeColor="text1"/>
        </w:rPr>
        <w:t>134</w:t>
      </w:r>
      <w:r w:rsidR="00F67E61" w:rsidRPr="003E7EE5">
        <w:rPr>
          <w:color w:val="000000" w:themeColor="text1"/>
        </w:rPr>
        <w:t>-</w:t>
      </w:r>
      <w:r w:rsidRPr="003E7EE5">
        <w:rPr>
          <w:color w:val="000000" w:themeColor="text1"/>
        </w:rPr>
        <w:t xml:space="preserve">148. </w:t>
      </w:r>
    </w:p>
    <w:p w14:paraId="71F4C9CD" w14:textId="11B427F9" w:rsidR="00972DE4" w:rsidRPr="00972DE4" w:rsidRDefault="00972DE4" w:rsidP="00972DE4">
      <w:pPr>
        <w:spacing w:line="360" w:lineRule="auto"/>
        <w:ind w:left="426" w:hanging="426"/>
        <w:rPr>
          <w:rFonts w:eastAsia="Times New Roman"/>
          <w:color w:val="000000" w:themeColor="text1"/>
          <w:sz w:val="48"/>
          <w:szCs w:val="48"/>
          <w:shd w:val="clear" w:color="auto" w:fill="FFFFFF"/>
        </w:rPr>
      </w:pPr>
      <w:proofErr w:type="spellStart"/>
      <w:r w:rsidRPr="00972DE4">
        <w:rPr>
          <w:color w:val="000000" w:themeColor="text1"/>
          <w:shd w:val="clear" w:color="auto" w:fill="FFFFFF"/>
        </w:rPr>
        <w:t>Rathert</w:t>
      </w:r>
      <w:proofErr w:type="spellEnd"/>
      <w:r w:rsidRPr="00972DE4">
        <w:rPr>
          <w:color w:val="000000" w:themeColor="text1"/>
          <w:shd w:val="clear" w:color="auto" w:fill="FFFFFF"/>
        </w:rPr>
        <w:t>, N. (2016), “Strategies of legitimation: MNEs and the adoption of CSR in response to host-country institutions”, </w:t>
      </w:r>
      <w:r w:rsidRPr="00972DE4">
        <w:rPr>
          <w:i/>
          <w:iCs/>
          <w:color w:val="000000" w:themeColor="text1"/>
          <w:shd w:val="clear" w:color="auto" w:fill="FFFFFF"/>
        </w:rPr>
        <w:t>Journal of International Business Studies</w:t>
      </w:r>
      <w:r w:rsidRPr="00972DE4">
        <w:rPr>
          <w:color w:val="000000" w:themeColor="text1"/>
          <w:shd w:val="clear" w:color="auto" w:fill="FFFFFF"/>
        </w:rPr>
        <w:t>, Vol. 47, pp. 858-879.</w:t>
      </w:r>
    </w:p>
    <w:p w14:paraId="2DFD6AD5" w14:textId="646177DE" w:rsidR="003B39C1" w:rsidRPr="003E7EE5" w:rsidRDefault="003B39C1"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Rollins, M., </w:t>
      </w:r>
      <w:r w:rsidR="008B7CBD" w:rsidRPr="003E7EE5">
        <w:rPr>
          <w:rFonts w:eastAsia="Times New Roman"/>
          <w:color w:val="000000" w:themeColor="text1"/>
          <w:shd w:val="clear" w:color="auto" w:fill="FFFFFF"/>
        </w:rPr>
        <w:t>Nickell</w:t>
      </w:r>
      <w:r w:rsidR="00A91DE7" w:rsidRPr="003E7EE5">
        <w:rPr>
          <w:rFonts w:eastAsia="Times New Roman"/>
          <w:color w:val="000000" w:themeColor="text1"/>
          <w:shd w:val="clear" w:color="auto" w:fill="FFFFFF"/>
        </w:rPr>
        <w:t>, D.</w:t>
      </w:r>
      <w:r w:rsidR="008B7CBD"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8B7CBD" w:rsidRPr="003E7EE5">
        <w:rPr>
          <w:rFonts w:eastAsia="Times New Roman"/>
          <w:color w:val="000000" w:themeColor="text1"/>
          <w:shd w:val="clear" w:color="auto" w:fill="FFFFFF"/>
        </w:rPr>
        <w:t xml:space="preserve"> Ennis</w:t>
      </w:r>
      <w:r w:rsidR="00A91DE7" w:rsidRPr="003E7EE5">
        <w:rPr>
          <w:rFonts w:eastAsia="Times New Roman"/>
          <w:color w:val="000000" w:themeColor="text1"/>
          <w:shd w:val="clear" w:color="auto" w:fill="FFFFFF"/>
        </w:rPr>
        <w:t>, J.</w:t>
      </w:r>
      <w:r w:rsidR="008B7CBD"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(2014)</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355436"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The impact of economic downturns on marketing</w:t>
      </w:r>
      <w:r w:rsidR="00355436" w:rsidRPr="003E7EE5">
        <w:rPr>
          <w:rFonts w:eastAsia="Times New Roman"/>
          <w:color w:val="000000" w:themeColor="text1"/>
          <w:shd w:val="clear" w:color="auto" w:fill="FFFFFF"/>
        </w:rPr>
        <w:t>”</w:t>
      </w:r>
      <w:r w:rsidR="008B7CBD"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Journal of Business Research</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F67E61" w:rsidRPr="003E7EE5">
        <w:rPr>
          <w:rFonts w:eastAsia="Times New Roman"/>
          <w:iCs/>
          <w:color w:val="000000" w:themeColor="text1"/>
        </w:rPr>
        <w:t>Vol. 67</w:t>
      </w:r>
      <w:r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2727-2731.</w:t>
      </w:r>
    </w:p>
    <w:p w14:paraId="74C98EB2" w14:textId="27F1D61F" w:rsidR="00DE5EF1" w:rsidRPr="003E7EE5" w:rsidRDefault="00A9054C">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Rueda</w:t>
      </w:r>
      <w:r w:rsidRPr="003E7EE5">
        <w:rPr>
          <w:rFonts w:eastAsia="Calibri"/>
          <w:color w:val="000000" w:themeColor="text1"/>
          <w:shd w:val="clear" w:color="auto" w:fill="FFFFFF"/>
        </w:rPr>
        <w:t>‐</w:t>
      </w:r>
      <w:r w:rsidRPr="003E7EE5">
        <w:rPr>
          <w:rFonts w:eastAsia="Times New Roman"/>
          <w:color w:val="000000" w:themeColor="text1"/>
          <w:shd w:val="clear" w:color="auto" w:fill="FFFFFF"/>
        </w:rPr>
        <w:t>Manzanares, A.,</w:t>
      </w:r>
      <w:r w:rsidR="008B7CBD"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Aragón</w:t>
      </w:r>
      <w:r w:rsidRPr="003E7EE5">
        <w:rPr>
          <w:rFonts w:eastAsia="Calibri"/>
          <w:color w:val="000000" w:themeColor="text1"/>
          <w:shd w:val="clear" w:color="auto" w:fill="FFFFFF"/>
        </w:rPr>
        <w:t>‐</w:t>
      </w:r>
      <w:r w:rsidR="008B7CBD" w:rsidRPr="003E7EE5">
        <w:rPr>
          <w:rFonts w:eastAsia="Times New Roman"/>
          <w:color w:val="000000" w:themeColor="text1"/>
          <w:shd w:val="clear" w:color="auto" w:fill="FFFFFF"/>
        </w:rPr>
        <w:t>Correa</w:t>
      </w:r>
      <w:r w:rsidR="00A91DE7" w:rsidRPr="003E7EE5">
        <w:rPr>
          <w:rFonts w:eastAsia="Times New Roman"/>
          <w:color w:val="000000" w:themeColor="text1"/>
          <w:shd w:val="clear" w:color="auto" w:fill="FFFFFF"/>
        </w:rPr>
        <w:t>, J.A.</w:t>
      </w:r>
      <w:r w:rsidR="008B7CBD"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8B7CBD" w:rsidRPr="003E7EE5">
        <w:rPr>
          <w:rFonts w:eastAsia="Times New Roman"/>
          <w:color w:val="000000" w:themeColor="text1"/>
          <w:shd w:val="clear" w:color="auto" w:fill="FFFFFF"/>
        </w:rPr>
        <w:t xml:space="preserve"> Sharma</w:t>
      </w:r>
      <w:r w:rsidR="00A91DE7" w:rsidRPr="003E7EE5">
        <w:rPr>
          <w:rFonts w:eastAsia="Times New Roman"/>
          <w:color w:val="000000" w:themeColor="text1"/>
          <w:shd w:val="clear" w:color="auto" w:fill="FFFFFF"/>
        </w:rPr>
        <w:t>, S.</w:t>
      </w:r>
      <w:r w:rsidRPr="003E7EE5">
        <w:rPr>
          <w:rFonts w:eastAsia="Times New Roman"/>
          <w:color w:val="000000" w:themeColor="text1"/>
          <w:shd w:val="clear" w:color="auto" w:fill="FFFFFF"/>
        </w:rPr>
        <w:t xml:space="preserve"> (2008)</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The influence of</w:t>
      </w:r>
      <w:r w:rsidR="00617A5D"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stakeholders on the environmental strategy of service firms: The moderating effects of</w:t>
      </w:r>
      <w:r w:rsidR="00617A5D"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complexity, uncertainty and munificence</w:t>
      </w:r>
      <w:r w:rsidR="00F67E61"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Pr="003E7EE5">
        <w:rPr>
          <w:rFonts w:eastAsia="Times New Roman"/>
          <w:i/>
          <w:iCs/>
          <w:color w:val="000000" w:themeColor="text1"/>
        </w:rPr>
        <w:t xml:space="preserve">British Journal of </w:t>
      </w:r>
      <w:r w:rsidR="0017312F" w:rsidRPr="003E7EE5">
        <w:rPr>
          <w:rFonts w:eastAsia="Times New Roman"/>
          <w:i/>
          <w:iCs/>
          <w:color w:val="000000" w:themeColor="text1"/>
        </w:rPr>
        <w:t>M</w:t>
      </w:r>
      <w:r w:rsidRPr="003E7EE5">
        <w:rPr>
          <w:rFonts w:eastAsia="Times New Roman"/>
          <w:i/>
          <w:iCs/>
          <w:color w:val="000000" w:themeColor="text1"/>
        </w:rPr>
        <w:t>anagement</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F67E61" w:rsidRPr="003E7EE5">
        <w:rPr>
          <w:rFonts w:eastAsia="Times New Roman"/>
          <w:iCs/>
          <w:color w:val="000000" w:themeColor="text1"/>
        </w:rPr>
        <w:t xml:space="preserve">Vol. 19 </w:t>
      </w:r>
      <w:r w:rsidR="00355436" w:rsidRPr="003E7EE5">
        <w:rPr>
          <w:rFonts w:eastAsia="Times New Roman"/>
          <w:iCs/>
          <w:color w:val="000000" w:themeColor="text1"/>
        </w:rPr>
        <w:t>No. 2</w:t>
      </w:r>
      <w:r w:rsidRPr="003E7EE5">
        <w:rPr>
          <w:rFonts w:eastAsia="Times New Roman"/>
          <w:color w:val="000000" w:themeColor="text1"/>
          <w:shd w:val="clear" w:color="auto" w:fill="FFFFFF"/>
        </w:rPr>
        <w:t xml:space="preserve">, </w:t>
      </w:r>
      <w:r w:rsidR="008B7CBD"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185-203.</w:t>
      </w:r>
    </w:p>
    <w:p w14:paraId="610310BB" w14:textId="03B03397" w:rsidR="00BF2E17" w:rsidRPr="003E7EE5" w:rsidRDefault="00BF2E17" w:rsidP="00F12072">
      <w:pPr>
        <w:spacing w:line="360" w:lineRule="auto"/>
        <w:ind w:left="426" w:hanging="426"/>
        <w:rPr>
          <w:rFonts w:eastAsia="Times New Roman"/>
          <w:color w:val="000000" w:themeColor="text1"/>
          <w:szCs w:val="20"/>
          <w:shd w:val="clear" w:color="auto" w:fill="FFFFFF"/>
        </w:rPr>
      </w:pPr>
      <w:proofErr w:type="spellStart"/>
      <w:r w:rsidRPr="003E7EE5">
        <w:rPr>
          <w:rFonts w:eastAsia="Times New Roman"/>
          <w:color w:val="000000" w:themeColor="text1"/>
          <w:szCs w:val="20"/>
          <w:shd w:val="clear" w:color="auto" w:fill="FFFFFF"/>
        </w:rPr>
        <w:t>Sabatino</w:t>
      </w:r>
      <w:proofErr w:type="spellEnd"/>
      <w:r w:rsidRPr="003E7EE5">
        <w:rPr>
          <w:rFonts w:eastAsia="Times New Roman"/>
          <w:color w:val="000000" w:themeColor="text1"/>
          <w:szCs w:val="20"/>
          <w:shd w:val="clear" w:color="auto" w:fill="FFFFFF"/>
        </w:rPr>
        <w:t>, M. (2016)</w:t>
      </w:r>
      <w:r w:rsidR="00057B57">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 xml:space="preserve"> </w:t>
      </w:r>
      <w:r w:rsidR="00F67E61" w:rsidRPr="003E7EE5">
        <w:rPr>
          <w:rFonts w:eastAsia="Times New Roman"/>
          <w:color w:val="000000" w:themeColor="text1"/>
          <w:szCs w:val="20"/>
          <w:shd w:val="clear" w:color="auto" w:fill="FFFFFF"/>
        </w:rPr>
        <w:t>“</w:t>
      </w:r>
      <w:r w:rsidRPr="003E7EE5">
        <w:rPr>
          <w:rFonts w:eastAsia="Times New Roman"/>
          <w:color w:val="000000" w:themeColor="text1"/>
          <w:szCs w:val="20"/>
          <w:shd w:val="clear" w:color="auto" w:fill="FFFFFF"/>
        </w:rPr>
        <w:t>Economic crisis and resilience: Resilient capacity and competitiveness of the enterprises</w:t>
      </w:r>
      <w:r w:rsidR="00F67E61"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Pr="003E7EE5">
        <w:rPr>
          <w:rFonts w:eastAsia="Times New Roman"/>
          <w:i/>
          <w:iCs/>
          <w:color w:val="000000" w:themeColor="text1"/>
          <w:szCs w:val="20"/>
        </w:rPr>
        <w:t>Journal of Business Research</w:t>
      </w:r>
      <w:r w:rsidRPr="003E7EE5">
        <w:rPr>
          <w:rFonts w:eastAsia="Times New Roman"/>
          <w:color w:val="000000" w:themeColor="text1"/>
          <w:szCs w:val="20"/>
          <w:shd w:val="clear" w:color="auto" w:fill="FFFFFF"/>
        </w:rPr>
        <w:t>,</w:t>
      </w:r>
      <w:r w:rsidRPr="003E7EE5">
        <w:rPr>
          <w:rStyle w:val="apple-converted-space"/>
          <w:color w:val="000000" w:themeColor="text1"/>
          <w:szCs w:val="20"/>
          <w:shd w:val="clear" w:color="auto" w:fill="FFFFFF"/>
        </w:rPr>
        <w:t> </w:t>
      </w:r>
      <w:r w:rsidR="00F67E61" w:rsidRPr="003E7EE5">
        <w:rPr>
          <w:rFonts w:eastAsia="Times New Roman"/>
          <w:iCs/>
          <w:color w:val="000000" w:themeColor="text1"/>
          <w:szCs w:val="20"/>
        </w:rPr>
        <w:t>Vol. 69 No. 5,</w:t>
      </w:r>
      <w:r w:rsidRPr="003E7EE5">
        <w:rPr>
          <w:rFonts w:eastAsia="Times New Roman"/>
          <w:color w:val="000000" w:themeColor="text1"/>
          <w:szCs w:val="20"/>
          <w:shd w:val="clear" w:color="auto" w:fill="FFFFFF"/>
        </w:rPr>
        <w:t xml:space="preserve"> pp.</w:t>
      </w:r>
      <w:r w:rsidR="00692F28">
        <w:rPr>
          <w:rFonts w:eastAsia="Times New Roman"/>
          <w:color w:val="000000" w:themeColor="text1"/>
          <w:szCs w:val="20"/>
          <w:shd w:val="clear" w:color="auto" w:fill="FFFFFF"/>
        </w:rPr>
        <w:t xml:space="preserve"> </w:t>
      </w:r>
      <w:r w:rsidRPr="003E7EE5">
        <w:rPr>
          <w:rFonts w:eastAsia="Times New Roman"/>
          <w:color w:val="000000" w:themeColor="text1"/>
          <w:szCs w:val="20"/>
          <w:shd w:val="clear" w:color="auto" w:fill="FFFFFF"/>
        </w:rPr>
        <w:t>1924-1927.</w:t>
      </w:r>
    </w:p>
    <w:p w14:paraId="1FE3FBE3" w14:textId="09ECF35C" w:rsidR="009D69B7" w:rsidRPr="003E7EE5" w:rsidRDefault="009D69B7" w:rsidP="00F12072">
      <w:pPr>
        <w:spacing w:line="360" w:lineRule="auto"/>
        <w:ind w:left="426" w:hanging="426"/>
        <w:rPr>
          <w:rFonts w:eastAsia="Times New Roman"/>
          <w:color w:val="000000" w:themeColor="text1"/>
          <w:sz w:val="36"/>
          <w:shd w:val="clear" w:color="auto" w:fill="FFFFFF"/>
        </w:rPr>
      </w:pPr>
      <w:r w:rsidRPr="003E7EE5">
        <w:rPr>
          <w:color w:val="000000" w:themeColor="text1"/>
          <w:shd w:val="clear" w:color="auto" w:fill="FFFFFF"/>
        </w:rPr>
        <w:t>Saleem, F., Qureshi, S.S. and Malik, M.I. (2021)</w:t>
      </w:r>
      <w:r w:rsidR="00057B57">
        <w:rPr>
          <w:color w:val="000000" w:themeColor="text1"/>
          <w:shd w:val="clear" w:color="auto" w:fill="FFFFFF"/>
        </w:rPr>
        <w:t>,</w:t>
      </w:r>
      <w:r w:rsidRPr="003E7EE5">
        <w:rPr>
          <w:color w:val="000000" w:themeColor="text1"/>
          <w:shd w:val="clear" w:color="auto" w:fill="FFFFFF"/>
        </w:rPr>
        <w:t xml:space="preserve"> “Impact of environmental orientation on proactive and reactive environmental strategies: Mediating role of business environmental commitment”, </w:t>
      </w:r>
      <w:r w:rsidRPr="003E7EE5">
        <w:rPr>
          <w:i/>
          <w:iCs/>
          <w:color w:val="000000" w:themeColor="text1"/>
          <w:shd w:val="clear" w:color="auto" w:fill="FFFFFF"/>
        </w:rPr>
        <w:t>Sustainability</w:t>
      </w:r>
      <w:r w:rsidRPr="003E7EE5">
        <w:rPr>
          <w:color w:val="000000" w:themeColor="text1"/>
          <w:shd w:val="clear" w:color="auto" w:fill="FFFFFF"/>
        </w:rPr>
        <w:t>, Vol. 13 No. 15, p. 8361.</w:t>
      </w:r>
    </w:p>
    <w:p w14:paraId="66C5D88D" w14:textId="6B546CF4" w:rsidR="003B39C1" w:rsidRPr="003E7EE5" w:rsidRDefault="003B39C1" w:rsidP="005E1791">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lastRenderedPageBreak/>
        <w:t xml:space="preserve">Sarkis, J., </w:t>
      </w:r>
      <w:r w:rsidR="0062396F" w:rsidRPr="003E7EE5">
        <w:rPr>
          <w:rFonts w:eastAsia="Times New Roman"/>
          <w:color w:val="000000" w:themeColor="text1"/>
          <w:shd w:val="clear" w:color="auto" w:fill="FFFFFF"/>
        </w:rPr>
        <w:t>Gonzalez-Torre</w:t>
      </w:r>
      <w:r w:rsidR="00A91DE7" w:rsidRPr="003E7EE5">
        <w:rPr>
          <w:rFonts w:eastAsia="Times New Roman"/>
          <w:color w:val="000000" w:themeColor="text1"/>
          <w:shd w:val="clear" w:color="auto" w:fill="FFFFFF"/>
        </w:rPr>
        <w:t>, P.</w:t>
      </w:r>
      <w:r w:rsidR="0062396F" w:rsidRPr="003E7EE5">
        <w:rPr>
          <w:rFonts w:eastAsia="Times New Roman"/>
          <w:color w:val="000000" w:themeColor="text1"/>
          <w:shd w:val="clear" w:color="auto" w:fill="FFFFFF"/>
        </w:rPr>
        <w:t xml:space="preserve"> </w:t>
      </w:r>
      <w:r w:rsidR="007E71B6" w:rsidRPr="003E7EE5">
        <w:rPr>
          <w:rFonts w:eastAsia="Times New Roman"/>
          <w:color w:val="000000" w:themeColor="text1"/>
          <w:shd w:val="clear" w:color="auto" w:fill="FFFFFF"/>
        </w:rPr>
        <w:t>and</w:t>
      </w:r>
      <w:r w:rsidR="0062396F" w:rsidRPr="003E7EE5">
        <w:rPr>
          <w:rFonts w:eastAsia="Times New Roman"/>
          <w:color w:val="000000" w:themeColor="text1"/>
          <w:shd w:val="clear" w:color="auto" w:fill="FFFFFF"/>
        </w:rPr>
        <w:t xml:space="preserve"> </w:t>
      </w:r>
      <w:proofErr w:type="spellStart"/>
      <w:r w:rsidR="0062396F" w:rsidRPr="003E7EE5">
        <w:rPr>
          <w:rFonts w:eastAsia="Times New Roman"/>
          <w:color w:val="000000" w:themeColor="text1"/>
          <w:shd w:val="clear" w:color="auto" w:fill="FFFFFF"/>
        </w:rPr>
        <w:t>Adenso</w:t>
      </w:r>
      <w:proofErr w:type="spellEnd"/>
      <w:r w:rsidR="0062396F" w:rsidRPr="003E7EE5">
        <w:rPr>
          <w:rFonts w:eastAsia="Times New Roman"/>
          <w:color w:val="000000" w:themeColor="text1"/>
          <w:shd w:val="clear" w:color="auto" w:fill="FFFFFF"/>
        </w:rPr>
        <w:t>-Dia</w:t>
      </w:r>
      <w:r w:rsidR="00A91DE7" w:rsidRPr="003E7EE5">
        <w:rPr>
          <w:rFonts w:eastAsia="Times New Roman"/>
          <w:color w:val="000000" w:themeColor="text1"/>
          <w:shd w:val="clear" w:color="auto" w:fill="FFFFFF"/>
        </w:rPr>
        <w:t>, B.</w:t>
      </w:r>
      <w:r w:rsidR="0062396F" w:rsidRPr="003E7EE5">
        <w:rPr>
          <w:rFonts w:eastAsia="Times New Roman"/>
          <w:color w:val="000000" w:themeColor="text1"/>
          <w:shd w:val="clear" w:color="auto" w:fill="FFFFFF"/>
        </w:rPr>
        <w:t xml:space="preserve"> </w:t>
      </w:r>
      <w:r w:rsidRPr="003E7EE5">
        <w:rPr>
          <w:rFonts w:eastAsia="Times New Roman"/>
          <w:color w:val="000000" w:themeColor="text1"/>
          <w:shd w:val="clear" w:color="auto" w:fill="FFFFFF"/>
        </w:rPr>
        <w:t>(2010)</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355436"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Stakeholder pressure and the adoption of environmental practices: </w:t>
      </w:r>
      <w:r w:rsidR="00692F28">
        <w:rPr>
          <w:rFonts w:eastAsia="Times New Roman"/>
          <w:color w:val="000000" w:themeColor="text1"/>
          <w:shd w:val="clear" w:color="auto" w:fill="FFFFFF"/>
        </w:rPr>
        <w:t>t</w:t>
      </w:r>
      <w:r w:rsidR="0062396F" w:rsidRPr="003E7EE5">
        <w:rPr>
          <w:rFonts w:eastAsia="Times New Roman"/>
          <w:color w:val="000000" w:themeColor="text1"/>
          <w:shd w:val="clear" w:color="auto" w:fill="FFFFFF"/>
        </w:rPr>
        <w:t>he mediating effect of training</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w:t>
      </w:r>
      <w:r w:rsidRPr="003E7EE5">
        <w:rPr>
          <w:rFonts w:eastAsia="Times New Roman"/>
          <w:i/>
          <w:iCs/>
          <w:color w:val="000000" w:themeColor="text1"/>
        </w:rPr>
        <w:t>Journal of Operations Management</w:t>
      </w:r>
      <w:r w:rsidRPr="003E7EE5">
        <w:rPr>
          <w:rFonts w:eastAsia="Times New Roman"/>
          <w:color w:val="000000" w:themeColor="text1"/>
          <w:shd w:val="clear" w:color="auto" w:fill="FFFFFF"/>
        </w:rPr>
        <w:t>, </w:t>
      </w:r>
      <w:r w:rsidR="00F67E61" w:rsidRPr="003E7EE5">
        <w:rPr>
          <w:rFonts w:eastAsia="Times New Roman"/>
          <w:iCs/>
          <w:color w:val="000000" w:themeColor="text1"/>
        </w:rPr>
        <w:t>Vol. 28 No.</w:t>
      </w:r>
      <w:r w:rsidR="00355436" w:rsidRPr="003E7EE5">
        <w:rPr>
          <w:rFonts w:eastAsia="Times New Roman"/>
          <w:iCs/>
          <w:color w:val="000000" w:themeColor="text1"/>
        </w:rPr>
        <w:t xml:space="preserve"> 2</w:t>
      </w:r>
      <w:r w:rsidR="00F67E61" w:rsidRPr="003E7EE5">
        <w:rPr>
          <w:rFonts w:eastAsia="Times New Roman"/>
          <w:iCs/>
          <w:color w:val="000000" w:themeColor="text1"/>
        </w:rPr>
        <w:t xml:space="preserve">, </w:t>
      </w:r>
      <w:r w:rsidR="0062396F"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163-176.</w:t>
      </w:r>
    </w:p>
    <w:p w14:paraId="7A2A209F" w14:textId="22395913" w:rsidR="00481156" w:rsidRPr="003E7EE5" w:rsidRDefault="00481156" w:rsidP="00481156">
      <w:pPr>
        <w:spacing w:line="360" w:lineRule="auto"/>
        <w:ind w:left="426" w:hanging="426"/>
        <w:rPr>
          <w:color w:val="000000" w:themeColor="text1"/>
        </w:rPr>
      </w:pPr>
      <w:r w:rsidRPr="00481156">
        <w:rPr>
          <w:color w:val="000000" w:themeColor="text1"/>
        </w:rPr>
        <w:t>SEV Business</w:t>
      </w:r>
      <w:r>
        <w:rPr>
          <w:color w:val="000000" w:themeColor="text1"/>
        </w:rPr>
        <w:t xml:space="preserve"> </w:t>
      </w:r>
      <w:r w:rsidRPr="00481156">
        <w:rPr>
          <w:color w:val="000000" w:themeColor="text1"/>
        </w:rPr>
        <w:t xml:space="preserve">Council for Sustainable Development </w:t>
      </w:r>
      <w:r w:rsidRPr="003E7EE5">
        <w:rPr>
          <w:color w:val="000000" w:themeColor="text1"/>
        </w:rPr>
        <w:t>(2016), “</w:t>
      </w:r>
      <w:r w:rsidRPr="006A489A">
        <w:rPr>
          <w:color w:val="000000" w:themeColor="text1"/>
        </w:rPr>
        <w:t>EY study on the Circular Economy in Greece”,</w:t>
      </w:r>
      <w:r w:rsidRPr="003E7EE5">
        <w:rPr>
          <w:color w:val="000000" w:themeColor="text1"/>
        </w:rPr>
        <w:t xml:space="preserve"> </w:t>
      </w:r>
      <w:r>
        <w:rPr>
          <w:color w:val="000000" w:themeColor="text1"/>
        </w:rPr>
        <w:t>a</w:t>
      </w:r>
      <w:r w:rsidRPr="003E7EE5">
        <w:rPr>
          <w:color w:val="000000" w:themeColor="text1"/>
        </w:rPr>
        <w:t xml:space="preserve">vailable at: </w:t>
      </w:r>
      <w:hyperlink r:id="rId13" w:history="1">
        <w:r w:rsidRPr="003E7EE5">
          <w:rPr>
            <w:rStyle w:val="Hyperlink"/>
            <w:color w:val="000000" w:themeColor="text1"/>
          </w:rPr>
          <w:t>https://en.sev.org.gr/news-publications/publications/page/4/</w:t>
        </w:r>
      </w:hyperlink>
      <w:r w:rsidRPr="003E7EE5">
        <w:rPr>
          <w:rStyle w:val="Hyperlink"/>
          <w:color w:val="000000" w:themeColor="text1"/>
        </w:rPr>
        <w:t xml:space="preserve"> </w:t>
      </w:r>
      <w:r w:rsidRPr="003E7EE5">
        <w:rPr>
          <w:color w:val="000000" w:themeColor="text1"/>
        </w:rPr>
        <w:t>(accessed 4 July 2023)</w:t>
      </w:r>
      <w:r>
        <w:rPr>
          <w:color w:val="000000" w:themeColor="text1"/>
        </w:rPr>
        <w:t>.</w:t>
      </w:r>
    </w:p>
    <w:p w14:paraId="4F1187BE" w14:textId="4E8069C6" w:rsidR="003B39C1" w:rsidRPr="003E7EE5" w:rsidRDefault="003B39C1" w:rsidP="00F12072">
      <w:pPr>
        <w:spacing w:line="360" w:lineRule="auto"/>
        <w:ind w:left="426" w:hanging="426"/>
        <w:rPr>
          <w:rFonts w:eastAsia="Times New Roman"/>
          <w:color w:val="000000" w:themeColor="text1"/>
        </w:rPr>
      </w:pPr>
      <w:r w:rsidRPr="003E7EE5">
        <w:rPr>
          <w:rFonts w:eastAsia="Times New Roman"/>
          <w:color w:val="000000" w:themeColor="text1"/>
          <w:shd w:val="clear" w:color="auto" w:fill="FFFFFF"/>
        </w:rPr>
        <w:t>Sharma, S. (2000)</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w:t>
      </w:r>
      <w:r w:rsidRPr="003E7EE5">
        <w:rPr>
          <w:rFonts w:eastAsia="Times New Roman"/>
          <w:color w:val="000000" w:themeColor="text1"/>
          <w:shd w:val="clear" w:color="auto" w:fill="FFFFFF"/>
        </w:rPr>
        <w:t>Managerial interpretations and organizational context as predictors of corporate choice of environmental strategy</w:t>
      </w:r>
      <w:r w:rsidR="00F67E61"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62396F" w:rsidRPr="003E7EE5">
        <w:rPr>
          <w:rFonts w:eastAsia="Times New Roman"/>
          <w:i/>
          <w:iCs/>
          <w:color w:val="000000" w:themeColor="text1"/>
        </w:rPr>
        <w:t>Academy of Management J</w:t>
      </w:r>
      <w:r w:rsidRPr="003E7EE5">
        <w:rPr>
          <w:rFonts w:eastAsia="Times New Roman"/>
          <w:i/>
          <w:iCs/>
          <w:color w:val="000000" w:themeColor="text1"/>
        </w:rPr>
        <w:t>ournal</w:t>
      </w:r>
      <w:r w:rsidRPr="003E7EE5">
        <w:rPr>
          <w:rFonts w:eastAsia="Times New Roman"/>
          <w:color w:val="000000" w:themeColor="text1"/>
          <w:shd w:val="clear" w:color="auto" w:fill="FFFFFF"/>
        </w:rPr>
        <w:t>,</w:t>
      </w:r>
      <w:r w:rsidRPr="003E7EE5">
        <w:rPr>
          <w:rStyle w:val="apple-converted-space"/>
          <w:color w:val="000000" w:themeColor="text1"/>
          <w:shd w:val="clear" w:color="auto" w:fill="FFFFFF"/>
        </w:rPr>
        <w:t> </w:t>
      </w:r>
      <w:r w:rsidR="00F67E61" w:rsidRPr="003E7EE5">
        <w:rPr>
          <w:rFonts w:eastAsia="Times New Roman"/>
          <w:iCs/>
          <w:color w:val="000000" w:themeColor="text1"/>
        </w:rPr>
        <w:t xml:space="preserve">Vol. 43 No. </w:t>
      </w:r>
      <w:r w:rsidR="00355436" w:rsidRPr="003E7EE5">
        <w:rPr>
          <w:rFonts w:eastAsia="Times New Roman"/>
          <w:iCs/>
          <w:color w:val="000000" w:themeColor="text1"/>
        </w:rPr>
        <w:t>4</w:t>
      </w:r>
      <w:r w:rsidRPr="003E7EE5">
        <w:rPr>
          <w:rFonts w:eastAsia="Times New Roman"/>
          <w:color w:val="000000" w:themeColor="text1"/>
          <w:shd w:val="clear" w:color="auto" w:fill="FFFFFF"/>
        </w:rPr>
        <w:t xml:space="preserve">, </w:t>
      </w:r>
      <w:r w:rsidR="0062396F" w:rsidRPr="003E7EE5">
        <w:rPr>
          <w:rFonts w:eastAsia="Times New Roman"/>
          <w:color w:val="000000" w:themeColor="text1"/>
          <w:shd w:val="clear" w:color="auto" w:fill="FFFFFF"/>
        </w:rPr>
        <w:t xml:space="preserve">pp. </w:t>
      </w:r>
      <w:r w:rsidRPr="003E7EE5">
        <w:rPr>
          <w:rFonts w:eastAsia="Times New Roman"/>
          <w:color w:val="000000" w:themeColor="text1"/>
          <w:shd w:val="clear" w:color="auto" w:fill="FFFFFF"/>
        </w:rPr>
        <w:t>681-697.</w:t>
      </w:r>
    </w:p>
    <w:p w14:paraId="67CB1C9F" w14:textId="41632174" w:rsidR="004B44B9" w:rsidRPr="003E7EE5" w:rsidRDefault="004B44B9" w:rsidP="00F12072">
      <w:pPr>
        <w:autoSpaceDE w:val="0"/>
        <w:autoSpaceDN w:val="0"/>
        <w:adjustRightInd w:val="0"/>
        <w:spacing w:line="360" w:lineRule="auto"/>
        <w:ind w:left="426" w:hanging="426"/>
        <w:rPr>
          <w:color w:val="000000" w:themeColor="text1"/>
        </w:rPr>
      </w:pPr>
      <w:proofErr w:type="spellStart"/>
      <w:r w:rsidRPr="003E7EE5">
        <w:rPr>
          <w:color w:val="000000" w:themeColor="text1"/>
        </w:rPr>
        <w:t>Siedschlag</w:t>
      </w:r>
      <w:proofErr w:type="spellEnd"/>
      <w:r w:rsidRPr="003E7EE5">
        <w:rPr>
          <w:color w:val="000000" w:themeColor="text1"/>
        </w:rPr>
        <w:t xml:space="preserve">, I. </w:t>
      </w:r>
      <w:r w:rsidR="008B4BD1">
        <w:rPr>
          <w:color w:val="000000" w:themeColor="text1"/>
        </w:rPr>
        <w:t>and</w:t>
      </w:r>
      <w:r w:rsidRPr="003E7EE5">
        <w:rPr>
          <w:color w:val="000000" w:themeColor="text1"/>
        </w:rPr>
        <w:t xml:space="preserve"> Yan, W. (2021)</w:t>
      </w:r>
      <w:r w:rsidR="008B4BD1">
        <w:rPr>
          <w:color w:val="000000" w:themeColor="text1"/>
        </w:rPr>
        <w:t>, “</w:t>
      </w:r>
      <w:r w:rsidRPr="003E7EE5">
        <w:rPr>
          <w:color w:val="000000" w:themeColor="text1"/>
        </w:rPr>
        <w:t xml:space="preserve">Firms’ green investments: </w:t>
      </w:r>
      <w:r w:rsidR="008B4BD1">
        <w:rPr>
          <w:color w:val="000000" w:themeColor="text1"/>
        </w:rPr>
        <w:t>w</w:t>
      </w:r>
      <w:r w:rsidRPr="003E7EE5">
        <w:rPr>
          <w:color w:val="000000" w:themeColor="text1"/>
        </w:rPr>
        <w:t>hat factors matter?</w:t>
      </w:r>
      <w:r w:rsidR="008B4BD1">
        <w:rPr>
          <w:color w:val="000000" w:themeColor="text1"/>
        </w:rPr>
        <w:t>”,</w:t>
      </w:r>
      <w:r w:rsidRPr="003E7EE5">
        <w:rPr>
          <w:color w:val="000000" w:themeColor="text1"/>
        </w:rPr>
        <w:t xml:space="preserve"> </w:t>
      </w:r>
      <w:r w:rsidRPr="003E7EE5">
        <w:rPr>
          <w:i/>
          <w:iCs/>
          <w:color w:val="000000" w:themeColor="text1"/>
        </w:rPr>
        <w:t>Journal of Cleaner Production</w:t>
      </w:r>
      <w:r w:rsidRPr="003E7EE5">
        <w:rPr>
          <w:color w:val="000000" w:themeColor="text1"/>
        </w:rPr>
        <w:t xml:space="preserve">, </w:t>
      </w:r>
      <w:r w:rsidR="008B4BD1">
        <w:rPr>
          <w:color w:val="000000" w:themeColor="text1"/>
        </w:rPr>
        <w:t xml:space="preserve">Vol. </w:t>
      </w:r>
      <w:r w:rsidRPr="003E7EE5">
        <w:rPr>
          <w:color w:val="000000" w:themeColor="text1"/>
        </w:rPr>
        <w:t xml:space="preserve">310, </w:t>
      </w:r>
      <w:r w:rsidR="008B4BD1">
        <w:rPr>
          <w:color w:val="000000" w:themeColor="text1"/>
        </w:rPr>
        <w:t xml:space="preserve">pp. </w:t>
      </w:r>
      <w:r w:rsidRPr="003E7EE5">
        <w:rPr>
          <w:color w:val="000000" w:themeColor="text1"/>
        </w:rPr>
        <w:t xml:space="preserve">1-15. </w:t>
      </w:r>
    </w:p>
    <w:p w14:paraId="27DF72F4" w14:textId="2E99C417" w:rsidR="003B39C1" w:rsidRPr="003E7EE5" w:rsidRDefault="003B39C1" w:rsidP="00F12072">
      <w:pPr>
        <w:autoSpaceDE w:val="0"/>
        <w:autoSpaceDN w:val="0"/>
        <w:adjustRightInd w:val="0"/>
        <w:spacing w:line="360" w:lineRule="auto"/>
        <w:ind w:left="426" w:hanging="426"/>
        <w:rPr>
          <w:color w:val="000000" w:themeColor="text1"/>
        </w:rPr>
      </w:pPr>
      <w:r w:rsidRPr="003E7EE5">
        <w:rPr>
          <w:color w:val="000000" w:themeColor="text1"/>
        </w:rPr>
        <w:t xml:space="preserve">Spiller, S.A., </w:t>
      </w:r>
      <w:r w:rsidR="004B0CD4" w:rsidRPr="003E7EE5">
        <w:rPr>
          <w:color w:val="000000" w:themeColor="text1"/>
        </w:rPr>
        <w:t>Fitzsimons, J.G.</w:t>
      </w:r>
      <w:r w:rsidR="00A91DE7" w:rsidRPr="003E7EE5">
        <w:rPr>
          <w:color w:val="000000" w:themeColor="text1"/>
        </w:rPr>
        <w:t>,</w:t>
      </w:r>
      <w:r w:rsidR="004B0CD4" w:rsidRPr="003E7EE5">
        <w:rPr>
          <w:color w:val="000000" w:themeColor="text1"/>
        </w:rPr>
        <w:t xml:space="preserve"> Lynch</w:t>
      </w:r>
      <w:r w:rsidR="00A91DE7" w:rsidRPr="003E7EE5">
        <w:rPr>
          <w:color w:val="000000" w:themeColor="text1"/>
        </w:rPr>
        <w:t>, G.J.</w:t>
      </w:r>
      <w:r w:rsidR="0049355C" w:rsidRPr="003E7EE5">
        <w:rPr>
          <w:color w:val="000000" w:themeColor="text1"/>
        </w:rPr>
        <w:t>,</w:t>
      </w:r>
      <w:r w:rsidR="00617A5D" w:rsidRPr="003E7EE5">
        <w:rPr>
          <w:color w:val="000000" w:themeColor="text1"/>
        </w:rPr>
        <w:t xml:space="preserve"> </w:t>
      </w:r>
      <w:r w:rsidR="007E71B6" w:rsidRPr="003E7EE5">
        <w:rPr>
          <w:color w:val="000000" w:themeColor="text1"/>
        </w:rPr>
        <w:t>and</w:t>
      </w:r>
      <w:r w:rsidR="004B0CD4" w:rsidRPr="003E7EE5">
        <w:rPr>
          <w:color w:val="000000" w:themeColor="text1"/>
        </w:rPr>
        <w:t xml:space="preserve"> McClelland</w:t>
      </w:r>
      <w:r w:rsidR="00A91DE7" w:rsidRPr="003E7EE5">
        <w:rPr>
          <w:color w:val="000000" w:themeColor="text1"/>
        </w:rPr>
        <w:t>, G.H.</w:t>
      </w:r>
      <w:r w:rsidRPr="003E7EE5">
        <w:rPr>
          <w:color w:val="000000" w:themeColor="text1"/>
        </w:rPr>
        <w:t xml:space="preserve"> (2013)</w:t>
      </w:r>
      <w:r w:rsidR="00F67E61" w:rsidRPr="003E7EE5">
        <w:rPr>
          <w:color w:val="000000" w:themeColor="text1"/>
        </w:rPr>
        <w:t>,</w:t>
      </w:r>
      <w:r w:rsidRPr="003E7EE5">
        <w:rPr>
          <w:color w:val="000000" w:themeColor="text1"/>
        </w:rPr>
        <w:t xml:space="preserve"> </w:t>
      </w:r>
      <w:r w:rsidR="00F67E61" w:rsidRPr="003E7EE5">
        <w:rPr>
          <w:color w:val="000000" w:themeColor="text1"/>
        </w:rPr>
        <w:t>“</w:t>
      </w:r>
      <w:r w:rsidRPr="003E7EE5">
        <w:rPr>
          <w:color w:val="000000" w:themeColor="text1"/>
        </w:rPr>
        <w:t xml:space="preserve">Spotlights, floodlights, and the magic number zero: </w:t>
      </w:r>
      <w:r w:rsidR="00692F28">
        <w:rPr>
          <w:color w:val="000000" w:themeColor="text1"/>
        </w:rPr>
        <w:t>s</w:t>
      </w:r>
      <w:r w:rsidRPr="003E7EE5">
        <w:rPr>
          <w:color w:val="000000" w:themeColor="text1"/>
        </w:rPr>
        <w:t>imple effect</w:t>
      </w:r>
      <w:r w:rsidR="004B0CD4" w:rsidRPr="003E7EE5">
        <w:rPr>
          <w:color w:val="000000" w:themeColor="text1"/>
        </w:rPr>
        <w:t>s tests in moderated regression</w:t>
      </w:r>
      <w:r w:rsidR="00F67E61" w:rsidRPr="003E7EE5">
        <w:rPr>
          <w:color w:val="000000" w:themeColor="text1"/>
        </w:rPr>
        <w:t>”,</w:t>
      </w:r>
      <w:r w:rsidRPr="003E7EE5">
        <w:rPr>
          <w:color w:val="000000" w:themeColor="text1"/>
        </w:rPr>
        <w:t xml:space="preserve"> </w:t>
      </w:r>
      <w:r w:rsidRPr="003E7EE5">
        <w:rPr>
          <w:i/>
          <w:iCs/>
          <w:color w:val="000000" w:themeColor="text1"/>
        </w:rPr>
        <w:t xml:space="preserve">Journal of Marketing Research, </w:t>
      </w:r>
      <w:r w:rsidR="00F67E61" w:rsidRPr="003E7EE5">
        <w:rPr>
          <w:color w:val="000000" w:themeColor="text1"/>
        </w:rPr>
        <w:t xml:space="preserve">Vol. </w:t>
      </w:r>
      <w:r w:rsidR="004B0CD4" w:rsidRPr="003E7EE5">
        <w:rPr>
          <w:iCs/>
          <w:color w:val="000000" w:themeColor="text1"/>
        </w:rPr>
        <w:t>50</w:t>
      </w:r>
      <w:r w:rsidR="00F67E61" w:rsidRPr="003E7EE5">
        <w:rPr>
          <w:iCs/>
          <w:color w:val="000000" w:themeColor="text1"/>
        </w:rPr>
        <w:t xml:space="preserve"> No. </w:t>
      </w:r>
      <w:r w:rsidR="00355436" w:rsidRPr="003E7EE5">
        <w:rPr>
          <w:iCs/>
          <w:color w:val="000000" w:themeColor="text1"/>
        </w:rPr>
        <w:t>2</w:t>
      </w:r>
      <w:r w:rsidRPr="003E7EE5">
        <w:rPr>
          <w:iCs/>
          <w:color w:val="000000" w:themeColor="text1"/>
        </w:rPr>
        <w:t>,</w:t>
      </w:r>
      <w:r w:rsidRPr="003E7EE5">
        <w:rPr>
          <w:color w:val="000000" w:themeColor="text1"/>
        </w:rPr>
        <w:t xml:space="preserve"> </w:t>
      </w:r>
      <w:r w:rsidR="004B0CD4" w:rsidRPr="003E7EE5">
        <w:rPr>
          <w:color w:val="000000" w:themeColor="text1"/>
        </w:rPr>
        <w:t xml:space="preserve">pp. </w:t>
      </w:r>
      <w:r w:rsidRPr="003E7EE5">
        <w:rPr>
          <w:color w:val="000000" w:themeColor="text1"/>
        </w:rPr>
        <w:t>277–288.</w:t>
      </w:r>
    </w:p>
    <w:p w14:paraId="4249C079" w14:textId="5C04755E" w:rsidR="003B39C1" w:rsidRDefault="003B39C1" w:rsidP="00F12072">
      <w:pPr>
        <w:widowControl w:val="0"/>
        <w:autoSpaceDE w:val="0"/>
        <w:autoSpaceDN w:val="0"/>
        <w:adjustRightInd w:val="0"/>
        <w:spacing w:line="360" w:lineRule="auto"/>
        <w:ind w:left="426" w:hanging="426"/>
        <w:rPr>
          <w:color w:val="000000" w:themeColor="text1"/>
        </w:rPr>
      </w:pPr>
      <w:r w:rsidRPr="003E7EE5">
        <w:rPr>
          <w:color w:val="000000" w:themeColor="text1"/>
        </w:rPr>
        <w:t xml:space="preserve">Srinivasan, R., </w:t>
      </w:r>
      <w:proofErr w:type="spellStart"/>
      <w:r w:rsidR="004B0CD4" w:rsidRPr="003E7EE5">
        <w:rPr>
          <w:color w:val="000000" w:themeColor="text1"/>
        </w:rPr>
        <w:t>Rangaswamy</w:t>
      </w:r>
      <w:proofErr w:type="spellEnd"/>
      <w:r w:rsidR="00A91DE7" w:rsidRPr="003E7EE5">
        <w:rPr>
          <w:color w:val="000000" w:themeColor="text1"/>
        </w:rPr>
        <w:t xml:space="preserve">, A. </w:t>
      </w:r>
      <w:r w:rsidR="007E71B6" w:rsidRPr="003E7EE5">
        <w:rPr>
          <w:color w:val="000000" w:themeColor="text1"/>
        </w:rPr>
        <w:t>and</w:t>
      </w:r>
      <w:r w:rsidR="004B0CD4" w:rsidRPr="003E7EE5">
        <w:rPr>
          <w:color w:val="000000" w:themeColor="text1"/>
        </w:rPr>
        <w:t xml:space="preserve"> </w:t>
      </w:r>
      <w:proofErr w:type="spellStart"/>
      <w:r w:rsidR="004B0CD4" w:rsidRPr="003E7EE5">
        <w:rPr>
          <w:color w:val="000000" w:themeColor="text1"/>
        </w:rPr>
        <w:t>Lilien</w:t>
      </w:r>
      <w:proofErr w:type="spellEnd"/>
      <w:r w:rsidR="00A91DE7" w:rsidRPr="003E7EE5">
        <w:rPr>
          <w:color w:val="000000" w:themeColor="text1"/>
        </w:rPr>
        <w:t>, G.</w:t>
      </w:r>
      <w:r w:rsidRPr="003E7EE5">
        <w:rPr>
          <w:color w:val="000000" w:themeColor="text1"/>
        </w:rPr>
        <w:t xml:space="preserve"> (2005)</w:t>
      </w:r>
      <w:r w:rsidR="00F67E61" w:rsidRPr="003E7EE5">
        <w:rPr>
          <w:color w:val="000000" w:themeColor="text1"/>
        </w:rPr>
        <w:t>,</w:t>
      </w:r>
      <w:r w:rsidRPr="003E7EE5">
        <w:rPr>
          <w:color w:val="000000" w:themeColor="text1"/>
        </w:rPr>
        <w:t xml:space="preserve"> </w:t>
      </w:r>
      <w:r w:rsidR="00F67E61" w:rsidRPr="003E7EE5">
        <w:rPr>
          <w:color w:val="000000" w:themeColor="text1"/>
        </w:rPr>
        <w:t>“</w:t>
      </w:r>
      <w:r w:rsidRPr="003E7EE5">
        <w:rPr>
          <w:color w:val="000000" w:themeColor="text1"/>
        </w:rPr>
        <w:t>Turning adversity into advantage: Does proactive market</w:t>
      </w:r>
      <w:r w:rsidR="004B0CD4" w:rsidRPr="003E7EE5">
        <w:rPr>
          <w:color w:val="000000" w:themeColor="text1"/>
        </w:rPr>
        <w:t>ing during a recession pay off?</w:t>
      </w:r>
      <w:r w:rsidR="00F67E61" w:rsidRPr="003E7EE5">
        <w:rPr>
          <w:color w:val="000000" w:themeColor="text1"/>
        </w:rPr>
        <w:t>”,</w:t>
      </w:r>
      <w:r w:rsidR="00A91DE7" w:rsidRPr="003E7EE5">
        <w:rPr>
          <w:color w:val="000000" w:themeColor="text1"/>
        </w:rPr>
        <w:t xml:space="preserve"> </w:t>
      </w:r>
      <w:r w:rsidRPr="003E7EE5">
        <w:rPr>
          <w:i/>
          <w:color w:val="000000" w:themeColor="text1"/>
        </w:rPr>
        <w:t>International Journal of Research in Marketing</w:t>
      </w:r>
      <w:r w:rsidRPr="005E1791">
        <w:rPr>
          <w:iCs/>
          <w:color w:val="000000" w:themeColor="text1"/>
        </w:rPr>
        <w:t>,</w:t>
      </w:r>
      <w:r w:rsidR="004B0CD4" w:rsidRPr="003E7EE5">
        <w:rPr>
          <w:color w:val="000000" w:themeColor="text1"/>
        </w:rPr>
        <w:t xml:space="preserve"> </w:t>
      </w:r>
      <w:r w:rsidR="00F67E61" w:rsidRPr="003E7EE5">
        <w:rPr>
          <w:color w:val="000000" w:themeColor="text1"/>
        </w:rPr>
        <w:t>Vol. 22 No.</w:t>
      </w:r>
      <w:r w:rsidR="00EB15BA" w:rsidRPr="003E7EE5">
        <w:rPr>
          <w:color w:val="000000" w:themeColor="text1"/>
        </w:rPr>
        <w:t xml:space="preserve"> 2</w:t>
      </w:r>
      <w:proofErr w:type="gramStart"/>
      <w:r w:rsidR="00F67E61" w:rsidRPr="003E7EE5">
        <w:rPr>
          <w:color w:val="000000" w:themeColor="text1"/>
        </w:rPr>
        <w:t xml:space="preserve">, </w:t>
      </w:r>
      <w:r w:rsidRPr="003E7EE5">
        <w:rPr>
          <w:color w:val="000000" w:themeColor="text1"/>
        </w:rPr>
        <w:t>,</w:t>
      </w:r>
      <w:proofErr w:type="gramEnd"/>
      <w:r w:rsidRPr="003E7EE5">
        <w:rPr>
          <w:color w:val="000000" w:themeColor="text1"/>
        </w:rPr>
        <w:t xml:space="preserve"> </w:t>
      </w:r>
      <w:r w:rsidR="004B0CD4" w:rsidRPr="003E7EE5">
        <w:rPr>
          <w:color w:val="000000" w:themeColor="text1"/>
        </w:rPr>
        <w:t xml:space="preserve">pp. </w:t>
      </w:r>
      <w:r w:rsidRPr="003E7EE5">
        <w:rPr>
          <w:color w:val="000000" w:themeColor="text1"/>
        </w:rPr>
        <w:t>109–125.</w:t>
      </w:r>
    </w:p>
    <w:p w14:paraId="2C5663C3" w14:textId="116A7C9A" w:rsidR="00C968C4" w:rsidRPr="00C968C4" w:rsidRDefault="00C968C4" w:rsidP="00C968C4">
      <w:pPr>
        <w:spacing w:after="120"/>
        <w:ind w:left="567" w:hanging="567"/>
        <w:jc w:val="both"/>
        <w:outlineLvl w:val="0"/>
        <w:rPr>
          <w:color w:val="000000" w:themeColor="text1"/>
        </w:rPr>
      </w:pPr>
      <w:r>
        <w:rPr>
          <w:color w:val="000000" w:themeColor="text1"/>
          <w:shd w:val="clear" w:color="auto" w:fill="FFFFFF"/>
        </w:rPr>
        <w:t>Stewart, B.</w:t>
      </w:r>
      <w:r w:rsidRPr="00B15889">
        <w:rPr>
          <w:color w:val="000000" w:themeColor="text1"/>
          <w:shd w:val="clear" w:color="auto" w:fill="FFFFFF"/>
        </w:rPr>
        <w:t xml:space="preserve"> (2022)</w:t>
      </w:r>
      <w:r>
        <w:rPr>
          <w:color w:val="000000" w:themeColor="text1"/>
          <w:shd w:val="clear" w:color="auto" w:fill="FFFFFF"/>
        </w:rPr>
        <w:t>,</w:t>
      </w:r>
      <w:r w:rsidRPr="00B15889">
        <w:rPr>
          <w:color w:val="000000" w:themeColor="text1"/>
          <w:shd w:val="clear" w:color="auto" w:fill="FFFFFF"/>
        </w:rPr>
        <w:t xml:space="preserve"> ’’These global brands have one thing in common when it comes to recession’’, available at: </w:t>
      </w:r>
      <w:hyperlink r:id="rId14" w:history="1">
        <w:r w:rsidRPr="00B15889">
          <w:rPr>
            <w:rStyle w:val="Hyperlink"/>
            <w:color w:val="000000" w:themeColor="text1"/>
          </w:rPr>
          <w:t>https://www.adweek.com/brand-marketing/these-global-brands-have-one-thing-in-common-when-it-comes-to-recession-planning/</w:t>
        </w:r>
      </w:hyperlink>
      <w:r w:rsidRPr="00B15889">
        <w:rPr>
          <w:rStyle w:val="Hyperlink"/>
          <w:color w:val="000000" w:themeColor="text1"/>
        </w:rPr>
        <w:t xml:space="preserve"> </w:t>
      </w:r>
      <w:r w:rsidRPr="00B15889">
        <w:rPr>
          <w:color w:val="000000" w:themeColor="text1"/>
        </w:rPr>
        <w:t>(accessed 9 February 2024)</w:t>
      </w:r>
    </w:p>
    <w:p w14:paraId="2269C6E3" w14:textId="582EB9A4" w:rsidR="003B39C1" w:rsidRPr="003E7EE5" w:rsidRDefault="003B39C1" w:rsidP="00F12072">
      <w:pPr>
        <w:autoSpaceDE w:val="0"/>
        <w:autoSpaceDN w:val="0"/>
        <w:adjustRightInd w:val="0"/>
        <w:spacing w:line="360" w:lineRule="auto"/>
        <w:ind w:left="426" w:hanging="426"/>
        <w:rPr>
          <w:color w:val="000000" w:themeColor="text1"/>
        </w:rPr>
      </w:pPr>
      <w:r w:rsidRPr="003E7EE5">
        <w:rPr>
          <w:color w:val="000000" w:themeColor="text1"/>
        </w:rPr>
        <w:t>Steenkamp, J.B.E.,</w:t>
      </w:r>
      <w:r w:rsidR="004B0CD4" w:rsidRPr="003E7EE5">
        <w:rPr>
          <w:color w:val="000000" w:themeColor="text1"/>
        </w:rPr>
        <w:t xml:space="preserve"> De Jong, </w:t>
      </w:r>
      <w:r w:rsidR="00A91DE7" w:rsidRPr="003E7EE5">
        <w:rPr>
          <w:color w:val="000000" w:themeColor="text1"/>
        </w:rPr>
        <w:t xml:space="preserve">M.G. </w:t>
      </w:r>
      <w:r w:rsidR="007E71B6" w:rsidRPr="003E7EE5">
        <w:rPr>
          <w:color w:val="000000" w:themeColor="text1"/>
        </w:rPr>
        <w:t>and</w:t>
      </w:r>
      <w:r w:rsidR="00A91DE7" w:rsidRPr="003E7EE5">
        <w:rPr>
          <w:color w:val="000000" w:themeColor="text1"/>
        </w:rPr>
        <w:t xml:space="preserve"> </w:t>
      </w:r>
      <w:r w:rsidR="004B0CD4" w:rsidRPr="003E7EE5">
        <w:rPr>
          <w:color w:val="000000" w:themeColor="text1"/>
        </w:rPr>
        <w:t>Baumgartner</w:t>
      </w:r>
      <w:r w:rsidR="00A91DE7" w:rsidRPr="003E7EE5">
        <w:rPr>
          <w:color w:val="000000" w:themeColor="text1"/>
        </w:rPr>
        <w:t>, H.</w:t>
      </w:r>
      <w:r w:rsidR="00692F28">
        <w:rPr>
          <w:color w:val="000000" w:themeColor="text1"/>
        </w:rPr>
        <w:t xml:space="preserve"> </w:t>
      </w:r>
      <w:r w:rsidRPr="003E7EE5">
        <w:rPr>
          <w:color w:val="000000" w:themeColor="text1"/>
        </w:rPr>
        <w:t>(2010)</w:t>
      </w:r>
      <w:r w:rsidR="00F67E61" w:rsidRPr="003E7EE5">
        <w:rPr>
          <w:color w:val="000000" w:themeColor="text1"/>
        </w:rPr>
        <w:t>,</w:t>
      </w:r>
      <w:r w:rsidRPr="003E7EE5">
        <w:rPr>
          <w:color w:val="000000" w:themeColor="text1"/>
        </w:rPr>
        <w:t xml:space="preserve"> </w:t>
      </w:r>
      <w:r w:rsidR="00F67E61" w:rsidRPr="003E7EE5">
        <w:rPr>
          <w:color w:val="000000" w:themeColor="text1"/>
        </w:rPr>
        <w:t>“</w:t>
      </w:r>
      <w:r w:rsidRPr="003E7EE5">
        <w:rPr>
          <w:color w:val="000000" w:themeColor="text1"/>
        </w:rPr>
        <w:t>Socially desirable response</w:t>
      </w:r>
      <w:r w:rsidR="004B0CD4" w:rsidRPr="003E7EE5">
        <w:rPr>
          <w:color w:val="000000" w:themeColor="text1"/>
        </w:rPr>
        <w:t xml:space="preserve"> tendencies in survey research</w:t>
      </w:r>
      <w:r w:rsidR="00F67E61" w:rsidRPr="003E7EE5">
        <w:rPr>
          <w:color w:val="000000" w:themeColor="text1"/>
        </w:rPr>
        <w:t>”,</w:t>
      </w:r>
      <w:r w:rsidR="004B0CD4" w:rsidRPr="003E7EE5">
        <w:rPr>
          <w:color w:val="000000" w:themeColor="text1"/>
        </w:rPr>
        <w:t xml:space="preserve"> </w:t>
      </w:r>
      <w:r w:rsidRPr="003E7EE5">
        <w:rPr>
          <w:i/>
          <w:iCs/>
          <w:color w:val="000000" w:themeColor="text1"/>
        </w:rPr>
        <w:t xml:space="preserve">Journal of Marketing Research, </w:t>
      </w:r>
      <w:r w:rsidR="00F67E61" w:rsidRPr="003E7EE5">
        <w:rPr>
          <w:iCs/>
          <w:color w:val="000000" w:themeColor="text1"/>
        </w:rPr>
        <w:t>Vol. 47 No.</w:t>
      </w:r>
      <w:r w:rsidR="00355436" w:rsidRPr="003E7EE5">
        <w:rPr>
          <w:iCs/>
          <w:color w:val="000000" w:themeColor="text1"/>
        </w:rPr>
        <w:t xml:space="preserve"> 2</w:t>
      </w:r>
      <w:r w:rsidR="004B0CD4" w:rsidRPr="003E7EE5">
        <w:rPr>
          <w:iCs/>
          <w:color w:val="000000" w:themeColor="text1"/>
        </w:rPr>
        <w:t xml:space="preserve">, pp. </w:t>
      </w:r>
      <w:r w:rsidRPr="003E7EE5">
        <w:rPr>
          <w:color w:val="000000" w:themeColor="text1"/>
        </w:rPr>
        <w:t>199–214.</w:t>
      </w:r>
    </w:p>
    <w:p w14:paraId="4467D3DD" w14:textId="6AB82592" w:rsidR="003B39C1" w:rsidRPr="003E7EE5" w:rsidRDefault="00ED7CDB" w:rsidP="00F12072">
      <w:pPr>
        <w:autoSpaceDE w:val="0"/>
        <w:autoSpaceDN w:val="0"/>
        <w:adjustRightInd w:val="0"/>
        <w:spacing w:line="360" w:lineRule="auto"/>
        <w:ind w:left="426" w:hanging="426"/>
        <w:rPr>
          <w:color w:val="000000" w:themeColor="text1"/>
        </w:rPr>
      </w:pPr>
      <w:r w:rsidRPr="003E7EE5">
        <w:rPr>
          <w:color w:val="000000" w:themeColor="text1"/>
        </w:rPr>
        <w:t xml:space="preserve">Strahan, R.F. </w:t>
      </w:r>
      <w:r w:rsidR="007E71B6" w:rsidRPr="003E7EE5">
        <w:rPr>
          <w:color w:val="000000" w:themeColor="text1"/>
        </w:rPr>
        <w:t>and</w:t>
      </w:r>
      <w:r w:rsidRPr="003E7EE5">
        <w:rPr>
          <w:color w:val="000000" w:themeColor="text1"/>
        </w:rPr>
        <w:t xml:space="preserve"> </w:t>
      </w:r>
      <w:proofErr w:type="spellStart"/>
      <w:r w:rsidRPr="003E7EE5">
        <w:rPr>
          <w:color w:val="000000" w:themeColor="text1"/>
        </w:rPr>
        <w:t>Gerbasi</w:t>
      </w:r>
      <w:proofErr w:type="spellEnd"/>
      <w:r w:rsidR="00A91DE7" w:rsidRPr="003E7EE5">
        <w:rPr>
          <w:color w:val="000000" w:themeColor="text1"/>
        </w:rPr>
        <w:t>, K.C.</w:t>
      </w:r>
      <w:r w:rsidR="003B39C1" w:rsidRPr="003E7EE5">
        <w:rPr>
          <w:color w:val="000000" w:themeColor="text1"/>
        </w:rPr>
        <w:t xml:space="preserve"> (1972)</w:t>
      </w:r>
      <w:r w:rsidR="00F67E61" w:rsidRPr="003E7EE5">
        <w:rPr>
          <w:color w:val="000000" w:themeColor="text1"/>
        </w:rPr>
        <w:t>,</w:t>
      </w:r>
      <w:r w:rsidR="003B39C1" w:rsidRPr="003E7EE5">
        <w:rPr>
          <w:color w:val="000000" w:themeColor="text1"/>
        </w:rPr>
        <w:t xml:space="preserve"> </w:t>
      </w:r>
      <w:r w:rsidR="00F67E61" w:rsidRPr="003E7EE5">
        <w:rPr>
          <w:color w:val="000000" w:themeColor="text1"/>
        </w:rPr>
        <w:t>“</w:t>
      </w:r>
      <w:r w:rsidR="003B39C1" w:rsidRPr="003E7EE5">
        <w:rPr>
          <w:color w:val="000000" w:themeColor="text1"/>
        </w:rPr>
        <w:t>Short, homogeneous versions of the Marlowe–Crowne social desira</w:t>
      </w:r>
      <w:r w:rsidRPr="003E7EE5">
        <w:rPr>
          <w:color w:val="000000" w:themeColor="text1"/>
        </w:rPr>
        <w:t>bility scale</w:t>
      </w:r>
      <w:r w:rsidR="00F67E61" w:rsidRPr="003E7EE5">
        <w:rPr>
          <w:color w:val="000000" w:themeColor="text1"/>
        </w:rPr>
        <w:t>”,</w:t>
      </w:r>
      <w:r w:rsidR="003B39C1" w:rsidRPr="003E7EE5">
        <w:rPr>
          <w:color w:val="000000" w:themeColor="text1"/>
        </w:rPr>
        <w:t xml:space="preserve"> </w:t>
      </w:r>
      <w:r w:rsidR="003B39C1" w:rsidRPr="003E7EE5">
        <w:rPr>
          <w:i/>
          <w:iCs/>
          <w:color w:val="000000" w:themeColor="text1"/>
        </w:rPr>
        <w:t>J</w:t>
      </w:r>
      <w:r w:rsidRPr="003E7EE5">
        <w:rPr>
          <w:i/>
          <w:iCs/>
          <w:color w:val="000000" w:themeColor="text1"/>
        </w:rPr>
        <w:t>ournal of Clinical Psychology</w:t>
      </w:r>
      <w:r w:rsidRPr="005E1791">
        <w:rPr>
          <w:color w:val="000000" w:themeColor="text1"/>
        </w:rPr>
        <w:t>,</w:t>
      </w:r>
      <w:r w:rsidRPr="003E7EE5">
        <w:rPr>
          <w:i/>
          <w:iCs/>
          <w:color w:val="000000" w:themeColor="text1"/>
        </w:rPr>
        <w:t xml:space="preserve"> </w:t>
      </w:r>
      <w:r w:rsidR="00F67E61" w:rsidRPr="003E7EE5">
        <w:rPr>
          <w:color w:val="000000" w:themeColor="text1"/>
        </w:rPr>
        <w:t xml:space="preserve">Vol. </w:t>
      </w:r>
      <w:r w:rsidRPr="003E7EE5">
        <w:rPr>
          <w:iCs/>
          <w:color w:val="000000" w:themeColor="text1"/>
        </w:rPr>
        <w:t>28,</w:t>
      </w:r>
      <w:r w:rsidR="003B39C1" w:rsidRPr="003E7EE5">
        <w:rPr>
          <w:color w:val="000000" w:themeColor="text1"/>
        </w:rPr>
        <w:t xml:space="preserve"> </w:t>
      </w:r>
      <w:r w:rsidRPr="003E7EE5">
        <w:rPr>
          <w:color w:val="000000" w:themeColor="text1"/>
        </w:rPr>
        <w:t xml:space="preserve">pp. </w:t>
      </w:r>
      <w:r w:rsidR="003B39C1" w:rsidRPr="003E7EE5">
        <w:rPr>
          <w:color w:val="000000" w:themeColor="text1"/>
        </w:rPr>
        <w:t>191–193.</w:t>
      </w:r>
    </w:p>
    <w:p w14:paraId="5E37A498" w14:textId="278E0ADC" w:rsidR="003B39C1" w:rsidRPr="003E7EE5" w:rsidRDefault="00E90E65"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Teixeira, E.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Werther</w:t>
      </w:r>
      <w:r w:rsidR="00E51D8F" w:rsidRPr="003E7EE5">
        <w:rPr>
          <w:rFonts w:eastAsia="Times New Roman"/>
          <w:color w:val="000000" w:themeColor="text1"/>
          <w:shd w:val="clear" w:color="auto" w:fill="FFFFFF"/>
        </w:rPr>
        <w:t>, W.B.</w:t>
      </w:r>
      <w:r w:rsidRPr="003E7EE5">
        <w:rPr>
          <w:rFonts w:eastAsia="Times New Roman"/>
          <w:color w:val="000000" w:themeColor="text1"/>
          <w:shd w:val="clear" w:color="auto" w:fill="FFFFFF"/>
        </w:rPr>
        <w:t xml:space="preserve"> </w:t>
      </w:r>
      <w:r w:rsidR="003B39C1" w:rsidRPr="003E7EE5">
        <w:rPr>
          <w:rFonts w:eastAsia="Times New Roman"/>
          <w:color w:val="000000" w:themeColor="text1"/>
          <w:shd w:val="clear" w:color="auto" w:fill="FFFFFF"/>
        </w:rPr>
        <w:t>(2013)</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Resilience: </w:t>
      </w:r>
      <w:r w:rsidR="00692F28">
        <w:rPr>
          <w:rFonts w:eastAsia="Times New Roman"/>
          <w:color w:val="000000" w:themeColor="text1"/>
          <w:shd w:val="clear" w:color="auto" w:fill="FFFFFF"/>
        </w:rPr>
        <w:t>c</w:t>
      </w:r>
      <w:r w:rsidR="003B39C1" w:rsidRPr="003E7EE5">
        <w:rPr>
          <w:rFonts w:eastAsia="Times New Roman"/>
          <w:color w:val="000000" w:themeColor="text1"/>
          <w:shd w:val="clear" w:color="auto" w:fill="FFFFFF"/>
        </w:rPr>
        <w:t>ontinuous renewal of competitive advantages</w:t>
      </w:r>
      <w:r w:rsidR="00F67E61" w:rsidRPr="003E7EE5">
        <w:rPr>
          <w:rFonts w:eastAsia="Times New Roman"/>
          <w:color w:val="000000" w:themeColor="text1"/>
          <w:shd w:val="clear" w:color="auto" w:fill="FFFFFF"/>
        </w:rPr>
        <w:t>”,</w:t>
      </w:r>
      <w:r w:rsidR="00E51D8F" w:rsidRPr="003E7EE5">
        <w:rPr>
          <w:rFonts w:eastAsia="Times New Roman"/>
          <w:color w:val="000000" w:themeColor="text1"/>
          <w:shd w:val="clear" w:color="auto" w:fill="FFFFFF"/>
        </w:rPr>
        <w:t xml:space="preserve"> </w:t>
      </w:r>
      <w:r w:rsidR="003B39C1" w:rsidRPr="003E7EE5">
        <w:rPr>
          <w:rFonts w:eastAsia="Times New Roman"/>
          <w:i/>
          <w:iCs/>
          <w:color w:val="000000" w:themeColor="text1"/>
        </w:rPr>
        <w:t>Business Horizons</w:t>
      </w:r>
      <w:r w:rsidR="003B39C1"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F67E61" w:rsidRPr="003E7EE5">
        <w:rPr>
          <w:rFonts w:eastAsia="Times New Roman"/>
          <w:color w:val="000000" w:themeColor="text1"/>
          <w:shd w:val="clear" w:color="auto" w:fill="FFFFFF"/>
        </w:rPr>
        <w:t>Vol. 56 No.</w:t>
      </w:r>
      <w:r w:rsidR="003B39C1" w:rsidRPr="003E7EE5">
        <w:rPr>
          <w:rFonts w:eastAsia="Times New Roman"/>
          <w:color w:val="000000" w:themeColor="text1"/>
          <w:shd w:val="clear" w:color="auto" w:fill="FFFFFF"/>
        </w:rPr>
        <w:t xml:space="preserve"> </w:t>
      </w:r>
      <w:r w:rsidR="00355436" w:rsidRPr="003E7EE5">
        <w:rPr>
          <w:rFonts w:eastAsia="Times New Roman"/>
          <w:color w:val="000000" w:themeColor="text1"/>
          <w:shd w:val="clear" w:color="auto" w:fill="FFFFFF"/>
        </w:rPr>
        <w:t xml:space="preserve">3, </w:t>
      </w:r>
      <w:r w:rsidRPr="003E7EE5">
        <w:rPr>
          <w:rFonts w:eastAsia="Times New Roman"/>
          <w:color w:val="000000" w:themeColor="text1"/>
          <w:shd w:val="clear" w:color="auto" w:fill="FFFFFF"/>
        </w:rPr>
        <w:t xml:space="preserve">pp. </w:t>
      </w:r>
      <w:r w:rsidR="003B39C1" w:rsidRPr="003E7EE5">
        <w:rPr>
          <w:rFonts w:eastAsia="Times New Roman"/>
          <w:color w:val="000000" w:themeColor="text1"/>
          <w:shd w:val="clear" w:color="auto" w:fill="FFFFFF"/>
        </w:rPr>
        <w:t>333-342.</w:t>
      </w:r>
    </w:p>
    <w:p w14:paraId="39B73607" w14:textId="0F43508C" w:rsidR="003B39C1" w:rsidRPr="003E7EE5" w:rsidRDefault="003B39C1" w:rsidP="005E1791">
      <w:pPr>
        <w:widowControl w:val="0"/>
        <w:autoSpaceDE w:val="0"/>
        <w:autoSpaceDN w:val="0"/>
        <w:adjustRightInd w:val="0"/>
        <w:spacing w:line="360" w:lineRule="auto"/>
        <w:ind w:left="426" w:hanging="426"/>
        <w:rPr>
          <w:color w:val="000000" w:themeColor="text1"/>
        </w:rPr>
      </w:pPr>
      <w:proofErr w:type="spellStart"/>
      <w:r w:rsidRPr="003E7EE5">
        <w:rPr>
          <w:color w:val="000000" w:themeColor="text1"/>
        </w:rPr>
        <w:t>Turker</w:t>
      </w:r>
      <w:proofErr w:type="spellEnd"/>
      <w:r w:rsidRPr="003E7EE5">
        <w:rPr>
          <w:color w:val="000000" w:themeColor="text1"/>
        </w:rPr>
        <w:t>, D. (2009)</w:t>
      </w:r>
      <w:r w:rsidR="00F67E61" w:rsidRPr="003E7EE5">
        <w:rPr>
          <w:color w:val="000000" w:themeColor="text1"/>
        </w:rPr>
        <w:t>,</w:t>
      </w:r>
      <w:r w:rsidRPr="003E7EE5">
        <w:rPr>
          <w:color w:val="000000" w:themeColor="text1"/>
        </w:rPr>
        <w:t xml:space="preserve"> </w:t>
      </w:r>
      <w:r w:rsidR="00F67E61" w:rsidRPr="003E7EE5">
        <w:rPr>
          <w:color w:val="000000" w:themeColor="text1"/>
        </w:rPr>
        <w:t>“</w:t>
      </w:r>
      <w:r w:rsidRPr="003E7EE5">
        <w:rPr>
          <w:color w:val="000000" w:themeColor="text1"/>
        </w:rPr>
        <w:t xml:space="preserve">Measuring corporate social responsibility: </w:t>
      </w:r>
      <w:r w:rsidR="00692F28">
        <w:rPr>
          <w:color w:val="000000" w:themeColor="text1"/>
        </w:rPr>
        <w:t>a</w:t>
      </w:r>
      <w:r w:rsidRPr="003E7EE5">
        <w:rPr>
          <w:color w:val="000000" w:themeColor="text1"/>
        </w:rPr>
        <w:t xml:space="preserve"> scale development study</w:t>
      </w:r>
      <w:r w:rsidR="00F67E61" w:rsidRPr="003E7EE5">
        <w:rPr>
          <w:color w:val="000000" w:themeColor="text1"/>
        </w:rPr>
        <w:t>”</w:t>
      </w:r>
      <w:r w:rsidR="00692F28">
        <w:rPr>
          <w:color w:val="000000" w:themeColor="text1"/>
        </w:rPr>
        <w:t>,</w:t>
      </w:r>
      <w:r w:rsidRPr="003E7EE5">
        <w:rPr>
          <w:color w:val="000000" w:themeColor="text1"/>
        </w:rPr>
        <w:t xml:space="preserve"> </w:t>
      </w:r>
      <w:r w:rsidRPr="003E7EE5">
        <w:rPr>
          <w:i/>
          <w:iCs/>
          <w:color w:val="000000" w:themeColor="text1"/>
        </w:rPr>
        <w:t>Journal of Business Ethics</w:t>
      </w:r>
      <w:r w:rsidRPr="003E7EE5">
        <w:rPr>
          <w:color w:val="000000" w:themeColor="text1"/>
        </w:rPr>
        <w:t xml:space="preserve">, </w:t>
      </w:r>
      <w:r w:rsidR="00F67E61" w:rsidRPr="003E7EE5">
        <w:rPr>
          <w:iCs/>
          <w:color w:val="000000" w:themeColor="text1"/>
        </w:rPr>
        <w:t xml:space="preserve">Vol. 85 No. </w:t>
      </w:r>
      <w:r w:rsidR="00EB15BA" w:rsidRPr="003E7EE5">
        <w:rPr>
          <w:iCs/>
          <w:color w:val="000000" w:themeColor="text1"/>
        </w:rPr>
        <w:t>4</w:t>
      </w:r>
      <w:r w:rsidRPr="003E7EE5">
        <w:rPr>
          <w:color w:val="000000" w:themeColor="text1"/>
        </w:rPr>
        <w:t xml:space="preserve">, </w:t>
      </w:r>
      <w:r w:rsidR="00E90E65" w:rsidRPr="003E7EE5">
        <w:rPr>
          <w:color w:val="000000" w:themeColor="text1"/>
        </w:rPr>
        <w:t xml:space="preserve">pp. </w:t>
      </w:r>
      <w:r w:rsidRPr="003E7EE5">
        <w:rPr>
          <w:color w:val="000000" w:themeColor="text1"/>
        </w:rPr>
        <w:t>411-427.</w:t>
      </w:r>
    </w:p>
    <w:p w14:paraId="55165DA5" w14:textId="548C971C" w:rsidR="003B39C1" w:rsidRDefault="00E90E65" w:rsidP="00F12072">
      <w:pPr>
        <w:spacing w:line="360" w:lineRule="auto"/>
        <w:ind w:left="426" w:hanging="426"/>
        <w:rPr>
          <w:rFonts w:eastAsia="Times New Roman"/>
          <w:color w:val="000000" w:themeColor="text1"/>
          <w:shd w:val="clear" w:color="auto" w:fill="FFFFFF"/>
        </w:rPr>
      </w:pPr>
      <w:r w:rsidRPr="003E7EE5">
        <w:rPr>
          <w:rFonts w:eastAsia="Times New Roman"/>
          <w:color w:val="000000" w:themeColor="text1"/>
          <w:shd w:val="clear" w:color="auto" w:fill="FFFFFF"/>
        </w:rPr>
        <w:t xml:space="preserve">Waddock, S.A. </w:t>
      </w:r>
      <w:r w:rsidR="007E71B6" w:rsidRPr="003E7EE5">
        <w:rPr>
          <w:rFonts w:eastAsia="Times New Roman"/>
          <w:color w:val="000000" w:themeColor="text1"/>
          <w:shd w:val="clear" w:color="auto" w:fill="FFFFFF"/>
        </w:rPr>
        <w:t>and</w:t>
      </w:r>
      <w:r w:rsidRPr="003E7EE5">
        <w:rPr>
          <w:rFonts w:eastAsia="Times New Roman"/>
          <w:color w:val="000000" w:themeColor="text1"/>
          <w:shd w:val="clear" w:color="auto" w:fill="FFFFFF"/>
        </w:rPr>
        <w:t xml:space="preserve"> </w:t>
      </w:r>
      <w:r w:rsidR="003B39C1" w:rsidRPr="003E7EE5">
        <w:rPr>
          <w:rFonts w:eastAsia="Times New Roman"/>
          <w:color w:val="000000" w:themeColor="text1"/>
          <w:shd w:val="clear" w:color="auto" w:fill="FFFFFF"/>
        </w:rPr>
        <w:t>Graves, S.B. (1997)</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 xml:space="preserve"> </w:t>
      </w:r>
      <w:r w:rsidR="00F67E61" w:rsidRPr="003E7EE5">
        <w:rPr>
          <w:rFonts w:eastAsia="Times New Roman"/>
          <w:color w:val="000000" w:themeColor="text1"/>
          <w:shd w:val="clear" w:color="auto" w:fill="FFFFFF"/>
        </w:rPr>
        <w:t>“</w:t>
      </w:r>
      <w:r w:rsidR="003B39C1" w:rsidRPr="003E7EE5">
        <w:rPr>
          <w:rFonts w:eastAsia="Times New Roman"/>
          <w:color w:val="000000" w:themeColor="text1"/>
          <w:shd w:val="clear" w:color="auto" w:fill="FFFFFF"/>
        </w:rPr>
        <w:t>The corporate social performance–financial performance link</w:t>
      </w:r>
      <w:r w:rsidR="00F67E61"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3B39C1" w:rsidRPr="003E7EE5">
        <w:rPr>
          <w:rFonts w:eastAsia="Times New Roman"/>
          <w:i/>
          <w:iCs/>
          <w:color w:val="000000" w:themeColor="text1"/>
        </w:rPr>
        <w:t xml:space="preserve">Strategic </w:t>
      </w:r>
      <w:r w:rsidR="00230562" w:rsidRPr="003E7EE5">
        <w:rPr>
          <w:rFonts w:eastAsia="Times New Roman"/>
          <w:i/>
          <w:iCs/>
          <w:color w:val="000000" w:themeColor="text1"/>
        </w:rPr>
        <w:t>M</w:t>
      </w:r>
      <w:r w:rsidR="003B39C1" w:rsidRPr="003E7EE5">
        <w:rPr>
          <w:rFonts w:eastAsia="Times New Roman"/>
          <w:i/>
          <w:iCs/>
          <w:color w:val="000000" w:themeColor="text1"/>
        </w:rPr>
        <w:t xml:space="preserve">anagement </w:t>
      </w:r>
      <w:r w:rsidR="00230562" w:rsidRPr="003E7EE5">
        <w:rPr>
          <w:rFonts w:eastAsia="Times New Roman"/>
          <w:i/>
          <w:iCs/>
          <w:color w:val="000000" w:themeColor="text1"/>
        </w:rPr>
        <w:t>J</w:t>
      </w:r>
      <w:r w:rsidR="003B39C1" w:rsidRPr="003E7EE5">
        <w:rPr>
          <w:rFonts w:eastAsia="Times New Roman"/>
          <w:i/>
          <w:iCs/>
          <w:color w:val="000000" w:themeColor="text1"/>
        </w:rPr>
        <w:t>ournal</w:t>
      </w:r>
      <w:r w:rsidR="003B39C1" w:rsidRPr="003E7EE5">
        <w:rPr>
          <w:rFonts w:eastAsia="Times New Roman"/>
          <w:color w:val="000000" w:themeColor="text1"/>
          <w:shd w:val="clear" w:color="auto" w:fill="FFFFFF"/>
        </w:rPr>
        <w:t>,</w:t>
      </w:r>
      <w:r w:rsidR="003B39C1" w:rsidRPr="003E7EE5">
        <w:rPr>
          <w:rStyle w:val="apple-converted-space"/>
          <w:color w:val="000000" w:themeColor="text1"/>
          <w:shd w:val="clear" w:color="auto" w:fill="FFFFFF"/>
        </w:rPr>
        <w:t> </w:t>
      </w:r>
      <w:r w:rsidR="00F67E61" w:rsidRPr="003E7EE5">
        <w:rPr>
          <w:rFonts w:eastAsia="Times New Roman"/>
          <w:iCs/>
          <w:color w:val="000000" w:themeColor="text1"/>
        </w:rPr>
        <w:t>Vol. 18 No.</w:t>
      </w:r>
      <w:r w:rsidR="00355436" w:rsidRPr="003E7EE5">
        <w:rPr>
          <w:rFonts w:eastAsia="Times New Roman"/>
          <w:iCs/>
          <w:color w:val="000000" w:themeColor="text1"/>
        </w:rPr>
        <w:t xml:space="preserve"> 4</w:t>
      </w:r>
      <w:r w:rsidRPr="003E7EE5">
        <w:rPr>
          <w:rFonts w:eastAsia="Times New Roman"/>
          <w:iCs/>
          <w:color w:val="000000" w:themeColor="text1"/>
        </w:rPr>
        <w:t>, pp.</w:t>
      </w:r>
      <w:r w:rsidR="003B39C1" w:rsidRPr="003E7EE5">
        <w:rPr>
          <w:rFonts w:eastAsia="Times New Roman"/>
          <w:color w:val="000000" w:themeColor="text1"/>
          <w:shd w:val="clear" w:color="auto" w:fill="FFFFFF"/>
        </w:rPr>
        <w:t xml:space="preserve"> 303-319.</w:t>
      </w:r>
    </w:p>
    <w:p w14:paraId="6AF2B1D5" w14:textId="25C26775" w:rsidR="00B04406" w:rsidRDefault="00B04406" w:rsidP="00F12072">
      <w:pPr>
        <w:spacing w:line="360" w:lineRule="auto"/>
        <w:ind w:left="426" w:hanging="426"/>
        <w:rPr>
          <w:color w:val="000000" w:themeColor="text1"/>
        </w:rPr>
      </w:pPr>
      <w:r>
        <w:rPr>
          <w:color w:val="000000" w:themeColor="text1"/>
        </w:rPr>
        <w:t>Wolf, M.</w:t>
      </w:r>
      <w:r w:rsidRPr="003E7EE5">
        <w:rPr>
          <w:color w:val="000000" w:themeColor="text1"/>
        </w:rPr>
        <w:t xml:space="preserve"> (2015)</w:t>
      </w:r>
      <w:r>
        <w:rPr>
          <w:color w:val="000000" w:themeColor="text1"/>
        </w:rPr>
        <w:t>,</w:t>
      </w:r>
      <w:r w:rsidRPr="003E7EE5">
        <w:rPr>
          <w:color w:val="000000" w:themeColor="text1"/>
        </w:rPr>
        <w:t xml:space="preserve"> </w:t>
      </w:r>
      <w:r>
        <w:rPr>
          <w:color w:val="000000" w:themeColor="text1"/>
        </w:rPr>
        <w:t>“</w:t>
      </w:r>
      <w:r w:rsidRPr="006A489A">
        <w:rPr>
          <w:color w:val="000000" w:themeColor="text1"/>
        </w:rPr>
        <w:t>Greek debt and a default of statesmanship</w:t>
      </w:r>
      <w:r>
        <w:rPr>
          <w:color w:val="000000" w:themeColor="text1"/>
        </w:rPr>
        <w:t>”,</w:t>
      </w:r>
      <w:r w:rsidRPr="003E7EE5">
        <w:rPr>
          <w:color w:val="000000" w:themeColor="text1"/>
        </w:rPr>
        <w:t xml:space="preserve"> </w:t>
      </w:r>
      <w:r w:rsidRPr="006A489A">
        <w:rPr>
          <w:i/>
          <w:iCs/>
          <w:color w:val="000000" w:themeColor="text1"/>
        </w:rPr>
        <w:t>Financial Times</w:t>
      </w:r>
      <w:r>
        <w:rPr>
          <w:color w:val="000000" w:themeColor="text1"/>
        </w:rPr>
        <w:t>,</w:t>
      </w:r>
      <w:r w:rsidRPr="003E7EE5">
        <w:rPr>
          <w:color w:val="000000" w:themeColor="text1"/>
        </w:rPr>
        <w:t xml:space="preserve"> </w:t>
      </w:r>
      <w:r>
        <w:rPr>
          <w:color w:val="000000" w:themeColor="text1"/>
        </w:rPr>
        <w:t>a</w:t>
      </w:r>
      <w:r w:rsidRPr="003E7EE5">
        <w:rPr>
          <w:color w:val="000000" w:themeColor="text1"/>
        </w:rPr>
        <w:t xml:space="preserve">vailable at: </w:t>
      </w:r>
      <w:hyperlink r:id="rId15" w:history="1">
        <w:r w:rsidRPr="003E7EE5">
          <w:rPr>
            <w:rStyle w:val="Hyperlink"/>
            <w:color w:val="000000" w:themeColor="text1"/>
          </w:rPr>
          <w:t>https://www.ft.com/content/44c56806-a556-11e4-ad35-00144feab7de</w:t>
        </w:r>
      </w:hyperlink>
      <w:r w:rsidRPr="003E7EE5">
        <w:rPr>
          <w:rStyle w:val="Hyperlink"/>
          <w:color w:val="000000" w:themeColor="text1"/>
        </w:rPr>
        <w:t xml:space="preserve"> </w:t>
      </w:r>
      <w:r w:rsidRPr="003E7EE5">
        <w:rPr>
          <w:color w:val="000000" w:themeColor="text1"/>
        </w:rPr>
        <w:t>(accessed 4 July 2023)</w:t>
      </w:r>
      <w:r>
        <w:rPr>
          <w:color w:val="000000" w:themeColor="text1"/>
        </w:rPr>
        <w:t>.</w:t>
      </w:r>
    </w:p>
    <w:p w14:paraId="4B7A20E6" w14:textId="383307EB" w:rsidR="00C968C4" w:rsidRPr="00C968C4" w:rsidRDefault="00C968C4" w:rsidP="00F12072">
      <w:pPr>
        <w:spacing w:line="360" w:lineRule="auto"/>
        <w:ind w:left="426" w:hanging="426"/>
        <w:rPr>
          <w:rFonts w:eastAsia="Times New Roman"/>
          <w:color w:val="000000" w:themeColor="text1"/>
          <w:sz w:val="36"/>
          <w:szCs w:val="36"/>
          <w:shd w:val="clear" w:color="auto" w:fill="FFFFFF"/>
        </w:rPr>
      </w:pPr>
      <w:r w:rsidRPr="00C968C4">
        <w:rPr>
          <w:color w:val="000000" w:themeColor="text1"/>
          <w:shd w:val="clear" w:color="auto" w:fill="FFFFFF"/>
        </w:rPr>
        <w:lastRenderedPageBreak/>
        <w:t>Wu, K. J., Liao, C. J., Tseng, M. L., Lim, M. K., Hu, J., and Tan, K., (2017), “Toward sustainability: using big data to explore the decisive attributes of supply chain risks and uncertainties”, </w:t>
      </w:r>
      <w:r w:rsidRPr="00C968C4">
        <w:rPr>
          <w:i/>
          <w:iCs/>
          <w:color w:val="000000" w:themeColor="text1"/>
          <w:shd w:val="clear" w:color="auto" w:fill="FFFFFF"/>
        </w:rPr>
        <w:t>Journal of Cleaner Production</w:t>
      </w:r>
      <w:r w:rsidRPr="00C968C4">
        <w:rPr>
          <w:color w:val="000000" w:themeColor="text1"/>
          <w:shd w:val="clear" w:color="auto" w:fill="FFFFFF"/>
        </w:rPr>
        <w:t>, Vol. 142, 663-676.</w:t>
      </w:r>
    </w:p>
    <w:p w14:paraId="014980E3" w14:textId="274683A0" w:rsidR="00230562" w:rsidRPr="00C968C4" w:rsidRDefault="000615F4" w:rsidP="00C968C4">
      <w:pPr>
        <w:spacing w:line="360" w:lineRule="auto"/>
        <w:ind w:left="426" w:hanging="426"/>
        <w:rPr>
          <w:rFonts w:eastAsia="Times New Roman"/>
          <w:color w:val="000000" w:themeColor="text1"/>
          <w:sz w:val="36"/>
          <w:szCs w:val="36"/>
          <w:shd w:val="clear" w:color="auto" w:fill="FFFFFF"/>
        </w:rPr>
      </w:pPr>
      <w:r w:rsidRPr="000615F4">
        <w:rPr>
          <w:color w:val="000000" w:themeColor="text1"/>
          <w:shd w:val="clear" w:color="auto" w:fill="FFFFFF"/>
        </w:rPr>
        <w:t>Yim, S., Bae, Y. H., Lim, H. and Kwon, J. (2019)</w:t>
      </w:r>
      <w:r w:rsidR="007B1AF9">
        <w:rPr>
          <w:color w:val="000000" w:themeColor="text1"/>
          <w:shd w:val="clear" w:color="auto" w:fill="FFFFFF"/>
        </w:rPr>
        <w:t>,</w:t>
      </w:r>
      <w:r w:rsidRPr="000615F4">
        <w:rPr>
          <w:color w:val="000000" w:themeColor="text1"/>
          <w:shd w:val="clear" w:color="auto" w:fill="FFFFFF"/>
        </w:rPr>
        <w:t xml:space="preserve"> “The role of marketing capability in linking CSR to corporate financial performance: When CSR gives positive signals to stakeholders”, </w:t>
      </w:r>
      <w:r w:rsidRPr="000615F4">
        <w:rPr>
          <w:i/>
          <w:iCs/>
          <w:color w:val="000000" w:themeColor="text1"/>
          <w:shd w:val="clear" w:color="auto" w:fill="FFFFFF"/>
        </w:rPr>
        <w:t>European Journal of Marketing</w:t>
      </w:r>
      <w:r w:rsidRPr="000615F4">
        <w:rPr>
          <w:color w:val="000000" w:themeColor="text1"/>
          <w:shd w:val="clear" w:color="auto" w:fill="FFFFFF"/>
        </w:rPr>
        <w:t>, Vol. 53 No. 7, pp.1333-1354.</w:t>
      </w:r>
    </w:p>
    <w:p w14:paraId="7BA8FE69" w14:textId="3C42139B" w:rsidR="008C1931" w:rsidRPr="00D56F22" w:rsidRDefault="00D56F22" w:rsidP="00F12072">
      <w:pPr>
        <w:spacing w:line="360" w:lineRule="auto"/>
        <w:ind w:left="426" w:hanging="426"/>
        <w:rPr>
          <w:rFonts w:eastAsia="Times New Roman"/>
          <w:color w:val="000000" w:themeColor="text1"/>
          <w:sz w:val="36"/>
          <w:szCs w:val="36"/>
          <w:shd w:val="clear" w:color="auto" w:fill="FFFFFF"/>
        </w:rPr>
      </w:pPr>
      <w:r w:rsidRPr="00D56F22">
        <w:rPr>
          <w:color w:val="000000" w:themeColor="text1"/>
          <w:shd w:val="clear" w:color="auto" w:fill="FFFFFF"/>
        </w:rPr>
        <w:t xml:space="preserve">Zhao, Y., Feng, T., </w:t>
      </w:r>
      <w:r>
        <w:rPr>
          <w:color w:val="000000" w:themeColor="text1"/>
          <w:shd w:val="clear" w:color="auto" w:fill="FFFFFF"/>
        </w:rPr>
        <w:t>and</w:t>
      </w:r>
      <w:r w:rsidRPr="00D56F22">
        <w:rPr>
          <w:color w:val="000000" w:themeColor="text1"/>
          <w:shd w:val="clear" w:color="auto" w:fill="FFFFFF"/>
        </w:rPr>
        <w:t xml:space="preserve"> Shi, H. (2018)</w:t>
      </w:r>
      <w:r>
        <w:rPr>
          <w:color w:val="000000" w:themeColor="text1"/>
          <w:shd w:val="clear" w:color="auto" w:fill="FFFFFF"/>
        </w:rPr>
        <w:t>, “</w:t>
      </w:r>
      <w:r w:rsidRPr="00D56F22">
        <w:rPr>
          <w:color w:val="000000" w:themeColor="text1"/>
          <w:shd w:val="clear" w:color="auto" w:fill="FFFFFF"/>
        </w:rPr>
        <w:t>External involvement and green product innovation: The moderating role of environmental uncertainty</w:t>
      </w:r>
      <w:r>
        <w:rPr>
          <w:color w:val="000000" w:themeColor="text1"/>
          <w:shd w:val="clear" w:color="auto" w:fill="FFFFFF"/>
        </w:rPr>
        <w:t>”,</w:t>
      </w:r>
      <w:r w:rsidRPr="00D56F22">
        <w:rPr>
          <w:color w:val="000000" w:themeColor="text1"/>
          <w:shd w:val="clear" w:color="auto" w:fill="FFFFFF"/>
        </w:rPr>
        <w:t> </w:t>
      </w:r>
      <w:r w:rsidRPr="00D56F22">
        <w:rPr>
          <w:i/>
          <w:iCs/>
          <w:color w:val="000000" w:themeColor="text1"/>
          <w:shd w:val="clear" w:color="auto" w:fill="FFFFFF"/>
        </w:rPr>
        <w:t>Business Strategy and the Environment</w:t>
      </w:r>
      <w:r w:rsidRPr="00D56F22">
        <w:rPr>
          <w:color w:val="000000" w:themeColor="text1"/>
          <w:shd w:val="clear" w:color="auto" w:fill="FFFFFF"/>
        </w:rPr>
        <w:t>,</w:t>
      </w:r>
      <w:r>
        <w:rPr>
          <w:color w:val="000000" w:themeColor="text1"/>
          <w:shd w:val="clear" w:color="auto" w:fill="FFFFFF"/>
        </w:rPr>
        <w:t xml:space="preserve"> Vol. 27 No. 8</w:t>
      </w:r>
      <w:r w:rsidRPr="00D56F22">
        <w:rPr>
          <w:color w:val="000000" w:themeColor="text1"/>
          <w:shd w:val="clear" w:color="auto" w:fill="FFFFFF"/>
        </w:rPr>
        <w:t xml:space="preserve">, </w:t>
      </w:r>
      <w:r>
        <w:rPr>
          <w:color w:val="000000" w:themeColor="text1"/>
          <w:shd w:val="clear" w:color="auto" w:fill="FFFFFF"/>
        </w:rPr>
        <w:t xml:space="preserve">pp. </w:t>
      </w:r>
      <w:r w:rsidRPr="00D56F22">
        <w:rPr>
          <w:color w:val="000000" w:themeColor="text1"/>
          <w:shd w:val="clear" w:color="auto" w:fill="FFFFFF"/>
        </w:rPr>
        <w:t>1167-1180.</w:t>
      </w:r>
    </w:p>
    <w:p w14:paraId="477BFC21" w14:textId="77777777" w:rsidR="007B1AF9" w:rsidRPr="007B1AF9" w:rsidRDefault="007B1AF9" w:rsidP="00F12072">
      <w:pPr>
        <w:spacing w:line="360" w:lineRule="auto"/>
        <w:ind w:left="426" w:hanging="426"/>
        <w:rPr>
          <w:color w:val="222222"/>
          <w:shd w:val="clear" w:color="auto" w:fill="FFFFFF"/>
        </w:rPr>
      </w:pPr>
    </w:p>
    <w:p w14:paraId="0E4F160E" w14:textId="77777777" w:rsidR="007B1AF9" w:rsidRDefault="007B1AF9" w:rsidP="00F12072">
      <w:pPr>
        <w:spacing w:line="360" w:lineRule="auto"/>
        <w:ind w:left="426" w:hanging="426"/>
        <w:rPr>
          <w:color w:val="222222"/>
          <w:shd w:val="clear" w:color="auto" w:fill="FFFFFF"/>
        </w:rPr>
      </w:pPr>
    </w:p>
    <w:p w14:paraId="2DC56B86" w14:textId="77777777" w:rsidR="007B1AF9" w:rsidRPr="007B1AF9" w:rsidRDefault="007B1AF9" w:rsidP="00F12072">
      <w:pPr>
        <w:spacing w:line="360" w:lineRule="auto"/>
        <w:ind w:left="426" w:hanging="426"/>
        <w:rPr>
          <w:color w:val="222222"/>
          <w:sz w:val="36"/>
          <w:szCs w:val="36"/>
          <w:shd w:val="clear" w:color="auto" w:fill="FFFFFF"/>
        </w:rPr>
      </w:pPr>
    </w:p>
    <w:p w14:paraId="26E835FD" w14:textId="77777777" w:rsidR="008C1931" w:rsidRDefault="008C1931" w:rsidP="00F12072">
      <w:pPr>
        <w:spacing w:line="360" w:lineRule="auto"/>
        <w:ind w:left="426" w:hanging="426"/>
        <w:rPr>
          <w:rFonts w:eastAsia="Times New Roman"/>
          <w:color w:val="000000" w:themeColor="text1"/>
          <w:shd w:val="clear" w:color="auto" w:fill="FFFFFF"/>
        </w:rPr>
      </w:pPr>
    </w:p>
    <w:p w14:paraId="08D182B6" w14:textId="77777777" w:rsidR="00972DE4" w:rsidRDefault="00972DE4" w:rsidP="00F12072">
      <w:pPr>
        <w:spacing w:line="360" w:lineRule="auto"/>
        <w:ind w:left="426" w:hanging="426"/>
        <w:rPr>
          <w:rFonts w:eastAsia="Times New Roman"/>
          <w:color w:val="000000" w:themeColor="text1"/>
          <w:shd w:val="clear" w:color="auto" w:fill="FFFFFF"/>
        </w:rPr>
      </w:pPr>
    </w:p>
    <w:p w14:paraId="02203CFA" w14:textId="77777777" w:rsidR="00972DE4" w:rsidRDefault="00972DE4" w:rsidP="00F12072">
      <w:pPr>
        <w:spacing w:line="360" w:lineRule="auto"/>
        <w:ind w:left="426" w:hanging="426"/>
        <w:rPr>
          <w:rFonts w:eastAsia="Times New Roman"/>
          <w:color w:val="000000" w:themeColor="text1"/>
          <w:shd w:val="clear" w:color="auto" w:fill="FFFFFF"/>
        </w:rPr>
      </w:pPr>
    </w:p>
    <w:p w14:paraId="2A119452" w14:textId="77777777" w:rsidR="00972DE4" w:rsidRDefault="00972DE4" w:rsidP="00F12072">
      <w:pPr>
        <w:spacing w:line="360" w:lineRule="auto"/>
        <w:ind w:left="426" w:hanging="426"/>
        <w:rPr>
          <w:rFonts w:eastAsia="Times New Roman"/>
          <w:color w:val="000000" w:themeColor="text1"/>
          <w:shd w:val="clear" w:color="auto" w:fill="FFFFFF"/>
        </w:rPr>
      </w:pPr>
    </w:p>
    <w:p w14:paraId="195C61C3" w14:textId="77777777" w:rsidR="00972DE4" w:rsidRDefault="00972DE4" w:rsidP="00F12072">
      <w:pPr>
        <w:spacing w:line="360" w:lineRule="auto"/>
        <w:ind w:left="426" w:hanging="426"/>
        <w:rPr>
          <w:rFonts w:eastAsia="Times New Roman"/>
          <w:color w:val="000000" w:themeColor="text1"/>
          <w:shd w:val="clear" w:color="auto" w:fill="FFFFFF"/>
        </w:rPr>
      </w:pPr>
    </w:p>
    <w:p w14:paraId="30BFC03C" w14:textId="77777777" w:rsidR="00972DE4" w:rsidRDefault="00972DE4" w:rsidP="00F12072">
      <w:pPr>
        <w:spacing w:line="360" w:lineRule="auto"/>
        <w:ind w:left="426" w:hanging="426"/>
        <w:rPr>
          <w:rFonts w:eastAsia="Times New Roman"/>
          <w:color w:val="000000" w:themeColor="text1"/>
          <w:shd w:val="clear" w:color="auto" w:fill="FFFFFF"/>
        </w:rPr>
      </w:pPr>
    </w:p>
    <w:p w14:paraId="4471FABC" w14:textId="77777777" w:rsidR="00972DE4" w:rsidRDefault="00972DE4" w:rsidP="00F12072">
      <w:pPr>
        <w:spacing w:line="360" w:lineRule="auto"/>
        <w:ind w:left="426" w:hanging="426"/>
        <w:rPr>
          <w:rFonts w:eastAsia="Times New Roman"/>
          <w:color w:val="000000" w:themeColor="text1"/>
          <w:shd w:val="clear" w:color="auto" w:fill="FFFFFF"/>
        </w:rPr>
      </w:pPr>
    </w:p>
    <w:p w14:paraId="7A7EF647" w14:textId="77777777" w:rsidR="00972DE4" w:rsidRDefault="00972DE4" w:rsidP="00F12072">
      <w:pPr>
        <w:spacing w:line="360" w:lineRule="auto"/>
        <w:ind w:left="426" w:hanging="426"/>
        <w:rPr>
          <w:rFonts w:eastAsia="Times New Roman"/>
          <w:color w:val="000000" w:themeColor="text1"/>
          <w:shd w:val="clear" w:color="auto" w:fill="FFFFFF"/>
        </w:rPr>
      </w:pPr>
    </w:p>
    <w:p w14:paraId="67FDA8BE" w14:textId="77777777" w:rsidR="00972DE4" w:rsidRDefault="00972DE4" w:rsidP="00F12072">
      <w:pPr>
        <w:spacing w:line="360" w:lineRule="auto"/>
        <w:ind w:left="426" w:hanging="426"/>
        <w:rPr>
          <w:rFonts w:eastAsia="Times New Roman"/>
          <w:color w:val="000000" w:themeColor="text1"/>
          <w:shd w:val="clear" w:color="auto" w:fill="FFFFFF"/>
        </w:rPr>
      </w:pPr>
    </w:p>
    <w:p w14:paraId="6419A211" w14:textId="77777777" w:rsidR="00972DE4" w:rsidRDefault="00972DE4" w:rsidP="00F12072">
      <w:pPr>
        <w:spacing w:line="360" w:lineRule="auto"/>
        <w:ind w:left="426" w:hanging="426"/>
        <w:rPr>
          <w:rFonts w:eastAsia="Times New Roman"/>
          <w:color w:val="000000" w:themeColor="text1"/>
          <w:shd w:val="clear" w:color="auto" w:fill="FFFFFF"/>
        </w:rPr>
      </w:pPr>
    </w:p>
    <w:p w14:paraId="20D06E16" w14:textId="77777777" w:rsidR="00972DE4" w:rsidRDefault="00972DE4" w:rsidP="00F12072">
      <w:pPr>
        <w:spacing w:line="360" w:lineRule="auto"/>
        <w:ind w:left="426" w:hanging="426"/>
        <w:rPr>
          <w:rFonts w:eastAsia="Times New Roman"/>
          <w:color w:val="000000" w:themeColor="text1"/>
          <w:shd w:val="clear" w:color="auto" w:fill="FFFFFF"/>
        </w:rPr>
      </w:pPr>
    </w:p>
    <w:p w14:paraId="08487B63" w14:textId="77777777" w:rsidR="00972DE4" w:rsidRDefault="00972DE4" w:rsidP="00F12072">
      <w:pPr>
        <w:spacing w:line="360" w:lineRule="auto"/>
        <w:ind w:left="426" w:hanging="426"/>
        <w:rPr>
          <w:rFonts w:eastAsia="Times New Roman"/>
          <w:color w:val="000000" w:themeColor="text1"/>
          <w:shd w:val="clear" w:color="auto" w:fill="FFFFFF"/>
        </w:rPr>
      </w:pPr>
    </w:p>
    <w:p w14:paraId="54EC848C" w14:textId="77777777" w:rsidR="00972DE4" w:rsidRDefault="00972DE4" w:rsidP="00F12072">
      <w:pPr>
        <w:spacing w:line="360" w:lineRule="auto"/>
        <w:ind w:left="426" w:hanging="426"/>
        <w:rPr>
          <w:rFonts w:eastAsia="Times New Roman"/>
          <w:color w:val="000000" w:themeColor="text1"/>
          <w:shd w:val="clear" w:color="auto" w:fill="FFFFFF"/>
        </w:rPr>
      </w:pPr>
    </w:p>
    <w:p w14:paraId="44647D70" w14:textId="77777777" w:rsidR="00972DE4" w:rsidRDefault="00972DE4" w:rsidP="00F12072">
      <w:pPr>
        <w:spacing w:line="360" w:lineRule="auto"/>
        <w:ind w:left="426" w:hanging="426"/>
        <w:rPr>
          <w:rFonts w:eastAsia="Times New Roman"/>
          <w:color w:val="000000" w:themeColor="text1"/>
          <w:shd w:val="clear" w:color="auto" w:fill="FFFFFF"/>
        </w:rPr>
      </w:pPr>
    </w:p>
    <w:p w14:paraId="02EBF707" w14:textId="77777777" w:rsidR="00972DE4" w:rsidRDefault="00972DE4" w:rsidP="00F12072">
      <w:pPr>
        <w:spacing w:line="360" w:lineRule="auto"/>
        <w:ind w:left="426" w:hanging="426"/>
        <w:rPr>
          <w:rFonts w:eastAsia="Times New Roman"/>
          <w:color w:val="000000" w:themeColor="text1"/>
          <w:shd w:val="clear" w:color="auto" w:fill="FFFFFF"/>
        </w:rPr>
      </w:pPr>
    </w:p>
    <w:p w14:paraId="42070DAF" w14:textId="77777777" w:rsidR="00972DE4" w:rsidRDefault="00972DE4" w:rsidP="00F12072">
      <w:pPr>
        <w:spacing w:line="360" w:lineRule="auto"/>
        <w:ind w:left="426" w:hanging="426"/>
        <w:rPr>
          <w:rFonts w:eastAsia="Times New Roman"/>
          <w:color w:val="000000" w:themeColor="text1"/>
          <w:shd w:val="clear" w:color="auto" w:fill="FFFFFF"/>
        </w:rPr>
      </w:pPr>
    </w:p>
    <w:p w14:paraId="01A50E51" w14:textId="77777777" w:rsidR="00972DE4" w:rsidRDefault="00972DE4" w:rsidP="00F12072">
      <w:pPr>
        <w:spacing w:line="360" w:lineRule="auto"/>
        <w:ind w:left="426" w:hanging="426"/>
        <w:rPr>
          <w:rFonts w:eastAsia="Times New Roman"/>
          <w:color w:val="000000" w:themeColor="text1"/>
          <w:shd w:val="clear" w:color="auto" w:fill="FFFFFF"/>
        </w:rPr>
      </w:pPr>
    </w:p>
    <w:p w14:paraId="3B010A6D" w14:textId="77777777" w:rsidR="00972DE4" w:rsidRDefault="00972DE4" w:rsidP="00F12072">
      <w:pPr>
        <w:spacing w:line="360" w:lineRule="auto"/>
        <w:ind w:left="426" w:hanging="426"/>
        <w:rPr>
          <w:rFonts w:eastAsia="Times New Roman"/>
          <w:color w:val="000000" w:themeColor="text1"/>
          <w:shd w:val="clear" w:color="auto" w:fill="FFFFFF"/>
        </w:rPr>
      </w:pPr>
    </w:p>
    <w:p w14:paraId="59BD621F" w14:textId="77777777" w:rsidR="00972DE4" w:rsidRDefault="00972DE4" w:rsidP="00F12072">
      <w:pPr>
        <w:spacing w:line="360" w:lineRule="auto"/>
        <w:ind w:left="426" w:hanging="426"/>
        <w:rPr>
          <w:rFonts w:eastAsia="Times New Roman"/>
          <w:color w:val="000000" w:themeColor="text1"/>
          <w:shd w:val="clear" w:color="auto" w:fill="FFFFFF"/>
        </w:rPr>
      </w:pPr>
    </w:p>
    <w:p w14:paraId="70AA9116" w14:textId="77777777" w:rsidR="00972DE4" w:rsidRDefault="00972DE4" w:rsidP="00F12072">
      <w:pPr>
        <w:spacing w:line="360" w:lineRule="auto"/>
        <w:ind w:left="426" w:hanging="426"/>
        <w:rPr>
          <w:rFonts w:eastAsia="Times New Roman"/>
          <w:color w:val="000000" w:themeColor="text1"/>
          <w:shd w:val="clear" w:color="auto" w:fill="FFFFFF"/>
        </w:rPr>
      </w:pPr>
    </w:p>
    <w:p w14:paraId="6A97837C" w14:textId="77777777" w:rsidR="00972DE4" w:rsidRPr="003E7EE5" w:rsidRDefault="00972DE4" w:rsidP="00F12072">
      <w:pPr>
        <w:spacing w:line="360" w:lineRule="auto"/>
        <w:ind w:left="426" w:hanging="426"/>
        <w:rPr>
          <w:rFonts w:eastAsia="Times New Roman"/>
          <w:color w:val="000000" w:themeColor="text1"/>
          <w:shd w:val="clear" w:color="auto" w:fill="FFFFFF"/>
        </w:rPr>
      </w:pPr>
    </w:p>
    <w:p w14:paraId="64676F34" w14:textId="40886A37" w:rsidR="00297E46" w:rsidRPr="005E1791" w:rsidRDefault="00036210" w:rsidP="009D69B7">
      <w:pPr>
        <w:tabs>
          <w:tab w:val="left" w:pos="1363"/>
        </w:tabs>
        <w:spacing w:line="360" w:lineRule="auto"/>
        <w:ind w:left="426" w:hanging="426"/>
        <w:rPr>
          <w:iCs/>
          <w:color w:val="000000" w:themeColor="text1"/>
          <w:szCs w:val="22"/>
        </w:rPr>
      </w:pPr>
      <w:r w:rsidRPr="00692F28">
        <w:rPr>
          <w:rFonts w:eastAsia="Times New Roman"/>
          <w:iCs/>
          <w:color w:val="000000" w:themeColor="text1"/>
          <w:shd w:val="clear" w:color="auto" w:fill="FFFFFF"/>
        </w:rPr>
        <w:lastRenderedPageBreak/>
        <w:tab/>
      </w:r>
      <w:r w:rsidR="003F3872" w:rsidRPr="005E1791">
        <w:rPr>
          <w:iCs/>
          <w:color w:val="000000" w:themeColor="text1"/>
          <w:szCs w:val="22"/>
        </w:rPr>
        <w:t>T</w:t>
      </w:r>
      <w:r w:rsidR="00297E46" w:rsidRPr="005E1791">
        <w:rPr>
          <w:iCs/>
          <w:color w:val="000000" w:themeColor="text1"/>
          <w:szCs w:val="22"/>
        </w:rPr>
        <w:t xml:space="preserve">able </w:t>
      </w:r>
      <w:r w:rsidR="001073B7" w:rsidRPr="005E1791">
        <w:rPr>
          <w:iCs/>
          <w:color w:val="000000" w:themeColor="text1"/>
          <w:szCs w:val="22"/>
        </w:rPr>
        <w:t>1</w:t>
      </w:r>
      <w:r w:rsidR="00566E35" w:rsidRPr="005E1791">
        <w:rPr>
          <w:iCs/>
          <w:color w:val="000000" w:themeColor="text1"/>
          <w:szCs w:val="22"/>
        </w:rPr>
        <w:t>.</w:t>
      </w:r>
      <w:r w:rsidR="00297E46" w:rsidRPr="005E1791">
        <w:rPr>
          <w:iCs/>
          <w:color w:val="000000" w:themeColor="text1"/>
          <w:szCs w:val="22"/>
        </w:rPr>
        <w:t xml:space="preserve"> Previous research on environmental strategies in the context of uncertainty</w:t>
      </w:r>
    </w:p>
    <w:p w14:paraId="6F21FC86" w14:textId="77777777" w:rsidR="00297E46" w:rsidRPr="003E7EE5" w:rsidRDefault="00297E46" w:rsidP="00297E46">
      <w:pPr>
        <w:tabs>
          <w:tab w:val="left" w:pos="7371"/>
        </w:tabs>
        <w:ind w:right="711"/>
        <w:rPr>
          <w:color w:val="000000" w:themeColor="text1"/>
          <w:szCs w:val="22"/>
        </w:rPr>
      </w:pPr>
    </w:p>
    <w:tbl>
      <w:tblPr>
        <w:tblStyle w:val="TableGrid"/>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0"/>
        <w:gridCol w:w="1701"/>
        <w:gridCol w:w="1701"/>
        <w:gridCol w:w="1415"/>
        <w:gridCol w:w="1275"/>
        <w:gridCol w:w="1832"/>
      </w:tblGrid>
      <w:tr w:rsidR="009D69B7" w:rsidRPr="003E7EE5" w14:paraId="3E26CB42" w14:textId="77777777" w:rsidTr="008B68F2">
        <w:trPr>
          <w:trHeight w:val="380"/>
        </w:trPr>
        <w:tc>
          <w:tcPr>
            <w:tcW w:w="1270" w:type="dxa"/>
            <w:tcBorders>
              <w:top w:val="single" w:sz="4" w:space="0" w:color="auto"/>
              <w:bottom w:val="single" w:sz="4" w:space="0" w:color="auto"/>
            </w:tcBorders>
          </w:tcPr>
          <w:p w14:paraId="05E18A55" w14:textId="77777777" w:rsidR="00297E46" w:rsidRPr="003E7EE5" w:rsidRDefault="00297E46" w:rsidP="0017312F">
            <w:pPr>
              <w:widowControl w:val="0"/>
              <w:tabs>
                <w:tab w:val="left" w:pos="1520"/>
                <w:tab w:val="left" w:pos="7371"/>
              </w:tabs>
              <w:autoSpaceDE w:val="0"/>
              <w:autoSpaceDN w:val="0"/>
              <w:adjustRightInd w:val="0"/>
              <w:jc w:val="both"/>
              <w:rPr>
                <w:b/>
                <w:color w:val="000000" w:themeColor="text1"/>
                <w:sz w:val="18"/>
                <w:szCs w:val="21"/>
              </w:rPr>
            </w:pPr>
            <w:r w:rsidRPr="003E7EE5">
              <w:rPr>
                <w:b/>
                <w:color w:val="000000" w:themeColor="text1"/>
                <w:sz w:val="18"/>
                <w:szCs w:val="21"/>
              </w:rPr>
              <w:t>Study</w:t>
            </w:r>
          </w:p>
        </w:tc>
        <w:tc>
          <w:tcPr>
            <w:tcW w:w="1701" w:type="dxa"/>
            <w:tcBorders>
              <w:top w:val="single" w:sz="4" w:space="0" w:color="auto"/>
              <w:bottom w:val="single" w:sz="4" w:space="0" w:color="auto"/>
            </w:tcBorders>
          </w:tcPr>
          <w:p w14:paraId="388496DA" w14:textId="77777777" w:rsidR="00297E46" w:rsidRPr="003E7EE5" w:rsidRDefault="00297E46" w:rsidP="0017312F">
            <w:pPr>
              <w:widowControl w:val="0"/>
              <w:tabs>
                <w:tab w:val="left" w:pos="1520"/>
                <w:tab w:val="left" w:pos="7371"/>
              </w:tabs>
              <w:autoSpaceDE w:val="0"/>
              <w:autoSpaceDN w:val="0"/>
              <w:adjustRightInd w:val="0"/>
              <w:jc w:val="both"/>
              <w:rPr>
                <w:b/>
                <w:color w:val="000000" w:themeColor="text1"/>
                <w:sz w:val="18"/>
                <w:szCs w:val="21"/>
              </w:rPr>
            </w:pPr>
            <w:r w:rsidRPr="003E7EE5">
              <w:rPr>
                <w:b/>
                <w:color w:val="000000" w:themeColor="text1"/>
                <w:sz w:val="18"/>
                <w:szCs w:val="21"/>
              </w:rPr>
              <w:t>Context</w:t>
            </w:r>
          </w:p>
        </w:tc>
        <w:tc>
          <w:tcPr>
            <w:tcW w:w="1701" w:type="dxa"/>
            <w:tcBorders>
              <w:top w:val="single" w:sz="4" w:space="0" w:color="auto"/>
              <w:bottom w:val="single" w:sz="4" w:space="0" w:color="auto"/>
            </w:tcBorders>
          </w:tcPr>
          <w:p w14:paraId="519BF6F8" w14:textId="77777777" w:rsidR="00297E46" w:rsidRPr="003E7EE5" w:rsidRDefault="00297E46" w:rsidP="0017312F">
            <w:pPr>
              <w:widowControl w:val="0"/>
              <w:tabs>
                <w:tab w:val="left" w:pos="1520"/>
                <w:tab w:val="left" w:pos="7371"/>
              </w:tabs>
              <w:autoSpaceDE w:val="0"/>
              <w:autoSpaceDN w:val="0"/>
              <w:adjustRightInd w:val="0"/>
              <w:jc w:val="center"/>
              <w:rPr>
                <w:b/>
                <w:color w:val="000000" w:themeColor="text1"/>
                <w:sz w:val="18"/>
                <w:szCs w:val="21"/>
              </w:rPr>
            </w:pPr>
            <w:r w:rsidRPr="003E7EE5">
              <w:rPr>
                <w:b/>
                <w:color w:val="000000" w:themeColor="text1"/>
                <w:sz w:val="18"/>
                <w:szCs w:val="21"/>
              </w:rPr>
              <w:t>‘’Uncertainty’’</w:t>
            </w:r>
          </w:p>
          <w:p w14:paraId="675E76C3" w14:textId="77777777" w:rsidR="00297E46" w:rsidRPr="003E7EE5" w:rsidRDefault="00297E46" w:rsidP="0017312F">
            <w:pPr>
              <w:widowControl w:val="0"/>
              <w:tabs>
                <w:tab w:val="left" w:pos="1520"/>
                <w:tab w:val="left" w:pos="7371"/>
              </w:tabs>
              <w:autoSpaceDE w:val="0"/>
              <w:autoSpaceDN w:val="0"/>
              <w:adjustRightInd w:val="0"/>
              <w:jc w:val="center"/>
              <w:rPr>
                <w:b/>
                <w:color w:val="000000" w:themeColor="text1"/>
                <w:sz w:val="18"/>
                <w:szCs w:val="21"/>
              </w:rPr>
            </w:pPr>
            <w:r w:rsidRPr="003E7EE5">
              <w:rPr>
                <w:b/>
                <w:color w:val="000000" w:themeColor="text1"/>
                <w:sz w:val="18"/>
                <w:szCs w:val="21"/>
              </w:rPr>
              <w:t>as a context</w:t>
            </w:r>
          </w:p>
        </w:tc>
        <w:tc>
          <w:tcPr>
            <w:tcW w:w="1415" w:type="dxa"/>
            <w:tcBorders>
              <w:top w:val="single" w:sz="4" w:space="0" w:color="auto"/>
              <w:bottom w:val="single" w:sz="4" w:space="0" w:color="auto"/>
            </w:tcBorders>
          </w:tcPr>
          <w:p w14:paraId="2DFEFB8B" w14:textId="77777777" w:rsidR="00297E46" w:rsidRPr="003E7EE5" w:rsidRDefault="00297E46" w:rsidP="0017312F">
            <w:pPr>
              <w:widowControl w:val="0"/>
              <w:tabs>
                <w:tab w:val="left" w:pos="1520"/>
                <w:tab w:val="left" w:pos="7371"/>
              </w:tabs>
              <w:autoSpaceDE w:val="0"/>
              <w:autoSpaceDN w:val="0"/>
              <w:adjustRightInd w:val="0"/>
              <w:rPr>
                <w:b/>
                <w:color w:val="000000" w:themeColor="text1"/>
                <w:sz w:val="18"/>
                <w:szCs w:val="21"/>
              </w:rPr>
            </w:pPr>
            <w:r w:rsidRPr="003E7EE5">
              <w:rPr>
                <w:b/>
                <w:color w:val="000000" w:themeColor="text1"/>
                <w:sz w:val="18"/>
                <w:szCs w:val="21"/>
              </w:rPr>
              <w:t>Focal</w:t>
            </w:r>
          </w:p>
          <w:p w14:paraId="2A04E222" w14:textId="77777777" w:rsidR="00297E46" w:rsidRPr="003E7EE5" w:rsidRDefault="00297E46" w:rsidP="0017312F">
            <w:pPr>
              <w:widowControl w:val="0"/>
              <w:tabs>
                <w:tab w:val="left" w:pos="1520"/>
                <w:tab w:val="left" w:pos="7371"/>
              </w:tabs>
              <w:autoSpaceDE w:val="0"/>
              <w:autoSpaceDN w:val="0"/>
              <w:adjustRightInd w:val="0"/>
              <w:rPr>
                <w:b/>
                <w:color w:val="000000" w:themeColor="text1"/>
                <w:sz w:val="18"/>
                <w:szCs w:val="21"/>
              </w:rPr>
            </w:pPr>
            <w:r w:rsidRPr="003E7EE5">
              <w:rPr>
                <w:b/>
                <w:color w:val="000000" w:themeColor="text1"/>
                <w:sz w:val="18"/>
                <w:szCs w:val="21"/>
              </w:rPr>
              <w:t xml:space="preserve">variable </w:t>
            </w:r>
          </w:p>
        </w:tc>
        <w:tc>
          <w:tcPr>
            <w:tcW w:w="1275" w:type="dxa"/>
            <w:tcBorders>
              <w:top w:val="single" w:sz="4" w:space="0" w:color="auto"/>
              <w:bottom w:val="single" w:sz="4" w:space="0" w:color="auto"/>
            </w:tcBorders>
          </w:tcPr>
          <w:p w14:paraId="1863F5A4" w14:textId="77777777" w:rsidR="00297E46" w:rsidRPr="003E7EE5" w:rsidRDefault="00297E46" w:rsidP="0017312F">
            <w:pPr>
              <w:widowControl w:val="0"/>
              <w:tabs>
                <w:tab w:val="left" w:pos="1520"/>
                <w:tab w:val="left" w:pos="7371"/>
              </w:tabs>
              <w:autoSpaceDE w:val="0"/>
              <w:autoSpaceDN w:val="0"/>
              <w:adjustRightInd w:val="0"/>
              <w:rPr>
                <w:b/>
                <w:color w:val="000000" w:themeColor="text1"/>
                <w:sz w:val="18"/>
                <w:szCs w:val="21"/>
              </w:rPr>
            </w:pPr>
            <w:r w:rsidRPr="003E7EE5">
              <w:rPr>
                <w:b/>
                <w:color w:val="000000" w:themeColor="text1"/>
                <w:sz w:val="18"/>
                <w:szCs w:val="21"/>
              </w:rPr>
              <w:t xml:space="preserve">Outcomes </w:t>
            </w:r>
          </w:p>
        </w:tc>
        <w:tc>
          <w:tcPr>
            <w:tcW w:w="1832" w:type="dxa"/>
            <w:tcBorders>
              <w:top w:val="single" w:sz="4" w:space="0" w:color="auto"/>
              <w:bottom w:val="single" w:sz="4" w:space="0" w:color="auto"/>
            </w:tcBorders>
          </w:tcPr>
          <w:p w14:paraId="4DD34C66" w14:textId="77777777" w:rsidR="00297E46" w:rsidRPr="003E7EE5" w:rsidRDefault="00297E46" w:rsidP="0017312F">
            <w:pPr>
              <w:widowControl w:val="0"/>
              <w:tabs>
                <w:tab w:val="left" w:pos="1520"/>
                <w:tab w:val="left" w:pos="7371"/>
              </w:tabs>
              <w:autoSpaceDE w:val="0"/>
              <w:autoSpaceDN w:val="0"/>
              <w:adjustRightInd w:val="0"/>
              <w:jc w:val="both"/>
              <w:rPr>
                <w:b/>
                <w:color w:val="000000" w:themeColor="text1"/>
                <w:sz w:val="18"/>
                <w:szCs w:val="21"/>
              </w:rPr>
            </w:pPr>
            <w:r w:rsidRPr="003E7EE5">
              <w:rPr>
                <w:b/>
                <w:color w:val="000000" w:themeColor="text1"/>
                <w:sz w:val="18"/>
                <w:szCs w:val="21"/>
              </w:rPr>
              <w:t>Key findings</w:t>
            </w:r>
          </w:p>
        </w:tc>
      </w:tr>
      <w:tr w:rsidR="009D69B7" w:rsidRPr="003E7EE5" w14:paraId="3514814A" w14:textId="77777777" w:rsidTr="008B68F2">
        <w:trPr>
          <w:trHeight w:val="1084"/>
        </w:trPr>
        <w:tc>
          <w:tcPr>
            <w:tcW w:w="1270" w:type="dxa"/>
          </w:tcPr>
          <w:p w14:paraId="7F8D9C83" w14:textId="77777777" w:rsidR="00E51D8F" w:rsidRPr="003E7EE5" w:rsidRDefault="00E51D8F" w:rsidP="0017312F">
            <w:pPr>
              <w:tabs>
                <w:tab w:val="left" w:pos="7371"/>
              </w:tabs>
              <w:rPr>
                <w:color w:val="000000" w:themeColor="text1"/>
                <w:sz w:val="18"/>
                <w:szCs w:val="21"/>
              </w:rPr>
            </w:pPr>
            <w:r w:rsidRPr="003E7EE5">
              <w:rPr>
                <w:color w:val="000000" w:themeColor="text1"/>
                <w:sz w:val="18"/>
                <w:szCs w:val="21"/>
              </w:rPr>
              <w:t xml:space="preserve">Ruenda-Manzanares </w:t>
            </w:r>
          </w:p>
          <w:p w14:paraId="366CBFA3" w14:textId="413A4357" w:rsidR="00E51D8F" w:rsidRPr="003E7EE5" w:rsidRDefault="007E71B6" w:rsidP="0017312F">
            <w:pPr>
              <w:widowControl w:val="0"/>
              <w:tabs>
                <w:tab w:val="left" w:pos="1520"/>
                <w:tab w:val="left" w:pos="7371"/>
              </w:tabs>
              <w:autoSpaceDE w:val="0"/>
              <w:autoSpaceDN w:val="0"/>
              <w:adjustRightInd w:val="0"/>
              <w:rPr>
                <w:b/>
                <w:color w:val="000000" w:themeColor="text1"/>
                <w:sz w:val="18"/>
                <w:szCs w:val="21"/>
              </w:rPr>
            </w:pPr>
            <w:r w:rsidRPr="003E7EE5">
              <w:rPr>
                <w:i/>
                <w:color w:val="000000" w:themeColor="text1"/>
                <w:sz w:val="18"/>
                <w:szCs w:val="21"/>
              </w:rPr>
              <w:t>et al.</w:t>
            </w:r>
            <w:r w:rsidR="00E51D8F" w:rsidRPr="003E7EE5">
              <w:rPr>
                <w:color w:val="000000" w:themeColor="text1"/>
                <w:sz w:val="18"/>
                <w:szCs w:val="21"/>
              </w:rPr>
              <w:t xml:space="preserve"> (2008)</w:t>
            </w:r>
          </w:p>
        </w:tc>
        <w:tc>
          <w:tcPr>
            <w:tcW w:w="1701" w:type="dxa"/>
          </w:tcPr>
          <w:p w14:paraId="64BD111D"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Cross-sectional, single observation:</w:t>
            </w:r>
          </w:p>
          <w:p w14:paraId="4686CE5A" w14:textId="444675DA"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134 ski resorts</w:t>
            </w:r>
          </w:p>
        </w:tc>
        <w:tc>
          <w:tcPr>
            <w:tcW w:w="1701" w:type="dxa"/>
          </w:tcPr>
          <w:p w14:paraId="5E2410BF"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Moderator</w:t>
            </w:r>
          </w:p>
          <w:p w14:paraId="28A36673"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Perceived uncertainty</w:t>
            </w:r>
          </w:p>
          <w:p w14:paraId="147B791D"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p>
        </w:tc>
        <w:tc>
          <w:tcPr>
            <w:tcW w:w="1415" w:type="dxa"/>
          </w:tcPr>
          <w:p w14:paraId="7F897C83" w14:textId="0EA42EC6" w:rsidR="00E51D8F" w:rsidRPr="003E7EE5" w:rsidRDefault="00E51D8F" w:rsidP="0017312F">
            <w:pPr>
              <w:widowControl w:val="0"/>
              <w:tabs>
                <w:tab w:val="left" w:pos="1520"/>
                <w:tab w:val="left" w:pos="7371"/>
              </w:tabs>
              <w:autoSpaceDE w:val="0"/>
              <w:autoSpaceDN w:val="0"/>
              <w:adjustRightInd w:val="0"/>
              <w:jc w:val="both"/>
              <w:rPr>
                <w:color w:val="000000" w:themeColor="text1"/>
                <w:sz w:val="18"/>
                <w:szCs w:val="21"/>
              </w:rPr>
            </w:pPr>
            <w:r w:rsidRPr="003E7EE5">
              <w:rPr>
                <w:color w:val="000000" w:themeColor="text1"/>
                <w:sz w:val="18"/>
                <w:szCs w:val="21"/>
              </w:rPr>
              <w:t>Stakeholder integration</w:t>
            </w:r>
          </w:p>
        </w:tc>
        <w:tc>
          <w:tcPr>
            <w:tcW w:w="1275" w:type="dxa"/>
          </w:tcPr>
          <w:p w14:paraId="587AAFBD" w14:textId="4D6186F5"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Proactive environmental management</w:t>
            </w:r>
          </w:p>
        </w:tc>
        <w:tc>
          <w:tcPr>
            <w:tcW w:w="1832" w:type="dxa"/>
          </w:tcPr>
          <w:p w14:paraId="75B4D321" w14:textId="622A201A"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Perceived uncertainty positively moderates the relationship</w:t>
            </w:r>
            <w:r w:rsidR="00692F28">
              <w:rPr>
                <w:color w:val="000000" w:themeColor="text1"/>
                <w:sz w:val="18"/>
                <w:szCs w:val="21"/>
              </w:rPr>
              <w:t>.</w:t>
            </w:r>
          </w:p>
        </w:tc>
      </w:tr>
      <w:tr w:rsidR="00E51D8F" w:rsidRPr="003E7EE5" w14:paraId="6BF441D1" w14:textId="77777777" w:rsidTr="008B68F2">
        <w:trPr>
          <w:trHeight w:val="1139"/>
        </w:trPr>
        <w:tc>
          <w:tcPr>
            <w:tcW w:w="1270" w:type="dxa"/>
          </w:tcPr>
          <w:p w14:paraId="0EEB0E3A" w14:textId="021C7CB6" w:rsidR="00E51D8F" w:rsidRPr="003E7EE5" w:rsidRDefault="00E51D8F" w:rsidP="0017312F">
            <w:pPr>
              <w:tabs>
                <w:tab w:val="left" w:pos="7371"/>
              </w:tabs>
              <w:rPr>
                <w:color w:val="000000" w:themeColor="text1"/>
                <w:sz w:val="18"/>
                <w:szCs w:val="21"/>
              </w:rPr>
            </w:pPr>
            <w:r w:rsidRPr="003E7EE5">
              <w:rPr>
                <w:color w:val="000000" w:themeColor="text1"/>
                <w:sz w:val="18"/>
                <w:szCs w:val="21"/>
              </w:rPr>
              <w:t xml:space="preserve">Leonidou </w:t>
            </w:r>
            <w:r w:rsidR="007E71B6" w:rsidRPr="003E7EE5">
              <w:rPr>
                <w:i/>
                <w:color w:val="000000" w:themeColor="text1"/>
                <w:sz w:val="18"/>
                <w:szCs w:val="21"/>
              </w:rPr>
              <w:t>et al.</w:t>
            </w:r>
            <w:r w:rsidRPr="003E7EE5">
              <w:rPr>
                <w:color w:val="000000" w:themeColor="text1"/>
                <w:sz w:val="18"/>
                <w:szCs w:val="21"/>
              </w:rPr>
              <w:t xml:space="preserve"> (2013)</w:t>
            </w:r>
          </w:p>
        </w:tc>
        <w:tc>
          <w:tcPr>
            <w:tcW w:w="1701" w:type="dxa"/>
          </w:tcPr>
          <w:p w14:paraId="2EC7FA06"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Cross-sectional, single observation:</w:t>
            </w:r>
          </w:p>
          <w:p w14:paraId="540177BC" w14:textId="48CF7878"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152 hotels</w:t>
            </w:r>
          </w:p>
        </w:tc>
        <w:tc>
          <w:tcPr>
            <w:tcW w:w="1701" w:type="dxa"/>
          </w:tcPr>
          <w:p w14:paraId="5A4D6796"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Moderator</w:t>
            </w:r>
          </w:p>
          <w:p w14:paraId="062011B2" w14:textId="668BD715"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Market dynamism</w:t>
            </w:r>
          </w:p>
        </w:tc>
        <w:tc>
          <w:tcPr>
            <w:tcW w:w="1415" w:type="dxa"/>
          </w:tcPr>
          <w:p w14:paraId="1753A08D" w14:textId="7C6BA6F3" w:rsidR="00E51D8F" w:rsidRPr="003E7EE5" w:rsidRDefault="00E51D8F" w:rsidP="0017312F">
            <w:pPr>
              <w:widowControl w:val="0"/>
              <w:tabs>
                <w:tab w:val="left" w:pos="1520"/>
                <w:tab w:val="left" w:pos="7371"/>
              </w:tabs>
              <w:autoSpaceDE w:val="0"/>
              <w:autoSpaceDN w:val="0"/>
              <w:adjustRightInd w:val="0"/>
              <w:jc w:val="both"/>
              <w:rPr>
                <w:color w:val="000000" w:themeColor="text1"/>
                <w:sz w:val="18"/>
                <w:szCs w:val="21"/>
              </w:rPr>
            </w:pPr>
            <w:r w:rsidRPr="003E7EE5">
              <w:rPr>
                <w:color w:val="000000" w:themeColor="text1"/>
                <w:sz w:val="18"/>
                <w:szCs w:val="21"/>
              </w:rPr>
              <w:t>Environmental marketing strategy</w:t>
            </w:r>
          </w:p>
        </w:tc>
        <w:tc>
          <w:tcPr>
            <w:tcW w:w="1275" w:type="dxa"/>
          </w:tcPr>
          <w:p w14:paraId="7E42EE40" w14:textId="54B16623"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Competitive advantage</w:t>
            </w:r>
          </w:p>
        </w:tc>
        <w:tc>
          <w:tcPr>
            <w:tcW w:w="1832" w:type="dxa"/>
          </w:tcPr>
          <w:p w14:paraId="68BB13D2" w14:textId="57AAF708"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Market dynamism has no effect on the relationship</w:t>
            </w:r>
            <w:r w:rsidR="00692F28">
              <w:rPr>
                <w:color w:val="000000" w:themeColor="text1"/>
                <w:sz w:val="18"/>
                <w:szCs w:val="21"/>
              </w:rPr>
              <w:t>.</w:t>
            </w:r>
          </w:p>
        </w:tc>
      </w:tr>
      <w:tr w:rsidR="00E51D8F" w:rsidRPr="003E7EE5" w14:paraId="6F214ED0" w14:textId="77777777" w:rsidTr="008B68F2">
        <w:trPr>
          <w:trHeight w:val="1261"/>
        </w:trPr>
        <w:tc>
          <w:tcPr>
            <w:tcW w:w="1270" w:type="dxa"/>
          </w:tcPr>
          <w:p w14:paraId="492C0E3F" w14:textId="308DDE78" w:rsidR="00E51D8F" w:rsidRPr="003E7EE5" w:rsidRDefault="00E51D8F" w:rsidP="0017312F">
            <w:pPr>
              <w:tabs>
                <w:tab w:val="left" w:pos="7371"/>
              </w:tabs>
              <w:rPr>
                <w:color w:val="000000" w:themeColor="text1"/>
                <w:sz w:val="18"/>
                <w:szCs w:val="21"/>
              </w:rPr>
            </w:pPr>
            <w:r w:rsidRPr="003E7EE5">
              <w:rPr>
                <w:color w:val="000000" w:themeColor="text1"/>
                <w:sz w:val="18"/>
                <w:szCs w:val="21"/>
              </w:rPr>
              <w:t xml:space="preserve">Chan </w:t>
            </w:r>
            <w:r w:rsidR="007E71B6" w:rsidRPr="003E7EE5">
              <w:rPr>
                <w:i/>
                <w:color w:val="000000" w:themeColor="text1"/>
                <w:sz w:val="18"/>
                <w:szCs w:val="21"/>
              </w:rPr>
              <w:t>et al.</w:t>
            </w:r>
            <w:r w:rsidRPr="003E7EE5">
              <w:rPr>
                <w:color w:val="000000" w:themeColor="text1"/>
                <w:sz w:val="18"/>
                <w:szCs w:val="21"/>
              </w:rPr>
              <w:t xml:space="preserve"> (</w:t>
            </w:r>
            <w:r w:rsidR="001479ED">
              <w:rPr>
                <w:color w:val="000000" w:themeColor="text1"/>
                <w:sz w:val="18"/>
                <w:szCs w:val="21"/>
              </w:rPr>
              <w:t>2016</w:t>
            </w:r>
            <w:r w:rsidRPr="003E7EE5">
              <w:rPr>
                <w:color w:val="000000" w:themeColor="text1"/>
                <w:sz w:val="18"/>
                <w:szCs w:val="21"/>
              </w:rPr>
              <w:t>)</w:t>
            </w:r>
          </w:p>
        </w:tc>
        <w:tc>
          <w:tcPr>
            <w:tcW w:w="1701" w:type="dxa"/>
          </w:tcPr>
          <w:p w14:paraId="38C488F7"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Cross-sectional, single observation:</w:t>
            </w:r>
          </w:p>
          <w:p w14:paraId="2FD3D298" w14:textId="66C73588"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250 firms</w:t>
            </w:r>
          </w:p>
        </w:tc>
        <w:tc>
          <w:tcPr>
            <w:tcW w:w="1701" w:type="dxa"/>
          </w:tcPr>
          <w:p w14:paraId="035D9F64"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Moderator</w:t>
            </w:r>
          </w:p>
          <w:p w14:paraId="39B871E8"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Environmental dynamism</w:t>
            </w:r>
          </w:p>
          <w:p w14:paraId="11A7E9E6"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p>
        </w:tc>
        <w:tc>
          <w:tcPr>
            <w:tcW w:w="1415" w:type="dxa"/>
          </w:tcPr>
          <w:p w14:paraId="71C4E8E7" w14:textId="56CDCFED"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Green product innovation</w:t>
            </w:r>
          </w:p>
        </w:tc>
        <w:tc>
          <w:tcPr>
            <w:tcW w:w="1275" w:type="dxa"/>
          </w:tcPr>
          <w:p w14:paraId="2A27E9A5" w14:textId="3753B252"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Firm profitability</w:t>
            </w:r>
          </w:p>
        </w:tc>
        <w:tc>
          <w:tcPr>
            <w:tcW w:w="1832" w:type="dxa"/>
          </w:tcPr>
          <w:p w14:paraId="583B1F01" w14:textId="77DB3E9A"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Environmental dynamism positively moderate</w:t>
            </w:r>
            <w:r w:rsidR="00692F28">
              <w:rPr>
                <w:color w:val="000000" w:themeColor="text1"/>
                <w:sz w:val="18"/>
                <w:szCs w:val="21"/>
              </w:rPr>
              <w:t>s</w:t>
            </w:r>
            <w:r w:rsidRPr="003E7EE5">
              <w:rPr>
                <w:color w:val="000000" w:themeColor="text1"/>
                <w:sz w:val="18"/>
                <w:szCs w:val="21"/>
              </w:rPr>
              <w:t xml:space="preserve"> the relationship</w:t>
            </w:r>
            <w:r w:rsidR="00692F28">
              <w:rPr>
                <w:color w:val="000000" w:themeColor="text1"/>
                <w:sz w:val="18"/>
                <w:szCs w:val="21"/>
              </w:rPr>
              <w:t>.</w:t>
            </w:r>
          </w:p>
        </w:tc>
      </w:tr>
      <w:tr w:rsidR="00E51D8F" w:rsidRPr="003E7EE5" w14:paraId="24BEF79A" w14:textId="77777777" w:rsidTr="008B68F2">
        <w:trPr>
          <w:trHeight w:val="1096"/>
        </w:trPr>
        <w:tc>
          <w:tcPr>
            <w:tcW w:w="1270" w:type="dxa"/>
          </w:tcPr>
          <w:p w14:paraId="5B92454F"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 xml:space="preserve">Katsikeas </w:t>
            </w:r>
          </w:p>
          <w:p w14:paraId="6BD97F84" w14:textId="1D3AEF76" w:rsidR="00E51D8F" w:rsidRPr="003E7EE5" w:rsidRDefault="007E71B6" w:rsidP="0017312F">
            <w:pPr>
              <w:tabs>
                <w:tab w:val="left" w:pos="7371"/>
              </w:tabs>
              <w:rPr>
                <w:color w:val="000000" w:themeColor="text1"/>
                <w:sz w:val="18"/>
                <w:szCs w:val="21"/>
              </w:rPr>
            </w:pPr>
            <w:r w:rsidRPr="003E7EE5">
              <w:rPr>
                <w:i/>
                <w:color w:val="000000" w:themeColor="text1"/>
                <w:sz w:val="18"/>
                <w:szCs w:val="21"/>
              </w:rPr>
              <w:t>et al.</w:t>
            </w:r>
            <w:r w:rsidR="00E51D8F" w:rsidRPr="003E7EE5">
              <w:rPr>
                <w:color w:val="000000" w:themeColor="text1"/>
                <w:sz w:val="18"/>
                <w:szCs w:val="21"/>
              </w:rPr>
              <w:t xml:space="preserve"> (2016)</w:t>
            </w:r>
          </w:p>
        </w:tc>
        <w:tc>
          <w:tcPr>
            <w:tcW w:w="1701" w:type="dxa"/>
          </w:tcPr>
          <w:p w14:paraId="25B1EB1E"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Cross-sectional, single observation:</w:t>
            </w:r>
          </w:p>
          <w:p w14:paraId="51679AFD" w14:textId="35959F9D"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183 manufacturing firms</w:t>
            </w:r>
          </w:p>
        </w:tc>
        <w:tc>
          <w:tcPr>
            <w:tcW w:w="1701" w:type="dxa"/>
          </w:tcPr>
          <w:p w14:paraId="481908FA"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Moderator</w:t>
            </w:r>
          </w:p>
          <w:p w14:paraId="762E57D5" w14:textId="037A287B"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Market dynamism</w:t>
            </w:r>
          </w:p>
        </w:tc>
        <w:tc>
          <w:tcPr>
            <w:tcW w:w="1415" w:type="dxa"/>
          </w:tcPr>
          <w:p w14:paraId="6AEC8A07" w14:textId="544D762E"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Eco-friendly product development</w:t>
            </w:r>
          </w:p>
        </w:tc>
        <w:tc>
          <w:tcPr>
            <w:tcW w:w="1275" w:type="dxa"/>
          </w:tcPr>
          <w:p w14:paraId="0F780DEE" w14:textId="4DD2E36E"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Product development effectiveness</w:t>
            </w:r>
          </w:p>
        </w:tc>
        <w:tc>
          <w:tcPr>
            <w:tcW w:w="1832" w:type="dxa"/>
          </w:tcPr>
          <w:p w14:paraId="0BBB1FC8" w14:textId="2624BFC3"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Market dynamism has no effect on the relationship</w:t>
            </w:r>
            <w:r w:rsidR="00692F28">
              <w:rPr>
                <w:color w:val="000000" w:themeColor="text1"/>
                <w:sz w:val="18"/>
                <w:szCs w:val="21"/>
              </w:rPr>
              <w:t>.</w:t>
            </w:r>
          </w:p>
        </w:tc>
      </w:tr>
      <w:tr w:rsidR="00F22E47" w:rsidRPr="003E7EE5" w14:paraId="21AE3B1F" w14:textId="77777777" w:rsidTr="00AC6238">
        <w:trPr>
          <w:trHeight w:val="1065"/>
        </w:trPr>
        <w:tc>
          <w:tcPr>
            <w:tcW w:w="1270" w:type="dxa"/>
          </w:tcPr>
          <w:p w14:paraId="6BA775B3" w14:textId="77777777" w:rsidR="00F22E47" w:rsidRPr="003E7EE5" w:rsidRDefault="00F22E47" w:rsidP="00AC6238">
            <w:pPr>
              <w:tabs>
                <w:tab w:val="left" w:pos="7371"/>
              </w:tabs>
              <w:rPr>
                <w:color w:val="000000" w:themeColor="text1"/>
                <w:sz w:val="18"/>
                <w:szCs w:val="21"/>
              </w:rPr>
            </w:pPr>
            <w:r w:rsidRPr="003E7EE5">
              <w:rPr>
                <w:color w:val="000000" w:themeColor="text1"/>
                <w:sz w:val="18"/>
                <w:szCs w:val="21"/>
              </w:rPr>
              <w:t>Wu (201</w:t>
            </w:r>
            <w:r>
              <w:rPr>
                <w:color w:val="000000" w:themeColor="text1"/>
                <w:sz w:val="18"/>
                <w:szCs w:val="21"/>
              </w:rPr>
              <w:t>7</w:t>
            </w:r>
            <w:r w:rsidRPr="003E7EE5">
              <w:rPr>
                <w:color w:val="000000" w:themeColor="text1"/>
                <w:sz w:val="18"/>
                <w:szCs w:val="21"/>
              </w:rPr>
              <w:t>)</w:t>
            </w:r>
          </w:p>
        </w:tc>
        <w:tc>
          <w:tcPr>
            <w:tcW w:w="1701" w:type="dxa"/>
          </w:tcPr>
          <w:p w14:paraId="125B51AF" w14:textId="77777777" w:rsidR="00F22E47" w:rsidRPr="003E7EE5" w:rsidRDefault="00F22E47" w:rsidP="00AC6238">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Cross-sectional, single observation:</w:t>
            </w:r>
          </w:p>
          <w:p w14:paraId="54597194" w14:textId="77777777" w:rsidR="00F22E47" w:rsidRPr="003E7EE5" w:rsidRDefault="00F22E47" w:rsidP="00AC6238">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211 IT manufacturing firms</w:t>
            </w:r>
          </w:p>
        </w:tc>
        <w:tc>
          <w:tcPr>
            <w:tcW w:w="1701" w:type="dxa"/>
          </w:tcPr>
          <w:p w14:paraId="06670DCA" w14:textId="77777777" w:rsidR="00F22E47" w:rsidRPr="003E7EE5" w:rsidRDefault="00F22E47" w:rsidP="00AC6238">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Moderator</w:t>
            </w:r>
          </w:p>
          <w:p w14:paraId="3A88BBC0" w14:textId="77777777" w:rsidR="00F22E47" w:rsidRPr="003E7EE5" w:rsidRDefault="00F22E47" w:rsidP="00AC6238">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Types of perceived uncertainty</w:t>
            </w:r>
          </w:p>
          <w:p w14:paraId="2A978586" w14:textId="77777777" w:rsidR="00F22E47" w:rsidRPr="003E7EE5" w:rsidRDefault="00F22E47" w:rsidP="00AC6238">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(demand, technology)</w:t>
            </w:r>
          </w:p>
          <w:p w14:paraId="11EA382E" w14:textId="77777777" w:rsidR="00F22E47" w:rsidRPr="003E7EE5" w:rsidRDefault="00F22E47" w:rsidP="00AC6238">
            <w:pPr>
              <w:widowControl w:val="0"/>
              <w:tabs>
                <w:tab w:val="left" w:pos="1520"/>
                <w:tab w:val="left" w:pos="7371"/>
              </w:tabs>
              <w:autoSpaceDE w:val="0"/>
              <w:autoSpaceDN w:val="0"/>
              <w:adjustRightInd w:val="0"/>
              <w:jc w:val="center"/>
              <w:rPr>
                <w:color w:val="000000" w:themeColor="text1"/>
                <w:sz w:val="18"/>
                <w:szCs w:val="21"/>
              </w:rPr>
            </w:pPr>
          </w:p>
        </w:tc>
        <w:tc>
          <w:tcPr>
            <w:tcW w:w="1415" w:type="dxa"/>
          </w:tcPr>
          <w:p w14:paraId="6179EFA9" w14:textId="77777777" w:rsidR="00F22E47" w:rsidRPr="003E7EE5" w:rsidRDefault="00F22E47" w:rsidP="00AC6238">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Green supply chain integration</w:t>
            </w:r>
          </w:p>
        </w:tc>
        <w:tc>
          <w:tcPr>
            <w:tcW w:w="1275" w:type="dxa"/>
          </w:tcPr>
          <w:p w14:paraId="1DEC1404" w14:textId="77777777" w:rsidR="00F22E47" w:rsidRPr="003E7EE5" w:rsidRDefault="00F22E47" w:rsidP="00AC6238">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Green product innovation</w:t>
            </w:r>
          </w:p>
        </w:tc>
        <w:tc>
          <w:tcPr>
            <w:tcW w:w="1832" w:type="dxa"/>
          </w:tcPr>
          <w:p w14:paraId="04C8AD55" w14:textId="77777777" w:rsidR="00F22E47" w:rsidRPr="003E7EE5" w:rsidRDefault="00F22E47" w:rsidP="00AC6238">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Demand uncertainty positively moderates the relationship</w:t>
            </w:r>
            <w:r>
              <w:rPr>
                <w:color w:val="000000" w:themeColor="text1"/>
                <w:sz w:val="18"/>
                <w:szCs w:val="21"/>
              </w:rPr>
              <w:t>.</w:t>
            </w:r>
          </w:p>
        </w:tc>
      </w:tr>
      <w:tr w:rsidR="00E51D8F" w:rsidRPr="003E7EE5" w14:paraId="43CAEF7A" w14:textId="77777777" w:rsidTr="008B68F2">
        <w:trPr>
          <w:trHeight w:val="979"/>
        </w:trPr>
        <w:tc>
          <w:tcPr>
            <w:tcW w:w="1270" w:type="dxa"/>
          </w:tcPr>
          <w:p w14:paraId="67BD2636" w14:textId="433C4B08"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 xml:space="preserve">Leonidou </w:t>
            </w:r>
            <w:r w:rsidR="007E71B6" w:rsidRPr="003E7EE5">
              <w:rPr>
                <w:i/>
                <w:color w:val="000000" w:themeColor="text1"/>
                <w:sz w:val="18"/>
                <w:szCs w:val="21"/>
              </w:rPr>
              <w:t>et al.</w:t>
            </w:r>
            <w:r w:rsidRPr="003E7EE5">
              <w:rPr>
                <w:color w:val="000000" w:themeColor="text1"/>
                <w:sz w:val="18"/>
                <w:szCs w:val="21"/>
              </w:rPr>
              <w:t xml:space="preserve"> (2017)</w:t>
            </w:r>
          </w:p>
        </w:tc>
        <w:tc>
          <w:tcPr>
            <w:tcW w:w="1701" w:type="dxa"/>
          </w:tcPr>
          <w:p w14:paraId="2B3F1B5A"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Cross-sectional, single observation:</w:t>
            </w:r>
          </w:p>
          <w:p w14:paraId="04AB4828" w14:textId="2F090BAF"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153 Small manufacturing firms</w:t>
            </w:r>
          </w:p>
        </w:tc>
        <w:tc>
          <w:tcPr>
            <w:tcW w:w="1701" w:type="dxa"/>
          </w:tcPr>
          <w:p w14:paraId="160B762A"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Moderator</w:t>
            </w:r>
          </w:p>
          <w:p w14:paraId="0D96D406" w14:textId="50C0E952"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i/>
                <w:color w:val="000000" w:themeColor="text1"/>
                <w:sz w:val="18"/>
                <w:szCs w:val="21"/>
              </w:rPr>
              <w:t>Market dynamism</w:t>
            </w:r>
          </w:p>
        </w:tc>
        <w:tc>
          <w:tcPr>
            <w:tcW w:w="1415" w:type="dxa"/>
          </w:tcPr>
          <w:p w14:paraId="6E509D81" w14:textId="5AB2261D"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Green business strategy</w:t>
            </w:r>
          </w:p>
        </w:tc>
        <w:tc>
          <w:tcPr>
            <w:tcW w:w="1275" w:type="dxa"/>
          </w:tcPr>
          <w:p w14:paraId="25B747F7" w14:textId="15A57E2D"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Competitive advantage</w:t>
            </w:r>
          </w:p>
        </w:tc>
        <w:tc>
          <w:tcPr>
            <w:tcW w:w="1832" w:type="dxa"/>
          </w:tcPr>
          <w:p w14:paraId="03508A01" w14:textId="3DA98A56"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Market dynamism positively moderates the relationship</w:t>
            </w:r>
            <w:r w:rsidR="00692F28">
              <w:rPr>
                <w:color w:val="000000" w:themeColor="text1"/>
                <w:sz w:val="18"/>
                <w:szCs w:val="21"/>
              </w:rPr>
              <w:t>.</w:t>
            </w:r>
          </w:p>
        </w:tc>
      </w:tr>
      <w:tr w:rsidR="00E51D8F" w:rsidRPr="003E7EE5" w14:paraId="582E0F6B" w14:textId="77777777" w:rsidTr="0017312F">
        <w:trPr>
          <w:trHeight w:val="979"/>
        </w:trPr>
        <w:tc>
          <w:tcPr>
            <w:tcW w:w="1270" w:type="dxa"/>
            <w:tcBorders>
              <w:bottom w:val="single" w:sz="4" w:space="0" w:color="auto"/>
            </w:tcBorders>
          </w:tcPr>
          <w:p w14:paraId="5B51EE1E" w14:textId="70A35ACF"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Zh</w:t>
            </w:r>
            <w:r w:rsidR="00C968C4">
              <w:rPr>
                <w:color w:val="000000" w:themeColor="text1"/>
                <w:sz w:val="18"/>
                <w:szCs w:val="21"/>
              </w:rPr>
              <w:t>ao</w:t>
            </w:r>
            <w:r w:rsidRPr="003E7EE5">
              <w:rPr>
                <w:color w:val="000000" w:themeColor="text1"/>
                <w:sz w:val="18"/>
                <w:szCs w:val="21"/>
              </w:rPr>
              <w:t xml:space="preserve"> </w:t>
            </w:r>
            <w:r w:rsidR="007E71B6" w:rsidRPr="003E7EE5">
              <w:rPr>
                <w:i/>
                <w:color w:val="000000" w:themeColor="text1"/>
                <w:sz w:val="18"/>
                <w:szCs w:val="21"/>
              </w:rPr>
              <w:t>et al.</w:t>
            </w:r>
            <w:r w:rsidRPr="003E7EE5">
              <w:rPr>
                <w:color w:val="000000" w:themeColor="text1"/>
                <w:sz w:val="18"/>
                <w:szCs w:val="21"/>
              </w:rPr>
              <w:t xml:space="preserve"> (2018)</w:t>
            </w:r>
          </w:p>
        </w:tc>
        <w:tc>
          <w:tcPr>
            <w:tcW w:w="1701" w:type="dxa"/>
            <w:tcBorders>
              <w:bottom w:val="single" w:sz="4" w:space="0" w:color="auto"/>
            </w:tcBorders>
          </w:tcPr>
          <w:p w14:paraId="02FCF3F7"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Cross-sectional, single observation:</w:t>
            </w:r>
          </w:p>
          <w:p w14:paraId="3D27EBD9"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198 manufacturing</w:t>
            </w:r>
          </w:p>
          <w:p w14:paraId="475BE5A4" w14:textId="3F8FC89D"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firms</w:t>
            </w:r>
          </w:p>
        </w:tc>
        <w:tc>
          <w:tcPr>
            <w:tcW w:w="1701" w:type="dxa"/>
            <w:tcBorders>
              <w:bottom w:val="single" w:sz="4" w:space="0" w:color="auto"/>
            </w:tcBorders>
          </w:tcPr>
          <w:p w14:paraId="23A75142"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Moderator</w:t>
            </w:r>
          </w:p>
          <w:p w14:paraId="64E509FF"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Types of perceived uncertainties</w:t>
            </w:r>
          </w:p>
          <w:p w14:paraId="41BD5E3E"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(demand, technology, supply)</w:t>
            </w:r>
          </w:p>
          <w:p w14:paraId="3EFBCD7A" w14:textId="0A100548" w:rsidR="00E51D8F" w:rsidRPr="003E7EE5" w:rsidRDefault="00E51D8F" w:rsidP="0017312F">
            <w:pPr>
              <w:widowControl w:val="0"/>
              <w:tabs>
                <w:tab w:val="left" w:pos="1520"/>
                <w:tab w:val="left" w:pos="7371"/>
              </w:tabs>
              <w:autoSpaceDE w:val="0"/>
              <w:autoSpaceDN w:val="0"/>
              <w:adjustRightInd w:val="0"/>
              <w:jc w:val="center"/>
              <w:rPr>
                <w:i/>
                <w:color w:val="000000" w:themeColor="text1"/>
                <w:sz w:val="18"/>
                <w:szCs w:val="21"/>
              </w:rPr>
            </w:pPr>
          </w:p>
        </w:tc>
        <w:tc>
          <w:tcPr>
            <w:tcW w:w="1415" w:type="dxa"/>
            <w:tcBorders>
              <w:bottom w:val="single" w:sz="4" w:space="0" w:color="auto"/>
            </w:tcBorders>
          </w:tcPr>
          <w:p w14:paraId="5D0690D1" w14:textId="49CC20DF"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External involvement</w:t>
            </w:r>
          </w:p>
        </w:tc>
        <w:tc>
          <w:tcPr>
            <w:tcW w:w="1275" w:type="dxa"/>
            <w:tcBorders>
              <w:bottom w:val="single" w:sz="4" w:space="0" w:color="auto"/>
            </w:tcBorders>
          </w:tcPr>
          <w:p w14:paraId="5FEE9769" w14:textId="5D0D9B78"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Green product innovation</w:t>
            </w:r>
          </w:p>
        </w:tc>
        <w:tc>
          <w:tcPr>
            <w:tcW w:w="1832" w:type="dxa"/>
            <w:tcBorders>
              <w:bottom w:val="single" w:sz="4" w:space="0" w:color="auto"/>
            </w:tcBorders>
          </w:tcPr>
          <w:p w14:paraId="5F339027" w14:textId="1FBC3322"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Technological uncertainty positively moderates the relationship</w:t>
            </w:r>
            <w:r w:rsidR="00692F28">
              <w:rPr>
                <w:color w:val="000000" w:themeColor="text1"/>
                <w:sz w:val="18"/>
                <w:szCs w:val="21"/>
              </w:rPr>
              <w:t>.</w:t>
            </w:r>
          </w:p>
        </w:tc>
      </w:tr>
      <w:tr w:rsidR="00E51D8F" w:rsidRPr="003E7EE5" w14:paraId="54F7C384" w14:textId="77777777" w:rsidTr="0017312F">
        <w:trPr>
          <w:trHeight w:val="979"/>
        </w:trPr>
        <w:tc>
          <w:tcPr>
            <w:tcW w:w="1270" w:type="dxa"/>
            <w:tcBorders>
              <w:top w:val="single" w:sz="4" w:space="0" w:color="auto"/>
            </w:tcBorders>
          </w:tcPr>
          <w:p w14:paraId="26213C3D"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p w14:paraId="7A12613F" w14:textId="4D9C7E81" w:rsidR="00E51D8F" w:rsidRPr="003E7EE5" w:rsidRDefault="00692F28" w:rsidP="0017312F">
            <w:pPr>
              <w:widowControl w:val="0"/>
              <w:tabs>
                <w:tab w:val="left" w:pos="1520"/>
                <w:tab w:val="left" w:pos="7371"/>
              </w:tabs>
              <w:autoSpaceDE w:val="0"/>
              <w:autoSpaceDN w:val="0"/>
              <w:adjustRightInd w:val="0"/>
              <w:rPr>
                <w:color w:val="000000" w:themeColor="text1"/>
                <w:sz w:val="18"/>
                <w:szCs w:val="21"/>
              </w:rPr>
            </w:pPr>
            <w:r>
              <w:rPr>
                <w:i/>
                <w:color w:val="000000" w:themeColor="text1"/>
                <w:sz w:val="18"/>
                <w:szCs w:val="21"/>
              </w:rPr>
              <w:t>This</w:t>
            </w:r>
            <w:r w:rsidR="00E51D8F" w:rsidRPr="003E7EE5">
              <w:rPr>
                <w:i/>
                <w:color w:val="000000" w:themeColor="text1"/>
                <w:sz w:val="18"/>
                <w:szCs w:val="21"/>
              </w:rPr>
              <w:t xml:space="preserve"> study</w:t>
            </w:r>
          </w:p>
        </w:tc>
        <w:tc>
          <w:tcPr>
            <w:tcW w:w="1701" w:type="dxa"/>
            <w:tcBorders>
              <w:top w:val="single" w:sz="4" w:space="0" w:color="auto"/>
            </w:tcBorders>
          </w:tcPr>
          <w:p w14:paraId="4131B4D8"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p w14:paraId="2AF38A07"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Semi-</w:t>
            </w:r>
          </w:p>
          <w:p w14:paraId="5C02F3ED"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 xml:space="preserve">longitudinal </w:t>
            </w:r>
          </w:p>
          <w:p w14:paraId="7854AC94"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study:</w:t>
            </w:r>
          </w:p>
          <w:p w14:paraId="636D8FAB"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245 firms</w:t>
            </w:r>
          </w:p>
          <w:p w14:paraId="7D2D6E28" w14:textId="12603516"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 xml:space="preserve">across 5 industries </w:t>
            </w:r>
            <w:r w:rsidR="007E71B6" w:rsidRPr="003E7EE5">
              <w:rPr>
                <w:color w:val="000000" w:themeColor="text1"/>
                <w:sz w:val="18"/>
                <w:szCs w:val="21"/>
              </w:rPr>
              <w:t>and</w:t>
            </w:r>
            <w:r w:rsidRPr="003E7EE5">
              <w:rPr>
                <w:color w:val="000000" w:themeColor="text1"/>
                <w:sz w:val="18"/>
                <w:szCs w:val="21"/>
              </w:rPr>
              <w:t xml:space="preserve"> using time</w:t>
            </w:r>
            <w:r w:rsidR="00692F28">
              <w:rPr>
                <w:color w:val="000000" w:themeColor="text1"/>
                <w:sz w:val="18"/>
                <w:szCs w:val="21"/>
              </w:rPr>
              <w:t>-</w:t>
            </w:r>
            <w:r w:rsidRPr="003E7EE5">
              <w:rPr>
                <w:color w:val="000000" w:themeColor="text1"/>
                <w:sz w:val="18"/>
                <w:szCs w:val="21"/>
              </w:rPr>
              <w:t>lagged (t</w:t>
            </w:r>
            <w:r w:rsidR="00692F28">
              <w:rPr>
                <w:color w:val="000000" w:themeColor="text1"/>
                <w:sz w:val="18"/>
                <w:szCs w:val="21"/>
              </w:rPr>
              <w:t xml:space="preserve"> </w:t>
            </w:r>
            <w:r w:rsidRPr="003E7EE5">
              <w:rPr>
                <w:color w:val="000000" w:themeColor="text1"/>
                <w:sz w:val="18"/>
                <w:szCs w:val="21"/>
              </w:rPr>
              <w:t>+</w:t>
            </w:r>
            <w:r w:rsidR="00692F28">
              <w:rPr>
                <w:color w:val="000000" w:themeColor="text1"/>
                <w:sz w:val="18"/>
                <w:szCs w:val="21"/>
              </w:rPr>
              <w:t xml:space="preserve"> </w:t>
            </w:r>
            <w:r w:rsidRPr="003E7EE5">
              <w:rPr>
                <w:color w:val="000000" w:themeColor="text1"/>
                <w:sz w:val="18"/>
                <w:szCs w:val="21"/>
              </w:rPr>
              <w:t>4), objective data from a subset of the initial sample (110 firms)</w:t>
            </w:r>
          </w:p>
          <w:p w14:paraId="34695762" w14:textId="72EE75FF"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tc>
        <w:tc>
          <w:tcPr>
            <w:tcW w:w="1701" w:type="dxa"/>
            <w:tcBorders>
              <w:top w:val="single" w:sz="4" w:space="0" w:color="auto"/>
            </w:tcBorders>
          </w:tcPr>
          <w:p w14:paraId="52E7E8F8"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p>
          <w:p w14:paraId="25E1566D"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r w:rsidRPr="003E7EE5">
              <w:rPr>
                <w:b/>
                <w:i/>
                <w:color w:val="000000" w:themeColor="text1"/>
                <w:sz w:val="18"/>
                <w:szCs w:val="21"/>
              </w:rPr>
              <w:t>Natural context</w:t>
            </w:r>
          </w:p>
          <w:p w14:paraId="50BD4F64"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r w:rsidRPr="003E7EE5">
              <w:rPr>
                <w:color w:val="000000" w:themeColor="text1"/>
                <w:sz w:val="18"/>
                <w:szCs w:val="21"/>
              </w:rPr>
              <w:t xml:space="preserve">A country market undergoing a long period of uncertainty </w:t>
            </w:r>
          </w:p>
          <w:p w14:paraId="099B8739" w14:textId="77777777" w:rsidR="00E51D8F" w:rsidRPr="003E7EE5" w:rsidRDefault="00E51D8F" w:rsidP="0017312F">
            <w:pPr>
              <w:widowControl w:val="0"/>
              <w:tabs>
                <w:tab w:val="left" w:pos="1520"/>
                <w:tab w:val="left" w:pos="7371"/>
              </w:tabs>
              <w:autoSpaceDE w:val="0"/>
              <w:autoSpaceDN w:val="0"/>
              <w:adjustRightInd w:val="0"/>
              <w:jc w:val="center"/>
              <w:rPr>
                <w:b/>
                <w:i/>
                <w:color w:val="000000" w:themeColor="text1"/>
                <w:sz w:val="18"/>
                <w:szCs w:val="21"/>
              </w:rPr>
            </w:pPr>
          </w:p>
          <w:p w14:paraId="2E52657F" w14:textId="77777777" w:rsidR="00E51D8F" w:rsidRPr="003E7EE5" w:rsidRDefault="00E51D8F" w:rsidP="0017312F">
            <w:pPr>
              <w:widowControl w:val="0"/>
              <w:tabs>
                <w:tab w:val="left" w:pos="1520"/>
                <w:tab w:val="left" w:pos="7371"/>
              </w:tabs>
              <w:autoSpaceDE w:val="0"/>
              <w:autoSpaceDN w:val="0"/>
              <w:adjustRightInd w:val="0"/>
              <w:jc w:val="center"/>
              <w:rPr>
                <w:color w:val="000000" w:themeColor="text1"/>
                <w:sz w:val="18"/>
                <w:szCs w:val="21"/>
              </w:rPr>
            </w:pPr>
          </w:p>
        </w:tc>
        <w:tc>
          <w:tcPr>
            <w:tcW w:w="1415" w:type="dxa"/>
            <w:tcBorders>
              <w:top w:val="single" w:sz="4" w:space="0" w:color="auto"/>
            </w:tcBorders>
          </w:tcPr>
          <w:p w14:paraId="30263D7B"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p w14:paraId="2A0C78C1" w14:textId="4EB275EE"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GMS</w:t>
            </w:r>
          </w:p>
        </w:tc>
        <w:tc>
          <w:tcPr>
            <w:tcW w:w="1275" w:type="dxa"/>
            <w:tcBorders>
              <w:top w:val="single" w:sz="4" w:space="0" w:color="auto"/>
            </w:tcBorders>
          </w:tcPr>
          <w:p w14:paraId="46ECBA3F"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p w14:paraId="02B1D96F" w14:textId="251D899E"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Operational</w:t>
            </w:r>
            <w:r w:rsidR="002F1877">
              <w:rPr>
                <w:color w:val="000000" w:themeColor="text1"/>
                <w:sz w:val="18"/>
                <w:szCs w:val="21"/>
              </w:rPr>
              <w:t xml:space="preserve"> and</w:t>
            </w:r>
            <w:r w:rsidRPr="003E7EE5">
              <w:rPr>
                <w:color w:val="000000" w:themeColor="text1"/>
                <w:sz w:val="18"/>
                <w:szCs w:val="21"/>
              </w:rPr>
              <w:t xml:space="preserve"> </w:t>
            </w:r>
            <w:r w:rsidR="002F1877">
              <w:rPr>
                <w:color w:val="000000" w:themeColor="text1"/>
                <w:sz w:val="18"/>
                <w:szCs w:val="21"/>
              </w:rPr>
              <w:t>f</w:t>
            </w:r>
            <w:r w:rsidRPr="003E7EE5">
              <w:rPr>
                <w:color w:val="000000" w:themeColor="text1"/>
                <w:sz w:val="18"/>
                <w:szCs w:val="21"/>
              </w:rPr>
              <w:t xml:space="preserve">inancial </w:t>
            </w:r>
            <w:r w:rsidR="002F1877">
              <w:rPr>
                <w:color w:val="000000" w:themeColor="text1"/>
                <w:sz w:val="18"/>
                <w:szCs w:val="21"/>
              </w:rPr>
              <w:t>r</w:t>
            </w:r>
            <w:r w:rsidRPr="003E7EE5">
              <w:rPr>
                <w:color w:val="000000" w:themeColor="text1"/>
                <w:sz w:val="18"/>
                <w:szCs w:val="21"/>
              </w:rPr>
              <w:t xml:space="preserve">esilience </w:t>
            </w:r>
            <w:r w:rsidR="007E71B6" w:rsidRPr="003E7EE5">
              <w:rPr>
                <w:color w:val="000000" w:themeColor="text1"/>
                <w:sz w:val="18"/>
                <w:szCs w:val="21"/>
              </w:rPr>
              <w:t>and</w:t>
            </w:r>
            <w:r w:rsidRPr="003E7EE5">
              <w:rPr>
                <w:color w:val="000000" w:themeColor="text1"/>
                <w:sz w:val="18"/>
                <w:szCs w:val="21"/>
              </w:rPr>
              <w:t xml:space="preserve"> </w:t>
            </w:r>
            <w:r w:rsidR="002F1877">
              <w:rPr>
                <w:color w:val="000000" w:themeColor="text1"/>
                <w:sz w:val="18"/>
                <w:szCs w:val="21"/>
              </w:rPr>
              <w:t>l</w:t>
            </w:r>
            <w:r w:rsidRPr="003E7EE5">
              <w:rPr>
                <w:color w:val="000000" w:themeColor="text1"/>
                <w:sz w:val="18"/>
                <w:szCs w:val="21"/>
              </w:rPr>
              <w:t>ong-</w:t>
            </w:r>
            <w:r w:rsidR="002F1877">
              <w:rPr>
                <w:color w:val="000000" w:themeColor="text1"/>
                <w:sz w:val="18"/>
                <w:szCs w:val="21"/>
              </w:rPr>
              <w:t>t</w:t>
            </w:r>
            <w:r w:rsidRPr="003E7EE5">
              <w:rPr>
                <w:color w:val="000000" w:themeColor="text1"/>
                <w:sz w:val="18"/>
                <w:szCs w:val="21"/>
              </w:rPr>
              <w:t>erm</w:t>
            </w:r>
          </w:p>
          <w:p w14:paraId="7BEF22EE" w14:textId="79353D66" w:rsidR="00E51D8F" w:rsidRPr="003E7EE5" w:rsidRDefault="002F1877" w:rsidP="0017312F">
            <w:pPr>
              <w:widowControl w:val="0"/>
              <w:tabs>
                <w:tab w:val="left" w:pos="1520"/>
                <w:tab w:val="left" w:pos="7371"/>
              </w:tabs>
              <w:autoSpaceDE w:val="0"/>
              <w:autoSpaceDN w:val="0"/>
              <w:adjustRightInd w:val="0"/>
              <w:rPr>
                <w:color w:val="000000" w:themeColor="text1"/>
                <w:sz w:val="18"/>
                <w:szCs w:val="21"/>
              </w:rPr>
            </w:pPr>
            <w:r>
              <w:rPr>
                <w:color w:val="000000" w:themeColor="text1"/>
                <w:sz w:val="18"/>
                <w:szCs w:val="21"/>
              </w:rPr>
              <w:t>f</w:t>
            </w:r>
            <w:r w:rsidR="00E51D8F" w:rsidRPr="003E7EE5">
              <w:rPr>
                <w:color w:val="000000" w:themeColor="text1"/>
                <w:sz w:val="18"/>
                <w:szCs w:val="21"/>
              </w:rPr>
              <w:t>inancial</w:t>
            </w:r>
          </w:p>
          <w:p w14:paraId="3B813FC2" w14:textId="0A816B71" w:rsidR="00E51D8F" w:rsidRPr="003E7EE5" w:rsidRDefault="002F1877" w:rsidP="0017312F">
            <w:pPr>
              <w:widowControl w:val="0"/>
              <w:tabs>
                <w:tab w:val="left" w:pos="1520"/>
                <w:tab w:val="left" w:pos="7371"/>
              </w:tabs>
              <w:autoSpaceDE w:val="0"/>
              <w:autoSpaceDN w:val="0"/>
              <w:adjustRightInd w:val="0"/>
              <w:rPr>
                <w:color w:val="000000" w:themeColor="text1"/>
                <w:sz w:val="18"/>
                <w:szCs w:val="21"/>
              </w:rPr>
            </w:pPr>
            <w:r>
              <w:rPr>
                <w:color w:val="000000" w:themeColor="text1"/>
                <w:sz w:val="18"/>
                <w:szCs w:val="21"/>
              </w:rPr>
              <w:t>p</w:t>
            </w:r>
            <w:r w:rsidR="00E51D8F" w:rsidRPr="003E7EE5">
              <w:rPr>
                <w:color w:val="000000" w:themeColor="text1"/>
                <w:sz w:val="18"/>
                <w:szCs w:val="21"/>
              </w:rPr>
              <w:t>erformance</w:t>
            </w:r>
          </w:p>
        </w:tc>
        <w:tc>
          <w:tcPr>
            <w:tcW w:w="1832" w:type="dxa"/>
            <w:tcBorders>
              <w:top w:val="single" w:sz="4" w:space="0" w:color="auto"/>
            </w:tcBorders>
          </w:tcPr>
          <w:p w14:paraId="2765CC9D"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p w14:paraId="076761E7" w14:textId="22038B6B"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r w:rsidRPr="003E7EE5">
              <w:rPr>
                <w:color w:val="000000" w:themeColor="text1"/>
                <w:sz w:val="18"/>
                <w:szCs w:val="21"/>
              </w:rPr>
              <w:t>GMS positively affects operational</w:t>
            </w:r>
            <w:r w:rsidR="00D73E69" w:rsidRPr="003E7EE5">
              <w:rPr>
                <w:color w:val="000000" w:themeColor="text1"/>
                <w:sz w:val="18"/>
                <w:szCs w:val="21"/>
              </w:rPr>
              <w:t xml:space="preserve"> resilience</w:t>
            </w:r>
            <w:r w:rsidRPr="003E7EE5">
              <w:rPr>
                <w:color w:val="000000" w:themeColor="text1"/>
                <w:sz w:val="18"/>
                <w:szCs w:val="21"/>
              </w:rPr>
              <w:t>, financial resilience</w:t>
            </w:r>
            <w:r w:rsidR="00692F28">
              <w:rPr>
                <w:color w:val="000000" w:themeColor="text1"/>
                <w:sz w:val="18"/>
                <w:szCs w:val="21"/>
              </w:rPr>
              <w:t>,</w:t>
            </w:r>
            <w:r w:rsidRPr="003E7EE5">
              <w:rPr>
                <w:color w:val="000000" w:themeColor="text1"/>
                <w:sz w:val="18"/>
                <w:szCs w:val="21"/>
              </w:rPr>
              <w:t xml:space="preserve"> and long-term financial performance. </w:t>
            </w:r>
            <w:r w:rsidR="00C11EB9">
              <w:rPr>
                <w:color w:val="000000" w:themeColor="text1"/>
                <w:sz w:val="18"/>
                <w:szCs w:val="21"/>
              </w:rPr>
              <w:t>GMR</w:t>
            </w:r>
            <w:r w:rsidRPr="003E7EE5">
              <w:rPr>
                <w:color w:val="000000" w:themeColor="text1"/>
                <w:sz w:val="18"/>
                <w:szCs w:val="21"/>
              </w:rPr>
              <w:t>s intensify these relationships.</w:t>
            </w:r>
          </w:p>
          <w:p w14:paraId="1E10E2FB"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p w14:paraId="08E084BD" w14:textId="77777777"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p w14:paraId="6877BF6E" w14:textId="6C482950" w:rsidR="00E51D8F" w:rsidRPr="003E7EE5" w:rsidRDefault="00E51D8F" w:rsidP="0017312F">
            <w:pPr>
              <w:widowControl w:val="0"/>
              <w:tabs>
                <w:tab w:val="left" w:pos="1520"/>
                <w:tab w:val="left" w:pos="7371"/>
              </w:tabs>
              <w:autoSpaceDE w:val="0"/>
              <w:autoSpaceDN w:val="0"/>
              <w:adjustRightInd w:val="0"/>
              <w:rPr>
                <w:color w:val="000000" w:themeColor="text1"/>
                <w:sz w:val="18"/>
                <w:szCs w:val="21"/>
              </w:rPr>
            </w:pPr>
          </w:p>
        </w:tc>
      </w:tr>
    </w:tbl>
    <w:p w14:paraId="73073A2C" w14:textId="5A62B5AE" w:rsidR="00297E46" w:rsidRPr="003E7EE5" w:rsidRDefault="00297E46" w:rsidP="00297E46">
      <w:pPr>
        <w:outlineLvl w:val="0"/>
        <w:rPr>
          <w:i/>
        </w:rPr>
      </w:pPr>
    </w:p>
    <w:p w14:paraId="17E0C608" w14:textId="2519D103" w:rsidR="007E5E4D" w:rsidRPr="003E7EE5" w:rsidRDefault="007E5E4D" w:rsidP="00297E46">
      <w:pPr>
        <w:outlineLvl w:val="0"/>
        <w:rPr>
          <w:i/>
        </w:rPr>
      </w:pPr>
    </w:p>
    <w:p w14:paraId="6A742B17" w14:textId="05A60ABE" w:rsidR="007E5E4D" w:rsidRPr="003E7EE5" w:rsidRDefault="007E5E4D" w:rsidP="00297E46">
      <w:pPr>
        <w:outlineLvl w:val="0"/>
        <w:rPr>
          <w:i/>
        </w:rPr>
      </w:pPr>
    </w:p>
    <w:p w14:paraId="4DF6D864" w14:textId="11D8451B" w:rsidR="007E5E4D" w:rsidRPr="003E7EE5" w:rsidRDefault="007E5E4D" w:rsidP="00297E46">
      <w:pPr>
        <w:outlineLvl w:val="0"/>
        <w:rPr>
          <w:i/>
        </w:rPr>
      </w:pPr>
    </w:p>
    <w:p w14:paraId="30DFC8F1" w14:textId="142C9EDE" w:rsidR="007E5E4D" w:rsidRPr="003E7EE5" w:rsidRDefault="007E5E4D" w:rsidP="00297E46">
      <w:pPr>
        <w:outlineLvl w:val="0"/>
        <w:rPr>
          <w:i/>
        </w:rPr>
      </w:pPr>
    </w:p>
    <w:p w14:paraId="0AD0A81A" w14:textId="77777777" w:rsidR="009D69B7" w:rsidRPr="003E7EE5" w:rsidRDefault="009D69B7" w:rsidP="00297E46">
      <w:pPr>
        <w:outlineLvl w:val="0"/>
        <w:rPr>
          <w:i/>
        </w:rPr>
      </w:pPr>
    </w:p>
    <w:p w14:paraId="0ED771E9" w14:textId="77777777" w:rsidR="007E5E4D" w:rsidRPr="003E7EE5" w:rsidRDefault="007E5E4D" w:rsidP="00297E46">
      <w:pPr>
        <w:outlineLvl w:val="0"/>
        <w:rPr>
          <w:i/>
        </w:rPr>
      </w:pPr>
    </w:p>
    <w:p w14:paraId="06795CA6" w14:textId="7D0858A4" w:rsidR="00297E46" w:rsidRPr="005E1791" w:rsidRDefault="00297E46" w:rsidP="00B31EE8">
      <w:pPr>
        <w:outlineLvl w:val="0"/>
        <w:rPr>
          <w:iCs/>
        </w:rPr>
      </w:pPr>
      <w:r w:rsidRPr="005E1791">
        <w:rPr>
          <w:iCs/>
        </w:rPr>
        <w:lastRenderedPageBreak/>
        <w:t>Fig</w:t>
      </w:r>
      <w:r w:rsidR="00C466C3" w:rsidRPr="005E1791">
        <w:rPr>
          <w:iCs/>
        </w:rPr>
        <w:t>ure</w:t>
      </w:r>
      <w:r w:rsidRPr="005E1791">
        <w:rPr>
          <w:iCs/>
        </w:rPr>
        <w:t xml:space="preserve"> 1. </w:t>
      </w:r>
      <w:r w:rsidR="008024B1" w:rsidRPr="005E1791">
        <w:rPr>
          <w:iCs/>
        </w:rPr>
        <w:t>Hypothesi</w:t>
      </w:r>
      <w:r w:rsidR="00BD7BD8" w:rsidRPr="005E1791">
        <w:rPr>
          <w:iCs/>
        </w:rPr>
        <w:t>z</w:t>
      </w:r>
      <w:r w:rsidR="008024B1" w:rsidRPr="005E1791">
        <w:rPr>
          <w:iCs/>
        </w:rPr>
        <w:t xml:space="preserve">ed </w:t>
      </w:r>
      <w:r w:rsidRPr="005E1791">
        <w:rPr>
          <w:iCs/>
        </w:rPr>
        <w:t>model</w:t>
      </w:r>
    </w:p>
    <w:p w14:paraId="3C04F0C9" w14:textId="77777777" w:rsidR="00297E46" w:rsidRPr="003E7EE5" w:rsidRDefault="00297E46" w:rsidP="00297E46">
      <w:pPr>
        <w:tabs>
          <w:tab w:val="left" w:pos="284"/>
        </w:tabs>
        <w:jc w:val="both"/>
        <w:rPr>
          <w:i/>
          <w:color w:val="000000" w:themeColor="text1"/>
        </w:rPr>
      </w:pPr>
    </w:p>
    <w:p w14:paraId="2F9072C2" w14:textId="5E06FC44" w:rsidR="00297E46" w:rsidRPr="003E7EE5" w:rsidRDefault="00DF1513" w:rsidP="00297E46">
      <w:pPr>
        <w:tabs>
          <w:tab w:val="left" w:pos="284"/>
        </w:tabs>
        <w:jc w:val="both"/>
        <w:rPr>
          <w:i/>
          <w:color w:val="000000" w:themeColor="text1"/>
        </w:rPr>
      </w:pPr>
      <w:r w:rsidRPr="003E7EE5">
        <w:rPr>
          <w:noProof/>
        </w:rPr>
        <w:t xml:space="preserve"> </w:t>
      </w:r>
      <w:r w:rsidR="00BC4E94" w:rsidRPr="003E7EE5">
        <w:rPr>
          <w:noProof/>
        </w:rPr>
        <w:drawing>
          <wp:inline distT="0" distB="0" distL="0" distR="0" wp14:anchorId="747DED4C" wp14:editId="6F58516C">
            <wp:extent cx="5727700" cy="3060065"/>
            <wp:effectExtent l="0" t="0" r="0" b="635"/>
            <wp:docPr id="119219485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4855" name="Picture 1" descr="A diagram of a diagram&#10;&#10;Description automatically generated"/>
                    <pic:cNvPicPr/>
                  </pic:nvPicPr>
                  <pic:blipFill>
                    <a:blip r:embed="rId16"/>
                    <a:stretch>
                      <a:fillRect/>
                    </a:stretch>
                  </pic:blipFill>
                  <pic:spPr>
                    <a:xfrm>
                      <a:off x="0" y="0"/>
                      <a:ext cx="5727700" cy="3060065"/>
                    </a:xfrm>
                    <a:prstGeom prst="rect">
                      <a:avLst/>
                    </a:prstGeom>
                  </pic:spPr>
                </pic:pic>
              </a:graphicData>
            </a:graphic>
          </wp:inline>
        </w:drawing>
      </w:r>
    </w:p>
    <w:p w14:paraId="1850FE85" w14:textId="77777777" w:rsidR="00297E46" w:rsidRPr="003E7EE5" w:rsidRDefault="00297E46" w:rsidP="00297E46">
      <w:pPr>
        <w:tabs>
          <w:tab w:val="left" w:pos="284"/>
        </w:tabs>
        <w:jc w:val="both"/>
        <w:rPr>
          <w:i/>
          <w:color w:val="000000" w:themeColor="text1"/>
        </w:rPr>
      </w:pPr>
    </w:p>
    <w:p w14:paraId="47C0399F" w14:textId="77777777" w:rsidR="009D69B7" w:rsidRPr="003E7EE5" w:rsidRDefault="009D69B7" w:rsidP="00297E46">
      <w:pPr>
        <w:tabs>
          <w:tab w:val="left" w:pos="284"/>
        </w:tabs>
        <w:jc w:val="both"/>
        <w:rPr>
          <w:i/>
          <w:color w:val="000000" w:themeColor="text1"/>
        </w:rPr>
      </w:pPr>
    </w:p>
    <w:p w14:paraId="78E411FC" w14:textId="01CD9B01" w:rsidR="00297E46" w:rsidRPr="005E1791" w:rsidRDefault="00297E46" w:rsidP="00297E46">
      <w:pPr>
        <w:tabs>
          <w:tab w:val="left" w:pos="284"/>
        </w:tabs>
        <w:jc w:val="both"/>
        <w:rPr>
          <w:iCs/>
          <w:color w:val="000000" w:themeColor="text1"/>
        </w:rPr>
      </w:pPr>
      <w:r w:rsidRPr="005E1791">
        <w:rPr>
          <w:iCs/>
          <w:color w:val="000000" w:themeColor="text1"/>
        </w:rPr>
        <w:t>Table 2</w:t>
      </w:r>
      <w:r w:rsidR="00566E35" w:rsidRPr="005E1791">
        <w:rPr>
          <w:iCs/>
          <w:color w:val="000000" w:themeColor="text1"/>
        </w:rPr>
        <w:t>.</w:t>
      </w:r>
      <w:r w:rsidRPr="005E1791">
        <w:rPr>
          <w:iCs/>
          <w:color w:val="000000" w:themeColor="text1"/>
        </w:rPr>
        <w:t xml:space="preserve"> Measurement model</w:t>
      </w:r>
    </w:p>
    <w:p w14:paraId="6092EDE6" w14:textId="77777777" w:rsidR="00297E46" w:rsidRPr="003E7EE5" w:rsidRDefault="00297E46" w:rsidP="00297E46">
      <w:pPr>
        <w:tabs>
          <w:tab w:val="left" w:pos="284"/>
        </w:tabs>
        <w:jc w:val="both"/>
        <w:rPr>
          <w:i/>
          <w:color w:val="000000" w:themeColor="text1"/>
        </w:rPr>
      </w:pPr>
    </w:p>
    <w:tbl>
      <w:tblPr>
        <w:tblW w:w="9020" w:type="dxa"/>
        <w:tblLook w:val="04A0" w:firstRow="1" w:lastRow="0" w:firstColumn="1" w:lastColumn="0" w:noHBand="0" w:noVBand="1"/>
      </w:tblPr>
      <w:tblGrid>
        <w:gridCol w:w="6214"/>
        <w:gridCol w:w="1061"/>
        <w:gridCol w:w="672"/>
        <w:gridCol w:w="1073"/>
      </w:tblGrid>
      <w:tr w:rsidR="00297E46" w:rsidRPr="003E7EE5" w14:paraId="150A423C" w14:textId="77777777" w:rsidTr="000858C0">
        <w:tc>
          <w:tcPr>
            <w:tcW w:w="6214" w:type="dxa"/>
            <w:tcBorders>
              <w:top w:val="single" w:sz="4" w:space="0" w:color="auto"/>
              <w:bottom w:val="single" w:sz="4" w:space="0" w:color="auto"/>
            </w:tcBorders>
            <w:vAlign w:val="center"/>
          </w:tcPr>
          <w:p w14:paraId="7FBD8C68" w14:textId="77777777" w:rsidR="00297E46" w:rsidRPr="003E7EE5" w:rsidRDefault="00297E46" w:rsidP="0017312F">
            <w:pPr>
              <w:tabs>
                <w:tab w:val="left" w:pos="284"/>
              </w:tabs>
              <w:rPr>
                <w:color w:val="000000" w:themeColor="text1"/>
                <w:sz w:val="18"/>
              </w:rPr>
            </w:pPr>
            <w:r w:rsidRPr="003E7EE5">
              <w:rPr>
                <w:color w:val="000000" w:themeColor="text1"/>
                <w:sz w:val="18"/>
              </w:rPr>
              <w:t>Construct</w:t>
            </w:r>
          </w:p>
        </w:tc>
        <w:tc>
          <w:tcPr>
            <w:tcW w:w="1061" w:type="dxa"/>
            <w:tcBorders>
              <w:top w:val="single" w:sz="4" w:space="0" w:color="auto"/>
              <w:bottom w:val="single" w:sz="4" w:space="0" w:color="auto"/>
            </w:tcBorders>
          </w:tcPr>
          <w:p w14:paraId="25C07BA7" w14:textId="77777777" w:rsidR="00297E46" w:rsidRPr="003E7EE5" w:rsidRDefault="00297E46" w:rsidP="0017312F">
            <w:pPr>
              <w:tabs>
                <w:tab w:val="left" w:pos="284"/>
              </w:tabs>
              <w:jc w:val="both"/>
              <w:rPr>
                <w:color w:val="000000" w:themeColor="text1"/>
                <w:sz w:val="18"/>
              </w:rPr>
            </w:pPr>
            <w:r w:rsidRPr="003E7EE5">
              <w:rPr>
                <w:color w:val="000000" w:themeColor="text1"/>
                <w:sz w:val="18"/>
              </w:rPr>
              <w:t xml:space="preserve">Standard. loadings </w:t>
            </w:r>
          </w:p>
          <w:p w14:paraId="64547189" w14:textId="77777777" w:rsidR="00297E46" w:rsidRPr="003E7EE5" w:rsidRDefault="00297E46" w:rsidP="0017312F">
            <w:pPr>
              <w:tabs>
                <w:tab w:val="left" w:pos="284"/>
              </w:tabs>
              <w:jc w:val="both"/>
              <w:rPr>
                <w:color w:val="000000" w:themeColor="text1"/>
                <w:sz w:val="18"/>
              </w:rPr>
            </w:pPr>
            <w:r w:rsidRPr="003E7EE5">
              <w:rPr>
                <w:color w:val="000000" w:themeColor="text1"/>
                <w:sz w:val="18"/>
              </w:rPr>
              <w:t>(λ)</w:t>
            </w:r>
          </w:p>
        </w:tc>
        <w:tc>
          <w:tcPr>
            <w:tcW w:w="672" w:type="dxa"/>
            <w:tcBorders>
              <w:top w:val="single" w:sz="4" w:space="0" w:color="auto"/>
              <w:bottom w:val="single" w:sz="4" w:space="0" w:color="auto"/>
            </w:tcBorders>
          </w:tcPr>
          <w:p w14:paraId="169473A2" w14:textId="443D8470" w:rsidR="00297E46" w:rsidRPr="003E7EE5" w:rsidRDefault="00297E46" w:rsidP="0017312F">
            <w:pPr>
              <w:tabs>
                <w:tab w:val="left" w:pos="284"/>
              </w:tabs>
              <w:jc w:val="center"/>
              <w:rPr>
                <w:color w:val="000000" w:themeColor="text1"/>
                <w:sz w:val="18"/>
              </w:rPr>
            </w:pPr>
            <w:r w:rsidRPr="003E7EE5">
              <w:rPr>
                <w:color w:val="000000" w:themeColor="text1"/>
                <w:sz w:val="18"/>
              </w:rPr>
              <w:t>M</w:t>
            </w:r>
          </w:p>
        </w:tc>
        <w:tc>
          <w:tcPr>
            <w:tcW w:w="1073" w:type="dxa"/>
            <w:tcBorders>
              <w:top w:val="single" w:sz="4" w:space="0" w:color="auto"/>
              <w:bottom w:val="single" w:sz="4" w:space="0" w:color="auto"/>
            </w:tcBorders>
          </w:tcPr>
          <w:p w14:paraId="14DA4809" w14:textId="017CEC88" w:rsidR="00297E46" w:rsidRPr="003E7EE5" w:rsidRDefault="00297E46" w:rsidP="00D73E69">
            <w:pPr>
              <w:tabs>
                <w:tab w:val="left" w:pos="284"/>
              </w:tabs>
              <w:jc w:val="both"/>
              <w:rPr>
                <w:color w:val="000000" w:themeColor="text1"/>
                <w:sz w:val="18"/>
              </w:rPr>
            </w:pPr>
            <w:r w:rsidRPr="003E7EE5">
              <w:rPr>
                <w:color w:val="000000" w:themeColor="text1"/>
                <w:sz w:val="18"/>
              </w:rPr>
              <w:t>SD</w:t>
            </w:r>
          </w:p>
        </w:tc>
      </w:tr>
      <w:tr w:rsidR="00297E46" w:rsidRPr="003E7EE5" w14:paraId="17442FFE" w14:textId="77777777" w:rsidTr="000858C0">
        <w:tc>
          <w:tcPr>
            <w:tcW w:w="6214" w:type="dxa"/>
          </w:tcPr>
          <w:p w14:paraId="459BBDC8" w14:textId="00C4EE0D" w:rsidR="00297E46" w:rsidRPr="003E7EE5" w:rsidRDefault="00297E46" w:rsidP="0017312F">
            <w:pPr>
              <w:tabs>
                <w:tab w:val="left" w:pos="284"/>
              </w:tabs>
              <w:jc w:val="both"/>
              <w:rPr>
                <w:b/>
                <w:color w:val="000000" w:themeColor="text1"/>
                <w:sz w:val="20"/>
                <w:szCs w:val="20"/>
              </w:rPr>
            </w:pPr>
            <w:r w:rsidRPr="003E7EE5">
              <w:rPr>
                <w:b/>
                <w:sz w:val="20"/>
                <w:szCs w:val="20"/>
              </w:rPr>
              <w:t xml:space="preserve">Corporate </w:t>
            </w:r>
            <w:r w:rsidR="00D73E69">
              <w:rPr>
                <w:b/>
                <w:sz w:val="20"/>
                <w:szCs w:val="20"/>
              </w:rPr>
              <w:t>s</w:t>
            </w:r>
            <w:r w:rsidRPr="003E7EE5">
              <w:rPr>
                <w:b/>
                <w:sz w:val="20"/>
                <w:szCs w:val="20"/>
              </w:rPr>
              <w:t xml:space="preserve">ustainability </w:t>
            </w:r>
            <w:r w:rsidR="00D73E69">
              <w:rPr>
                <w:b/>
                <w:sz w:val="20"/>
                <w:szCs w:val="20"/>
              </w:rPr>
              <w:t>(</w:t>
            </w:r>
            <w:proofErr w:type="spellStart"/>
            <w:r w:rsidRPr="003E7EE5">
              <w:rPr>
                <w:sz w:val="20"/>
                <w:szCs w:val="20"/>
              </w:rPr>
              <w:t>Turker</w:t>
            </w:r>
            <w:proofErr w:type="spellEnd"/>
            <w:r w:rsidRPr="003E7EE5">
              <w:rPr>
                <w:sz w:val="20"/>
                <w:szCs w:val="20"/>
              </w:rPr>
              <w:t>, 2009</w:t>
            </w:r>
            <w:r w:rsidR="00D73E69">
              <w:rPr>
                <w:sz w:val="20"/>
                <w:szCs w:val="20"/>
              </w:rPr>
              <w:t>)</w:t>
            </w:r>
            <w:r w:rsidR="00617A5D" w:rsidRPr="003E7EE5">
              <w:rPr>
                <w:sz w:val="20"/>
                <w:szCs w:val="20"/>
              </w:rPr>
              <w:t xml:space="preserve"> </w:t>
            </w:r>
            <w:r w:rsidRPr="003E7EE5">
              <w:rPr>
                <w:i/>
                <w:color w:val="000000" w:themeColor="text1"/>
                <w:sz w:val="20"/>
                <w:szCs w:val="20"/>
              </w:rPr>
              <w:t>a = .926, CR = .922, AVE = .629</w:t>
            </w:r>
          </w:p>
        </w:tc>
        <w:tc>
          <w:tcPr>
            <w:tcW w:w="1061" w:type="dxa"/>
          </w:tcPr>
          <w:p w14:paraId="02CC6E29" w14:textId="77777777" w:rsidR="00297E46" w:rsidRPr="003E7EE5" w:rsidRDefault="00297E46" w:rsidP="0017312F">
            <w:pPr>
              <w:tabs>
                <w:tab w:val="left" w:pos="284"/>
              </w:tabs>
              <w:jc w:val="both"/>
              <w:rPr>
                <w:b/>
                <w:color w:val="000000" w:themeColor="text1"/>
                <w:sz w:val="20"/>
                <w:szCs w:val="20"/>
              </w:rPr>
            </w:pPr>
          </w:p>
        </w:tc>
        <w:tc>
          <w:tcPr>
            <w:tcW w:w="672" w:type="dxa"/>
          </w:tcPr>
          <w:p w14:paraId="77AADFD3" w14:textId="77777777" w:rsidR="00297E46" w:rsidRPr="003E7EE5" w:rsidRDefault="00297E46" w:rsidP="0017312F">
            <w:pPr>
              <w:tabs>
                <w:tab w:val="left" w:pos="284"/>
              </w:tabs>
              <w:jc w:val="center"/>
              <w:rPr>
                <w:b/>
                <w:color w:val="000000" w:themeColor="text1"/>
                <w:sz w:val="20"/>
                <w:szCs w:val="20"/>
              </w:rPr>
            </w:pPr>
          </w:p>
        </w:tc>
        <w:tc>
          <w:tcPr>
            <w:tcW w:w="1073" w:type="dxa"/>
          </w:tcPr>
          <w:p w14:paraId="7159A60D" w14:textId="77777777" w:rsidR="00297E46" w:rsidRPr="003E7EE5" w:rsidRDefault="00297E46" w:rsidP="0017312F">
            <w:pPr>
              <w:tabs>
                <w:tab w:val="left" w:pos="284"/>
              </w:tabs>
              <w:jc w:val="center"/>
              <w:rPr>
                <w:b/>
                <w:color w:val="000000" w:themeColor="text1"/>
                <w:sz w:val="20"/>
                <w:szCs w:val="20"/>
              </w:rPr>
            </w:pPr>
          </w:p>
        </w:tc>
      </w:tr>
      <w:tr w:rsidR="00297E46" w:rsidRPr="003E7EE5" w14:paraId="71A9E2ED" w14:textId="77777777" w:rsidTr="000858C0">
        <w:trPr>
          <w:trHeight w:val="209"/>
        </w:trPr>
        <w:tc>
          <w:tcPr>
            <w:tcW w:w="6214" w:type="dxa"/>
          </w:tcPr>
          <w:p w14:paraId="2DF1F313" w14:textId="77777777" w:rsidR="00297E46" w:rsidRPr="003E7EE5" w:rsidRDefault="00297E46" w:rsidP="0017312F">
            <w:pPr>
              <w:tabs>
                <w:tab w:val="left" w:pos="284"/>
              </w:tabs>
              <w:rPr>
                <w:color w:val="000000" w:themeColor="text1"/>
                <w:sz w:val="20"/>
                <w:szCs w:val="20"/>
              </w:rPr>
            </w:pPr>
            <w:r w:rsidRPr="003E7EE5">
              <w:rPr>
                <w:sz w:val="20"/>
                <w:szCs w:val="20"/>
              </w:rPr>
              <w:t>Our company participates in activities which aim to protect and improve the quality of the natural environment.</w:t>
            </w:r>
          </w:p>
        </w:tc>
        <w:tc>
          <w:tcPr>
            <w:tcW w:w="1061" w:type="dxa"/>
          </w:tcPr>
          <w:p w14:paraId="3606E48A"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0.861</w:t>
            </w:r>
          </w:p>
        </w:tc>
        <w:tc>
          <w:tcPr>
            <w:tcW w:w="672" w:type="dxa"/>
          </w:tcPr>
          <w:p w14:paraId="417A444B"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4.89</w:t>
            </w:r>
          </w:p>
        </w:tc>
        <w:tc>
          <w:tcPr>
            <w:tcW w:w="1073" w:type="dxa"/>
          </w:tcPr>
          <w:p w14:paraId="0A9ADA00"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1.69</w:t>
            </w:r>
          </w:p>
        </w:tc>
      </w:tr>
      <w:tr w:rsidR="00297E46" w:rsidRPr="003E7EE5" w14:paraId="3187DBE0" w14:textId="77777777" w:rsidTr="000858C0">
        <w:trPr>
          <w:trHeight w:val="223"/>
        </w:trPr>
        <w:tc>
          <w:tcPr>
            <w:tcW w:w="6214" w:type="dxa"/>
          </w:tcPr>
          <w:p w14:paraId="1D738F64" w14:textId="1DED26B1" w:rsidR="00297E46" w:rsidRPr="003E7EE5" w:rsidRDefault="00297E46" w:rsidP="0017312F">
            <w:pPr>
              <w:tabs>
                <w:tab w:val="left" w:pos="284"/>
              </w:tabs>
              <w:rPr>
                <w:color w:val="000000" w:themeColor="text1"/>
                <w:sz w:val="20"/>
                <w:szCs w:val="20"/>
              </w:rPr>
            </w:pPr>
            <w:r w:rsidRPr="003E7EE5">
              <w:rPr>
                <w:sz w:val="20"/>
                <w:szCs w:val="20"/>
              </w:rPr>
              <w:t>Our company implements special programs to minimi</w:t>
            </w:r>
            <w:r w:rsidR="00B563D1">
              <w:rPr>
                <w:sz w:val="20"/>
                <w:szCs w:val="20"/>
              </w:rPr>
              <w:t>z</w:t>
            </w:r>
            <w:r w:rsidRPr="003E7EE5">
              <w:rPr>
                <w:sz w:val="20"/>
                <w:szCs w:val="20"/>
              </w:rPr>
              <w:t>e its negative impact on the natural environment.</w:t>
            </w:r>
          </w:p>
        </w:tc>
        <w:tc>
          <w:tcPr>
            <w:tcW w:w="1061" w:type="dxa"/>
          </w:tcPr>
          <w:p w14:paraId="7550BB61"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0.839</w:t>
            </w:r>
          </w:p>
        </w:tc>
        <w:tc>
          <w:tcPr>
            <w:tcW w:w="672" w:type="dxa"/>
          </w:tcPr>
          <w:p w14:paraId="35316017"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4.35</w:t>
            </w:r>
          </w:p>
        </w:tc>
        <w:tc>
          <w:tcPr>
            <w:tcW w:w="1073" w:type="dxa"/>
          </w:tcPr>
          <w:p w14:paraId="424022E7"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1.94</w:t>
            </w:r>
          </w:p>
        </w:tc>
      </w:tr>
      <w:tr w:rsidR="00297E46" w:rsidRPr="003E7EE5" w14:paraId="77EFC5D8" w14:textId="77777777" w:rsidTr="000858C0">
        <w:trPr>
          <w:trHeight w:val="209"/>
        </w:trPr>
        <w:tc>
          <w:tcPr>
            <w:tcW w:w="6214" w:type="dxa"/>
          </w:tcPr>
          <w:p w14:paraId="440ADFB1" w14:textId="77777777" w:rsidR="00297E46" w:rsidRPr="003E7EE5" w:rsidRDefault="00297E46" w:rsidP="0017312F">
            <w:pPr>
              <w:tabs>
                <w:tab w:val="left" w:pos="284"/>
              </w:tabs>
              <w:spacing w:line="276" w:lineRule="auto"/>
              <w:rPr>
                <w:color w:val="000000" w:themeColor="text1"/>
                <w:sz w:val="20"/>
                <w:szCs w:val="20"/>
              </w:rPr>
            </w:pPr>
            <w:r w:rsidRPr="003E7EE5">
              <w:rPr>
                <w:sz w:val="20"/>
                <w:szCs w:val="20"/>
              </w:rPr>
              <w:t>Our company encourages its employees to participate in voluntarily activities.</w:t>
            </w:r>
          </w:p>
        </w:tc>
        <w:tc>
          <w:tcPr>
            <w:tcW w:w="1061" w:type="dxa"/>
          </w:tcPr>
          <w:p w14:paraId="70344F6E"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0.769</w:t>
            </w:r>
          </w:p>
        </w:tc>
        <w:tc>
          <w:tcPr>
            <w:tcW w:w="672" w:type="dxa"/>
          </w:tcPr>
          <w:p w14:paraId="21D82FC4"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3.89</w:t>
            </w:r>
          </w:p>
        </w:tc>
        <w:tc>
          <w:tcPr>
            <w:tcW w:w="1073" w:type="dxa"/>
          </w:tcPr>
          <w:p w14:paraId="7DAD2EF7"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2.01</w:t>
            </w:r>
          </w:p>
        </w:tc>
      </w:tr>
      <w:tr w:rsidR="00297E46" w:rsidRPr="003E7EE5" w14:paraId="0A5A2856" w14:textId="77777777" w:rsidTr="000858C0">
        <w:trPr>
          <w:trHeight w:val="223"/>
        </w:trPr>
        <w:tc>
          <w:tcPr>
            <w:tcW w:w="6214" w:type="dxa"/>
          </w:tcPr>
          <w:p w14:paraId="4485E315" w14:textId="77777777" w:rsidR="00297E46" w:rsidRPr="003E7EE5" w:rsidRDefault="00297E46" w:rsidP="0017312F">
            <w:pPr>
              <w:tabs>
                <w:tab w:val="left" w:pos="284"/>
              </w:tabs>
              <w:spacing w:line="276" w:lineRule="auto"/>
              <w:rPr>
                <w:color w:val="000000" w:themeColor="text1"/>
                <w:sz w:val="20"/>
                <w:szCs w:val="20"/>
              </w:rPr>
            </w:pPr>
            <w:r w:rsidRPr="003E7EE5">
              <w:rPr>
                <w:sz w:val="20"/>
                <w:szCs w:val="20"/>
              </w:rPr>
              <w:t>Our company contributes to campaigns and projects that promote the well-being of the society.</w:t>
            </w:r>
          </w:p>
        </w:tc>
        <w:tc>
          <w:tcPr>
            <w:tcW w:w="1061" w:type="dxa"/>
          </w:tcPr>
          <w:p w14:paraId="5F6580F5"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0.711</w:t>
            </w:r>
          </w:p>
        </w:tc>
        <w:tc>
          <w:tcPr>
            <w:tcW w:w="672" w:type="dxa"/>
          </w:tcPr>
          <w:p w14:paraId="54111929"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4.54</w:t>
            </w:r>
          </w:p>
        </w:tc>
        <w:tc>
          <w:tcPr>
            <w:tcW w:w="1073" w:type="dxa"/>
          </w:tcPr>
          <w:p w14:paraId="2EFF11C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1.79</w:t>
            </w:r>
          </w:p>
        </w:tc>
      </w:tr>
      <w:tr w:rsidR="00297E46" w:rsidRPr="003E7EE5" w14:paraId="13553198" w14:textId="77777777" w:rsidTr="000858C0">
        <w:trPr>
          <w:trHeight w:val="209"/>
        </w:trPr>
        <w:tc>
          <w:tcPr>
            <w:tcW w:w="6214" w:type="dxa"/>
          </w:tcPr>
          <w:p w14:paraId="3FCA1654" w14:textId="2DF21019" w:rsidR="00297E46" w:rsidRPr="003E7EE5" w:rsidRDefault="00297E46" w:rsidP="0017312F">
            <w:pPr>
              <w:tabs>
                <w:tab w:val="left" w:pos="284"/>
              </w:tabs>
              <w:spacing w:line="276" w:lineRule="auto"/>
              <w:rPr>
                <w:color w:val="000000" w:themeColor="text1"/>
                <w:sz w:val="20"/>
                <w:szCs w:val="20"/>
              </w:rPr>
            </w:pPr>
            <w:r w:rsidRPr="003E7EE5">
              <w:rPr>
                <w:sz w:val="20"/>
                <w:szCs w:val="20"/>
              </w:rPr>
              <w:t>Our company supports non-governmental organi</w:t>
            </w:r>
            <w:r w:rsidR="003E7EE5">
              <w:rPr>
                <w:sz w:val="20"/>
                <w:szCs w:val="20"/>
              </w:rPr>
              <w:t>z</w:t>
            </w:r>
            <w:r w:rsidRPr="003E7EE5">
              <w:rPr>
                <w:sz w:val="20"/>
                <w:szCs w:val="20"/>
              </w:rPr>
              <w:t>ations working in problematic areas.</w:t>
            </w:r>
          </w:p>
        </w:tc>
        <w:tc>
          <w:tcPr>
            <w:tcW w:w="1061" w:type="dxa"/>
          </w:tcPr>
          <w:p w14:paraId="46C75900"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0.673</w:t>
            </w:r>
          </w:p>
        </w:tc>
        <w:tc>
          <w:tcPr>
            <w:tcW w:w="672" w:type="dxa"/>
          </w:tcPr>
          <w:p w14:paraId="68AE2F96"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4.42</w:t>
            </w:r>
          </w:p>
        </w:tc>
        <w:tc>
          <w:tcPr>
            <w:tcW w:w="1073" w:type="dxa"/>
          </w:tcPr>
          <w:p w14:paraId="7D647E7B"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1.95</w:t>
            </w:r>
          </w:p>
        </w:tc>
      </w:tr>
      <w:tr w:rsidR="00297E46" w:rsidRPr="003E7EE5" w14:paraId="006BF6A6" w14:textId="77777777" w:rsidTr="000858C0">
        <w:trPr>
          <w:trHeight w:val="223"/>
        </w:trPr>
        <w:tc>
          <w:tcPr>
            <w:tcW w:w="6214" w:type="dxa"/>
          </w:tcPr>
          <w:p w14:paraId="465C3FE7" w14:textId="77777777" w:rsidR="00297E46" w:rsidRPr="003E7EE5" w:rsidRDefault="00297E46" w:rsidP="0017312F">
            <w:pPr>
              <w:tabs>
                <w:tab w:val="left" w:pos="284"/>
              </w:tabs>
              <w:spacing w:line="276" w:lineRule="auto"/>
              <w:rPr>
                <w:color w:val="000000" w:themeColor="text1"/>
                <w:sz w:val="20"/>
                <w:szCs w:val="20"/>
              </w:rPr>
            </w:pPr>
            <w:r w:rsidRPr="003E7EE5">
              <w:rPr>
                <w:sz w:val="20"/>
                <w:szCs w:val="20"/>
              </w:rPr>
              <w:t>Our company makes investment to create a better life for future generations.</w:t>
            </w:r>
          </w:p>
        </w:tc>
        <w:tc>
          <w:tcPr>
            <w:tcW w:w="1061" w:type="dxa"/>
          </w:tcPr>
          <w:p w14:paraId="5C0C56C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0.805</w:t>
            </w:r>
          </w:p>
        </w:tc>
        <w:tc>
          <w:tcPr>
            <w:tcW w:w="672" w:type="dxa"/>
          </w:tcPr>
          <w:p w14:paraId="606A3D00"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4.58</w:t>
            </w:r>
          </w:p>
        </w:tc>
        <w:tc>
          <w:tcPr>
            <w:tcW w:w="1073" w:type="dxa"/>
          </w:tcPr>
          <w:p w14:paraId="66B31CFD"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1.87</w:t>
            </w:r>
          </w:p>
        </w:tc>
      </w:tr>
      <w:tr w:rsidR="00297E46" w:rsidRPr="003E7EE5" w14:paraId="4189F48A" w14:textId="77777777" w:rsidTr="000858C0">
        <w:trPr>
          <w:trHeight w:val="699"/>
        </w:trPr>
        <w:tc>
          <w:tcPr>
            <w:tcW w:w="6214" w:type="dxa"/>
          </w:tcPr>
          <w:p w14:paraId="48E1DE86" w14:textId="77777777" w:rsidR="00297E46" w:rsidRPr="003E7EE5" w:rsidRDefault="00297E46" w:rsidP="0017312F">
            <w:pPr>
              <w:widowControl w:val="0"/>
              <w:autoSpaceDE w:val="0"/>
              <w:autoSpaceDN w:val="0"/>
              <w:adjustRightInd w:val="0"/>
              <w:spacing w:line="276" w:lineRule="auto"/>
              <w:ind w:left="1"/>
              <w:rPr>
                <w:sz w:val="20"/>
                <w:szCs w:val="20"/>
              </w:rPr>
            </w:pPr>
            <w:r w:rsidRPr="003E7EE5">
              <w:rPr>
                <w:sz w:val="20"/>
                <w:szCs w:val="20"/>
              </w:rPr>
              <w:t xml:space="preserve">Our company targets sustainable growth which considers future generations. </w:t>
            </w:r>
          </w:p>
          <w:p w14:paraId="1C229892" w14:textId="77777777" w:rsidR="00297E46" w:rsidRPr="003E7EE5" w:rsidRDefault="00297E46" w:rsidP="0017312F">
            <w:pPr>
              <w:widowControl w:val="0"/>
              <w:autoSpaceDE w:val="0"/>
              <w:autoSpaceDN w:val="0"/>
              <w:adjustRightInd w:val="0"/>
              <w:spacing w:line="276" w:lineRule="auto"/>
              <w:rPr>
                <w:sz w:val="20"/>
                <w:szCs w:val="20"/>
              </w:rPr>
            </w:pPr>
          </w:p>
          <w:p w14:paraId="7643C877" w14:textId="77777777" w:rsidR="00297E46" w:rsidRPr="003E7EE5" w:rsidRDefault="00297E46" w:rsidP="0017312F">
            <w:pPr>
              <w:tabs>
                <w:tab w:val="left" w:pos="284"/>
              </w:tabs>
              <w:spacing w:line="276" w:lineRule="auto"/>
              <w:rPr>
                <w:color w:val="000000" w:themeColor="text1"/>
                <w:sz w:val="6"/>
                <w:szCs w:val="20"/>
              </w:rPr>
            </w:pPr>
          </w:p>
        </w:tc>
        <w:tc>
          <w:tcPr>
            <w:tcW w:w="1061" w:type="dxa"/>
          </w:tcPr>
          <w:p w14:paraId="216E7C9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0.874</w:t>
            </w:r>
          </w:p>
        </w:tc>
        <w:tc>
          <w:tcPr>
            <w:tcW w:w="672" w:type="dxa"/>
          </w:tcPr>
          <w:p w14:paraId="26AF3E6C"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4.81</w:t>
            </w:r>
          </w:p>
        </w:tc>
        <w:tc>
          <w:tcPr>
            <w:tcW w:w="1073" w:type="dxa"/>
          </w:tcPr>
          <w:p w14:paraId="2BFA6F3B"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1.87</w:t>
            </w:r>
          </w:p>
        </w:tc>
      </w:tr>
      <w:tr w:rsidR="00297E46" w:rsidRPr="003E7EE5" w14:paraId="2EF66F75" w14:textId="77777777" w:rsidTr="000858C0">
        <w:tc>
          <w:tcPr>
            <w:tcW w:w="6214" w:type="dxa"/>
          </w:tcPr>
          <w:p w14:paraId="64771E42" w14:textId="226EA22F" w:rsidR="00297E46" w:rsidRPr="003E7EE5" w:rsidRDefault="00297E46" w:rsidP="0017312F">
            <w:pPr>
              <w:tabs>
                <w:tab w:val="left" w:pos="284"/>
              </w:tabs>
              <w:jc w:val="both"/>
              <w:rPr>
                <w:b/>
                <w:sz w:val="20"/>
                <w:szCs w:val="20"/>
              </w:rPr>
            </w:pPr>
            <w:r w:rsidRPr="003E7EE5">
              <w:rPr>
                <w:b/>
                <w:sz w:val="20"/>
                <w:szCs w:val="20"/>
              </w:rPr>
              <w:t xml:space="preserve">Stakeholders’ </w:t>
            </w:r>
            <w:r w:rsidR="00D73E69">
              <w:rPr>
                <w:b/>
                <w:sz w:val="20"/>
                <w:szCs w:val="20"/>
              </w:rPr>
              <w:t>s</w:t>
            </w:r>
            <w:r w:rsidRPr="003E7EE5">
              <w:rPr>
                <w:b/>
                <w:sz w:val="20"/>
                <w:szCs w:val="20"/>
              </w:rPr>
              <w:t xml:space="preserve">ustainability </w:t>
            </w:r>
            <w:r w:rsidR="00D73E69">
              <w:rPr>
                <w:b/>
                <w:sz w:val="20"/>
                <w:szCs w:val="20"/>
              </w:rPr>
              <w:t>p</w:t>
            </w:r>
            <w:r w:rsidRPr="003E7EE5">
              <w:rPr>
                <w:b/>
                <w:sz w:val="20"/>
                <w:szCs w:val="20"/>
              </w:rPr>
              <w:t xml:space="preserve">ressures </w:t>
            </w:r>
            <w:r w:rsidR="00D73E69">
              <w:rPr>
                <w:b/>
                <w:sz w:val="20"/>
                <w:szCs w:val="20"/>
              </w:rPr>
              <w:t>(</w:t>
            </w:r>
            <w:r w:rsidRPr="003E7EE5">
              <w:rPr>
                <w:sz w:val="20"/>
                <w:szCs w:val="20"/>
              </w:rPr>
              <w:t xml:space="preserve">Sarkis </w:t>
            </w:r>
            <w:r w:rsidR="007E71B6" w:rsidRPr="003E7EE5">
              <w:rPr>
                <w:i/>
                <w:sz w:val="20"/>
                <w:szCs w:val="20"/>
              </w:rPr>
              <w:t>et al.</w:t>
            </w:r>
            <w:r w:rsidR="00D73E69">
              <w:rPr>
                <w:iCs/>
                <w:sz w:val="20"/>
                <w:szCs w:val="20"/>
              </w:rPr>
              <w:t>,</w:t>
            </w:r>
            <w:r w:rsidRPr="003E7EE5">
              <w:rPr>
                <w:sz w:val="20"/>
                <w:szCs w:val="20"/>
              </w:rPr>
              <w:t xml:space="preserve"> 2010</w:t>
            </w:r>
            <w:r w:rsidR="00D73E69">
              <w:rPr>
                <w:sz w:val="20"/>
                <w:szCs w:val="20"/>
              </w:rPr>
              <w:t>)</w:t>
            </w:r>
          </w:p>
        </w:tc>
        <w:tc>
          <w:tcPr>
            <w:tcW w:w="1061" w:type="dxa"/>
          </w:tcPr>
          <w:p w14:paraId="48D0B8CC" w14:textId="77777777" w:rsidR="00297E46" w:rsidRPr="003E7EE5" w:rsidRDefault="00297E46" w:rsidP="0017312F">
            <w:pPr>
              <w:tabs>
                <w:tab w:val="left" w:pos="284"/>
              </w:tabs>
              <w:jc w:val="center"/>
              <w:rPr>
                <w:b/>
                <w:color w:val="000000" w:themeColor="text1"/>
                <w:sz w:val="20"/>
                <w:szCs w:val="20"/>
              </w:rPr>
            </w:pPr>
          </w:p>
        </w:tc>
        <w:tc>
          <w:tcPr>
            <w:tcW w:w="672" w:type="dxa"/>
          </w:tcPr>
          <w:p w14:paraId="0A4E3664" w14:textId="77777777" w:rsidR="00297E46" w:rsidRPr="003E7EE5" w:rsidRDefault="00297E46" w:rsidP="0017312F">
            <w:pPr>
              <w:tabs>
                <w:tab w:val="left" w:pos="284"/>
              </w:tabs>
              <w:jc w:val="center"/>
              <w:rPr>
                <w:b/>
                <w:color w:val="000000" w:themeColor="text1"/>
                <w:sz w:val="20"/>
                <w:szCs w:val="20"/>
              </w:rPr>
            </w:pPr>
          </w:p>
        </w:tc>
        <w:tc>
          <w:tcPr>
            <w:tcW w:w="1073" w:type="dxa"/>
          </w:tcPr>
          <w:p w14:paraId="75894A5B" w14:textId="77777777" w:rsidR="00297E46" w:rsidRPr="003E7EE5" w:rsidRDefault="00297E46" w:rsidP="0017312F">
            <w:pPr>
              <w:tabs>
                <w:tab w:val="left" w:pos="284"/>
              </w:tabs>
              <w:jc w:val="center"/>
              <w:rPr>
                <w:b/>
                <w:color w:val="000000" w:themeColor="text1"/>
                <w:sz w:val="20"/>
                <w:szCs w:val="20"/>
              </w:rPr>
            </w:pPr>
          </w:p>
        </w:tc>
      </w:tr>
      <w:tr w:rsidR="00297E46" w:rsidRPr="003E7EE5" w14:paraId="2BBE7A42" w14:textId="77777777" w:rsidTr="000858C0">
        <w:trPr>
          <w:trHeight w:val="237"/>
        </w:trPr>
        <w:tc>
          <w:tcPr>
            <w:tcW w:w="6214" w:type="dxa"/>
          </w:tcPr>
          <w:p w14:paraId="3F1EB2A5" w14:textId="77777777" w:rsidR="00297E46" w:rsidRPr="003E7EE5" w:rsidRDefault="00297E46" w:rsidP="0017312F">
            <w:pPr>
              <w:tabs>
                <w:tab w:val="left" w:pos="284"/>
              </w:tabs>
              <w:jc w:val="both"/>
              <w:rPr>
                <w:i/>
                <w:color w:val="000000" w:themeColor="text1"/>
                <w:sz w:val="20"/>
                <w:szCs w:val="20"/>
              </w:rPr>
            </w:pPr>
            <w:r w:rsidRPr="003E7EE5">
              <w:rPr>
                <w:i/>
                <w:color w:val="000000" w:themeColor="text1"/>
                <w:sz w:val="20"/>
                <w:szCs w:val="20"/>
              </w:rPr>
              <w:t xml:space="preserve">    a = .862, CR = .868, AVE = .527</w:t>
            </w:r>
          </w:p>
        </w:tc>
        <w:tc>
          <w:tcPr>
            <w:tcW w:w="1061" w:type="dxa"/>
          </w:tcPr>
          <w:p w14:paraId="17B8474D" w14:textId="77777777" w:rsidR="00297E46" w:rsidRPr="003E7EE5" w:rsidRDefault="00297E46" w:rsidP="0017312F">
            <w:pPr>
              <w:tabs>
                <w:tab w:val="left" w:pos="284"/>
              </w:tabs>
              <w:jc w:val="center"/>
              <w:rPr>
                <w:i/>
                <w:color w:val="000000" w:themeColor="text1"/>
                <w:sz w:val="20"/>
                <w:szCs w:val="20"/>
              </w:rPr>
            </w:pPr>
          </w:p>
        </w:tc>
        <w:tc>
          <w:tcPr>
            <w:tcW w:w="672" w:type="dxa"/>
          </w:tcPr>
          <w:p w14:paraId="139402E8" w14:textId="77777777" w:rsidR="00297E46" w:rsidRPr="003E7EE5" w:rsidRDefault="00297E46" w:rsidP="0017312F">
            <w:pPr>
              <w:tabs>
                <w:tab w:val="left" w:pos="284"/>
              </w:tabs>
              <w:jc w:val="center"/>
              <w:rPr>
                <w:i/>
                <w:color w:val="000000" w:themeColor="text1"/>
                <w:sz w:val="20"/>
                <w:szCs w:val="20"/>
              </w:rPr>
            </w:pPr>
          </w:p>
        </w:tc>
        <w:tc>
          <w:tcPr>
            <w:tcW w:w="1073" w:type="dxa"/>
          </w:tcPr>
          <w:p w14:paraId="30403F05" w14:textId="77777777" w:rsidR="00297E46" w:rsidRPr="003E7EE5" w:rsidRDefault="00297E46" w:rsidP="0017312F">
            <w:pPr>
              <w:tabs>
                <w:tab w:val="left" w:pos="284"/>
              </w:tabs>
              <w:jc w:val="center"/>
              <w:rPr>
                <w:i/>
                <w:color w:val="000000" w:themeColor="text1"/>
                <w:sz w:val="20"/>
                <w:szCs w:val="20"/>
              </w:rPr>
            </w:pPr>
          </w:p>
        </w:tc>
      </w:tr>
      <w:tr w:rsidR="00297E46" w:rsidRPr="003E7EE5" w14:paraId="15A85F88" w14:textId="77777777" w:rsidTr="000858C0">
        <w:trPr>
          <w:trHeight w:val="209"/>
        </w:trPr>
        <w:tc>
          <w:tcPr>
            <w:tcW w:w="6214" w:type="dxa"/>
          </w:tcPr>
          <w:p w14:paraId="45650ED7" w14:textId="77777777"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Client pressure</w:t>
            </w:r>
          </w:p>
        </w:tc>
        <w:tc>
          <w:tcPr>
            <w:tcW w:w="1061" w:type="dxa"/>
          </w:tcPr>
          <w:p w14:paraId="50F73847"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0.717</w:t>
            </w:r>
          </w:p>
        </w:tc>
        <w:tc>
          <w:tcPr>
            <w:tcW w:w="672" w:type="dxa"/>
          </w:tcPr>
          <w:p w14:paraId="3736E465"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4.99</w:t>
            </w:r>
          </w:p>
        </w:tc>
        <w:tc>
          <w:tcPr>
            <w:tcW w:w="1073" w:type="dxa"/>
          </w:tcPr>
          <w:p w14:paraId="4FE4C00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1.73</w:t>
            </w:r>
          </w:p>
        </w:tc>
      </w:tr>
      <w:tr w:rsidR="00297E46" w:rsidRPr="003E7EE5" w14:paraId="536CC38C" w14:textId="77777777" w:rsidTr="000858C0">
        <w:trPr>
          <w:trHeight w:val="223"/>
        </w:trPr>
        <w:tc>
          <w:tcPr>
            <w:tcW w:w="6214" w:type="dxa"/>
          </w:tcPr>
          <w:p w14:paraId="7765AFB5" w14:textId="77777777"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Government pressure</w:t>
            </w:r>
          </w:p>
        </w:tc>
        <w:tc>
          <w:tcPr>
            <w:tcW w:w="1061" w:type="dxa"/>
          </w:tcPr>
          <w:p w14:paraId="1312A1A7"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0.598</w:t>
            </w:r>
          </w:p>
        </w:tc>
        <w:tc>
          <w:tcPr>
            <w:tcW w:w="672" w:type="dxa"/>
          </w:tcPr>
          <w:p w14:paraId="4CD0308D"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4.33</w:t>
            </w:r>
          </w:p>
        </w:tc>
        <w:tc>
          <w:tcPr>
            <w:tcW w:w="1073" w:type="dxa"/>
          </w:tcPr>
          <w:p w14:paraId="69E3637E"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1.81</w:t>
            </w:r>
          </w:p>
        </w:tc>
      </w:tr>
      <w:tr w:rsidR="00297E46" w:rsidRPr="003E7EE5" w14:paraId="1A25AD36" w14:textId="77777777" w:rsidTr="000858C0">
        <w:trPr>
          <w:trHeight w:val="209"/>
        </w:trPr>
        <w:tc>
          <w:tcPr>
            <w:tcW w:w="6214" w:type="dxa"/>
          </w:tcPr>
          <w:p w14:paraId="0E96A57C" w14:textId="77777777"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Shareholders’ pressure</w:t>
            </w:r>
          </w:p>
        </w:tc>
        <w:tc>
          <w:tcPr>
            <w:tcW w:w="1061" w:type="dxa"/>
          </w:tcPr>
          <w:p w14:paraId="44572E6F"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0.799</w:t>
            </w:r>
          </w:p>
        </w:tc>
        <w:tc>
          <w:tcPr>
            <w:tcW w:w="672" w:type="dxa"/>
          </w:tcPr>
          <w:p w14:paraId="5F9D2E7D"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4.70</w:t>
            </w:r>
          </w:p>
        </w:tc>
        <w:tc>
          <w:tcPr>
            <w:tcW w:w="1073" w:type="dxa"/>
          </w:tcPr>
          <w:p w14:paraId="2C0D6D45"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1.81</w:t>
            </w:r>
          </w:p>
        </w:tc>
      </w:tr>
      <w:tr w:rsidR="00297E46" w:rsidRPr="003E7EE5" w14:paraId="2553077E" w14:textId="77777777" w:rsidTr="000858C0">
        <w:trPr>
          <w:trHeight w:val="223"/>
        </w:trPr>
        <w:tc>
          <w:tcPr>
            <w:tcW w:w="6214" w:type="dxa"/>
          </w:tcPr>
          <w:p w14:paraId="3272AC7C" w14:textId="77777777"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Workers’ pressure</w:t>
            </w:r>
          </w:p>
        </w:tc>
        <w:tc>
          <w:tcPr>
            <w:tcW w:w="1061" w:type="dxa"/>
          </w:tcPr>
          <w:p w14:paraId="744FEFE7"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0.747</w:t>
            </w:r>
          </w:p>
        </w:tc>
        <w:tc>
          <w:tcPr>
            <w:tcW w:w="672" w:type="dxa"/>
          </w:tcPr>
          <w:p w14:paraId="39B36F79"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4.52</w:t>
            </w:r>
          </w:p>
        </w:tc>
        <w:tc>
          <w:tcPr>
            <w:tcW w:w="1073" w:type="dxa"/>
          </w:tcPr>
          <w:p w14:paraId="33C846DB"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1.64</w:t>
            </w:r>
          </w:p>
        </w:tc>
      </w:tr>
      <w:tr w:rsidR="00297E46" w:rsidRPr="003E7EE5" w14:paraId="605C9D72" w14:textId="77777777" w:rsidTr="000858C0">
        <w:trPr>
          <w:trHeight w:val="209"/>
        </w:trPr>
        <w:tc>
          <w:tcPr>
            <w:tcW w:w="6214" w:type="dxa"/>
          </w:tcPr>
          <w:p w14:paraId="7D532EA2" w14:textId="76211210"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NGO/</w:t>
            </w:r>
            <w:r w:rsidR="00D73E69">
              <w:rPr>
                <w:sz w:val="20"/>
                <w:szCs w:val="20"/>
              </w:rPr>
              <w:t>s</w:t>
            </w:r>
            <w:r w:rsidRPr="003E7EE5">
              <w:rPr>
                <w:sz w:val="20"/>
                <w:szCs w:val="20"/>
              </w:rPr>
              <w:t>ociety pressure</w:t>
            </w:r>
          </w:p>
        </w:tc>
        <w:tc>
          <w:tcPr>
            <w:tcW w:w="1061" w:type="dxa"/>
          </w:tcPr>
          <w:p w14:paraId="7B30F017"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0.822</w:t>
            </w:r>
          </w:p>
        </w:tc>
        <w:tc>
          <w:tcPr>
            <w:tcW w:w="672" w:type="dxa"/>
          </w:tcPr>
          <w:p w14:paraId="1F778A49"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4.49</w:t>
            </w:r>
          </w:p>
        </w:tc>
        <w:tc>
          <w:tcPr>
            <w:tcW w:w="1073" w:type="dxa"/>
          </w:tcPr>
          <w:p w14:paraId="4800C39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1.71</w:t>
            </w:r>
          </w:p>
        </w:tc>
      </w:tr>
      <w:tr w:rsidR="00297E46" w:rsidRPr="003E7EE5" w14:paraId="03A88936" w14:textId="77777777" w:rsidTr="000858C0">
        <w:trPr>
          <w:trHeight w:val="489"/>
        </w:trPr>
        <w:tc>
          <w:tcPr>
            <w:tcW w:w="6214" w:type="dxa"/>
          </w:tcPr>
          <w:p w14:paraId="5C110896" w14:textId="77777777" w:rsidR="00297E46" w:rsidRPr="003E7EE5" w:rsidRDefault="00297E46" w:rsidP="0017312F">
            <w:pPr>
              <w:tabs>
                <w:tab w:val="left" w:pos="284"/>
              </w:tabs>
              <w:spacing w:line="276" w:lineRule="auto"/>
              <w:jc w:val="both"/>
              <w:rPr>
                <w:sz w:val="20"/>
                <w:szCs w:val="20"/>
              </w:rPr>
            </w:pPr>
            <w:r w:rsidRPr="003E7EE5">
              <w:rPr>
                <w:sz w:val="20"/>
                <w:szCs w:val="20"/>
              </w:rPr>
              <w:t>Competitors' pressure</w:t>
            </w:r>
          </w:p>
        </w:tc>
        <w:tc>
          <w:tcPr>
            <w:tcW w:w="1061" w:type="dxa"/>
          </w:tcPr>
          <w:p w14:paraId="14834B18"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0.650</w:t>
            </w:r>
          </w:p>
        </w:tc>
        <w:tc>
          <w:tcPr>
            <w:tcW w:w="672" w:type="dxa"/>
          </w:tcPr>
          <w:p w14:paraId="0BE4A114"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4.12</w:t>
            </w:r>
          </w:p>
        </w:tc>
        <w:tc>
          <w:tcPr>
            <w:tcW w:w="1073" w:type="dxa"/>
          </w:tcPr>
          <w:p w14:paraId="5D042912"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1.81</w:t>
            </w:r>
          </w:p>
        </w:tc>
      </w:tr>
      <w:tr w:rsidR="00297E46" w:rsidRPr="003E7EE5" w14:paraId="01CBADF3" w14:textId="77777777" w:rsidTr="000858C0">
        <w:tc>
          <w:tcPr>
            <w:tcW w:w="6214" w:type="dxa"/>
          </w:tcPr>
          <w:p w14:paraId="73A47EC8" w14:textId="7B2A208E" w:rsidR="00297E46" w:rsidRPr="003E7EE5" w:rsidRDefault="00297E46" w:rsidP="0017312F">
            <w:pPr>
              <w:tabs>
                <w:tab w:val="left" w:pos="284"/>
              </w:tabs>
              <w:rPr>
                <w:b/>
                <w:color w:val="000000" w:themeColor="text1"/>
                <w:sz w:val="20"/>
                <w:szCs w:val="20"/>
              </w:rPr>
            </w:pPr>
            <w:r w:rsidRPr="003E7EE5">
              <w:rPr>
                <w:b/>
                <w:color w:val="000000" w:themeColor="text1"/>
                <w:sz w:val="20"/>
                <w:szCs w:val="20"/>
              </w:rPr>
              <w:lastRenderedPageBreak/>
              <w:t xml:space="preserve">GMS </w:t>
            </w:r>
            <w:r w:rsidR="00D73E69">
              <w:rPr>
                <w:bCs/>
                <w:color w:val="000000" w:themeColor="text1"/>
                <w:sz w:val="20"/>
                <w:szCs w:val="20"/>
              </w:rPr>
              <w:t>(</w:t>
            </w:r>
            <w:r w:rsidRPr="003E7EE5">
              <w:rPr>
                <w:color w:val="000000" w:themeColor="text1"/>
                <w:sz w:val="20"/>
                <w:szCs w:val="20"/>
              </w:rPr>
              <w:t xml:space="preserve">adapted from Fraj-Andrés </w:t>
            </w:r>
            <w:r w:rsidR="007E71B6" w:rsidRPr="003E7EE5">
              <w:rPr>
                <w:i/>
                <w:color w:val="000000" w:themeColor="text1"/>
                <w:sz w:val="20"/>
                <w:szCs w:val="20"/>
              </w:rPr>
              <w:t>et al.</w:t>
            </w:r>
            <w:r w:rsidR="00D73E69">
              <w:rPr>
                <w:iCs/>
                <w:color w:val="000000" w:themeColor="text1"/>
                <w:sz w:val="20"/>
                <w:szCs w:val="20"/>
              </w:rPr>
              <w:t>,</w:t>
            </w:r>
            <w:r w:rsidRPr="003E7EE5">
              <w:rPr>
                <w:color w:val="000000" w:themeColor="text1"/>
                <w:sz w:val="20"/>
                <w:szCs w:val="20"/>
              </w:rPr>
              <w:t xml:space="preserve"> 2009</w:t>
            </w:r>
            <w:r w:rsidR="00D73E69">
              <w:rPr>
                <w:color w:val="000000" w:themeColor="text1"/>
                <w:sz w:val="20"/>
                <w:szCs w:val="20"/>
              </w:rPr>
              <w:t>;</w:t>
            </w:r>
            <w:r w:rsidRPr="003E7EE5">
              <w:rPr>
                <w:color w:val="000000" w:themeColor="text1"/>
                <w:sz w:val="20"/>
                <w:szCs w:val="20"/>
              </w:rPr>
              <w:t xml:space="preserve"> Papadas </w:t>
            </w:r>
            <w:r w:rsidR="007E71B6" w:rsidRPr="003E7EE5">
              <w:rPr>
                <w:i/>
                <w:color w:val="000000" w:themeColor="text1"/>
                <w:sz w:val="20"/>
                <w:szCs w:val="20"/>
              </w:rPr>
              <w:t>et al.</w:t>
            </w:r>
            <w:r w:rsidR="00D73E69">
              <w:rPr>
                <w:iCs/>
                <w:color w:val="000000" w:themeColor="text1"/>
                <w:sz w:val="20"/>
                <w:szCs w:val="20"/>
              </w:rPr>
              <w:t>,</w:t>
            </w:r>
            <w:r w:rsidRPr="003E7EE5">
              <w:rPr>
                <w:color w:val="000000" w:themeColor="text1"/>
                <w:sz w:val="20"/>
                <w:szCs w:val="20"/>
              </w:rPr>
              <w:t xml:space="preserve"> 2017)</w:t>
            </w:r>
          </w:p>
        </w:tc>
        <w:tc>
          <w:tcPr>
            <w:tcW w:w="1061" w:type="dxa"/>
          </w:tcPr>
          <w:p w14:paraId="08A0B845" w14:textId="77777777" w:rsidR="00297E46" w:rsidRPr="003E7EE5" w:rsidRDefault="00297E46" w:rsidP="0017312F">
            <w:pPr>
              <w:tabs>
                <w:tab w:val="left" w:pos="284"/>
              </w:tabs>
              <w:jc w:val="center"/>
              <w:rPr>
                <w:b/>
                <w:color w:val="000000" w:themeColor="text1"/>
                <w:sz w:val="20"/>
                <w:szCs w:val="20"/>
              </w:rPr>
            </w:pPr>
          </w:p>
        </w:tc>
        <w:tc>
          <w:tcPr>
            <w:tcW w:w="672" w:type="dxa"/>
          </w:tcPr>
          <w:p w14:paraId="18C9DB0D" w14:textId="77777777" w:rsidR="00297E46" w:rsidRPr="003E7EE5" w:rsidRDefault="00297E46" w:rsidP="0017312F">
            <w:pPr>
              <w:tabs>
                <w:tab w:val="left" w:pos="284"/>
              </w:tabs>
              <w:jc w:val="center"/>
              <w:rPr>
                <w:b/>
                <w:color w:val="000000" w:themeColor="text1"/>
                <w:sz w:val="20"/>
                <w:szCs w:val="20"/>
              </w:rPr>
            </w:pPr>
          </w:p>
        </w:tc>
        <w:tc>
          <w:tcPr>
            <w:tcW w:w="1073" w:type="dxa"/>
          </w:tcPr>
          <w:p w14:paraId="12E54D1B" w14:textId="77777777" w:rsidR="00297E46" w:rsidRPr="003E7EE5" w:rsidRDefault="00297E46" w:rsidP="0017312F">
            <w:pPr>
              <w:tabs>
                <w:tab w:val="left" w:pos="284"/>
              </w:tabs>
              <w:jc w:val="center"/>
              <w:rPr>
                <w:b/>
                <w:color w:val="000000" w:themeColor="text1"/>
                <w:sz w:val="20"/>
                <w:szCs w:val="20"/>
              </w:rPr>
            </w:pPr>
          </w:p>
        </w:tc>
      </w:tr>
      <w:tr w:rsidR="00297E46" w:rsidRPr="003E7EE5" w14:paraId="243A17EF" w14:textId="77777777" w:rsidTr="000858C0">
        <w:trPr>
          <w:trHeight w:val="265"/>
        </w:trPr>
        <w:tc>
          <w:tcPr>
            <w:tcW w:w="6214" w:type="dxa"/>
          </w:tcPr>
          <w:p w14:paraId="7DDCEC09" w14:textId="77777777" w:rsidR="00297E46" w:rsidRPr="003E7EE5" w:rsidRDefault="00297E46" w:rsidP="0017312F">
            <w:pPr>
              <w:tabs>
                <w:tab w:val="left" w:pos="284"/>
              </w:tabs>
              <w:jc w:val="both"/>
              <w:rPr>
                <w:i/>
                <w:color w:val="000000" w:themeColor="text1"/>
                <w:sz w:val="20"/>
                <w:szCs w:val="20"/>
              </w:rPr>
            </w:pPr>
            <w:r w:rsidRPr="003E7EE5">
              <w:rPr>
                <w:i/>
                <w:color w:val="000000" w:themeColor="text1"/>
                <w:sz w:val="20"/>
                <w:szCs w:val="20"/>
              </w:rPr>
              <w:t xml:space="preserve">    a = .940 CR = .943, AVE = .529</w:t>
            </w:r>
          </w:p>
        </w:tc>
        <w:tc>
          <w:tcPr>
            <w:tcW w:w="1061" w:type="dxa"/>
          </w:tcPr>
          <w:p w14:paraId="1F580E49" w14:textId="77777777" w:rsidR="00297E46" w:rsidRPr="003E7EE5" w:rsidRDefault="00297E46" w:rsidP="0017312F">
            <w:pPr>
              <w:tabs>
                <w:tab w:val="left" w:pos="284"/>
              </w:tabs>
              <w:jc w:val="center"/>
              <w:rPr>
                <w:i/>
                <w:color w:val="000000" w:themeColor="text1"/>
                <w:sz w:val="20"/>
                <w:szCs w:val="20"/>
              </w:rPr>
            </w:pPr>
          </w:p>
        </w:tc>
        <w:tc>
          <w:tcPr>
            <w:tcW w:w="672" w:type="dxa"/>
          </w:tcPr>
          <w:p w14:paraId="1028B80D" w14:textId="77777777" w:rsidR="00297E46" w:rsidRPr="003E7EE5" w:rsidRDefault="00297E46" w:rsidP="0017312F">
            <w:pPr>
              <w:tabs>
                <w:tab w:val="left" w:pos="284"/>
              </w:tabs>
              <w:jc w:val="center"/>
              <w:rPr>
                <w:i/>
                <w:color w:val="000000" w:themeColor="text1"/>
                <w:sz w:val="20"/>
                <w:szCs w:val="20"/>
              </w:rPr>
            </w:pPr>
          </w:p>
        </w:tc>
        <w:tc>
          <w:tcPr>
            <w:tcW w:w="1073" w:type="dxa"/>
          </w:tcPr>
          <w:p w14:paraId="052980AD" w14:textId="77777777" w:rsidR="00297E46" w:rsidRPr="003E7EE5" w:rsidRDefault="00297E46" w:rsidP="0017312F">
            <w:pPr>
              <w:tabs>
                <w:tab w:val="left" w:pos="284"/>
              </w:tabs>
              <w:jc w:val="center"/>
              <w:rPr>
                <w:i/>
                <w:color w:val="000000" w:themeColor="text1"/>
                <w:sz w:val="20"/>
                <w:szCs w:val="20"/>
              </w:rPr>
            </w:pPr>
          </w:p>
        </w:tc>
      </w:tr>
      <w:tr w:rsidR="00297E46" w:rsidRPr="003E7EE5" w14:paraId="75959052" w14:textId="77777777" w:rsidTr="000858C0">
        <w:trPr>
          <w:trHeight w:val="321"/>
        </w:trPr>
        <w:tc>
          <w:tcPr>
            <w:tcW w:w="6214" w:type="dxa"/>
          </w:tcPr>
          <w:p w14:paraId="63B4F04F" w14:textId="138E165E"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invest in R</w:t>
            </w:r>
            <w:r w:rsidR="00D73E69">
              <w:rPr>
                <w:color w:val="000000" w:themeColor="text1"/>
                <w:sz w:val="20"/>
                <w:szCs w:val="20"/>
              </w:rPr>
              <w:t>&amp;</w:t>
            </w:r>
            <w:r w:rsidRPr="003E7EE5">
              <w:rPr>
                <w:color w:val="000000" w:themeColor="text1"/>
                <w:sz w:val="20"/>
                <w:szCs w:val="20"/>
              </w:rPr>
              <w:t>D program</w:t>
            </w:r>
            <w:r w:rsidR="00B27F6E">
              <w:rPr>
                <w:color w:val="000000" w:themeColor="text1"/>
                <w:sz w:val="20"/>
                <w:szCs w:val="20"/>
              </w:rPr>
              <w:t>s</w:t>
            </w:r>
            <w:r w:rsidRPr="003E7EE5">
              <w:rPr>
                <w:color w:val="000000" w:themeColor="text1"/>
                <w:sz w:val="20"/>
                <w:szCs w:val="20"/>
              </w:rPr>
              <w:t xml:space="preserve"> to create environmentally friendly products/services</w:t>
            </w:r>
            <w:r w:rsidR="00D73E69">
              <w:rPr>
                <w:color w:val="000000" w:themeColor="text1"/>
                <w:sz w:val="20"/>
                <w:szCs w:val="20"/>
              </w:rPr>
              <w:t>.</w:t>
            </w:r>
          </w:p>
        </w:tc>
        <w:tc>
          <w:tcPr>
            <w:tcW w:w="1061" w:type="dxa"/>
          </w:tcPr>
          <w:p w14:paraId="2F73E14A"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0.787</w:t>
            </w:r>
          </w:p>
        </w:tc>
        <w:tc>
          <w:tcPr>
            <w:tcW w:w="672" w:type="dxa"/>
          </w:tcPr>
          <w:p w14:paraId="0B969E84"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4.12</w:t>
            </w:r>
          </w:p>
        </w:tc>
        <w:tc>
          <w:tcPr>
            <w:tcW w:w="1073" w:type="dxa"/>
          </w:tcPr>
          <w:p w14:paraId="2C4BDE22"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1.91</w:t>
            </w:r>
          </w:p>
        </w:tc>
      </w:tr>
      <w:tr w:rsidR="00297E46" w:rsidRPr="003E7EE5" w14:paraId="4846B565" w14:textId="77777777" w:rsidTr="000858C0">
        <w:trPr>
          <w:trHeight w:val="321"/>
        </w:trPr>
        <w:tc>
          <w:tcPr>
            <w:tcW w:w="6214" w:type="dxa"/>
          </w:tcPr>
          <w:p w14:paraId="05CE8F0E" w14:textId="1EE2C24E"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invest in low-carbon technologies for our production processes</w:t>
            </w:r>
            <w:r w:rsidR="00D73E69">
              <w:rPr>
                <w:color w:val="000000" w:themeColor="text1"/>
                <w:sz w:val="20"/>
                <w:szCs w:val="20"/>
              </w:rPr>
              <w:t>.</w:t>
            </w:r>
          </w:p>
        </w:tc>
        <w:tc>
          <w:tcPr>
            <w:tcW w:w="1061" w:type="dxa"/>
          </w:tcPr>
          <w:p w14:paraId="6052C9E6"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0.786</w:t>
            </w:r>
          </w:p>
        </w:tc>
        <w:tc>
          <w:tcPr>
            <w:tcW w:w="672" w:type="dxa"/>
          </w:tcPr>
          <w:p w14:paraId="63187723"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4.14</w:t>
            </w:r>
          </w:p>
        </w:tc>
        <w:tc>
          <w:tcPr>
            <w:tcW w:w="1073" w:type="dxa"/>
          </w:tcPr>
          <w:p w14:paraId="3C9F59D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1.99</w:t>
            </w:r>
          </w:p>
        </w:tc>
      </w:tr>
      <w:tr w:rsidR="00297E46" w:rsidRPr="003E7EE5" w14:paraId="7EDA9E3C" w14:textId="77777777" w:rsidTr="000858C0">
        <w:trPr>
          <w:trHeight w:val="321"/>
        </w:trPr>
        <w:tc>
          <w:tcPr>
            <w:tcW w:w="6214" w:type="dxa"/>
          </w:tcPr>
          <w:p w14:paraId="5BA9BC2E" w14:textId="46348574"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participate in environmental business networks</w:t>
            </w:r>
            <w:r w:rsidR="00D73E69">
              <w:rPr>
                <w:color w:val="000000" w:themeColor="text1"/>
                <w:sz w:val="20"/>
                <w:szCs w:val="20"/>
              </w:rPr>
              <w:t>.</w:t>
            </w:r>
          </w:p>
        </w:tc>
        <w:tc>
          <w:tcPr>
            <w:tcW w:w="1061" w:type="dxa"/>
          </w:tcPr>
          <w:p w14:paraId="19A51E6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0.726</w:t>
            </w:r>
          </w:p>
        </w:tc>
        <w:tc>
          <w:tcPr>
            <w:tcW w:w="672" w:type="dxa"/>
          </w:tcPr>
          <w:p w14:paraId="6E8C529F"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3.98</w:t>
            </w:r>
          </w:p>
        </w:tc>
        <w:tc>
          <w:tcPr>
            <w:tcW w:w="1073" w:type="dxa"/>
          </w:tcPr>
          <w:p w14:paraId="184A8B9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2.02</w:t>
            </w:r>
          </w:p>
        </w:tc>
      </w:tr>
      <w:tr w:rsidR="00297E46" w:rsidRPr="003E7EE5" w14:paraId="5D5165BE" w14:textId="77777777" w:rsidTr="000858C0">
        <w:trPr>
          <w:trHeight w:val="265"/>
        </w:trPr>
        <w:tc>
          <w:tcPr>
            <w:tcW w:w="6214" w:type="dxa"/>
          </w:tcPr>
          <w:p w14:paraId="23F55757" w14:textId="75FFCD63"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use specific environmental policy for selecting our partners</w:t>
            </w:r>
            <w:r w:rsidR="00D73E69">
              <w:rPr>
                <w:color w:val="000000" w:themeColor="text1"/>
                <w:sz w:val="20"/>
                <w:szCs w:val="20"/>
              </w:rPr>
              <w:t>.</w:t>
            </w:r>
          </w:p>
        </w:tc>
        <w:tc>
          <w:tcPr>
            <w:tcW w:w="1061" w:type="dxa"/>
          </w:tcPr>
          <w:p w14:paraId="16245BAE"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0.796</w:t>
            </w:r>
          </w:p>
        </w:tc>
        <w:tc>
          <w:tcPr>
            <w:tcW w:w="672" w:type="dxa"/>
          </w:tcPr>
          <w:p w14:paraId="0BDDE91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3.77</w:t>
            </w:r>
          </w:p>
        </w:tc>
        <w:tc>
          <w:tcPr>
            <w:tcW w:w="1073" w:type="dxa"/>
          </w:tcPr>
          <w:p w14:paraId="5B44111D"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1.89</w:t>
            </w:r>
          </w:p>
        </w:tc>
      </w:tr>
      <w:tr w:rsidR="00297E46" w:rsidRPr="003E7EE5" w14:paraId="40EFF7ED" w14:textId="77777777" w:rsidTr="000858C0">
        <w:trPr>
          <w:trHeight w:val="237"/>
        </w:trPr>
        <w:tc>
          <w:tcPr>
            <w:tcW w:w="6214" w:type="dxa"/>
          </w:tcPr>
          <w:p w14:paraId="16B90C8F" w14:textId="184EF255"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make efforts to use renewable energy sources for our products/services</w:t>
            </w:r>
            <w:r w:rsidR="00D73E69">
              <w:rPr>
                <w:color w:val="000000" w:themeColor="text1"/>
                <w:sz w:val="20"/>
                <w:szCs w:val="20"/>
              </w:rPr>
              <w:t>.</w:t>
            </w:r>
          </w:p>
        </w:tc>
        <w:tc>
          <w:tcPr>
            <w:tcW w:w="1061" w:type="dxa"/>
          </w:tcPr>
          <w:p w14:paraId="542377F4"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0.809</w:t>
            </w:r>
          </w:p>
        </w:tc>
        <w:tc>
          <w:tcPr>
            <w:tcW w:w="672" w:type="dxa"/>
          </w:tcPr>
          <w:p w14:paraId="6FBDB9B5"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4.30</w:t>
            </w:r>
          </w:p>
        </w:tc>
        <w:tc>
          <w:tcPr>
            <w:tcW w:w="1073" w:type="dxa"/>
          </w:tcPr>
          <w:p w14:paraId="5C8A4E70"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1.92</w:t>
            </w:r>
          </w:p>
        </w:tc>
      </w:tr>
      <w:tr w:rsidR="00297E46" w:rsidRPr="003E7EE5" w14:paraId="259816BC" w14:textId="77777777" w:rsidTr="000858C0">
        <w:trPr>
          <w:trHeight w:val="321"/>
        </w:trPr>
        <w:tc>
          <w:tcPr>
            <w:tcW w:w="6214" w:type="dxa"/>
          </w:tcPr>
          <w:p w14:paraId="510725C0" w14:textId="0B836F02"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Among other target markets, we also target to environmentally conscious consumers</w:t>
            </w:r>
            <w:r w:rsidR="00D73E69">
              <w:rPr>
                <w:color w:val="000000" w:themeColor="text1"/>
                <w:sz w:val="20"/>
                <w:szCs w:val="20"/>
              </w:rPr>
              <w:t>.</w:t>
            </w:r>
          </w:p>
        </w:tc>
        <w:tc>
          <w:tcPr>
            <w:tcW w:w="1061" w:type="dxa"/>
          </w:tcPr>
          <w:p w14:paraId="1A400ABF"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0.755</w:t>
            </w:r>
          </w:p>
        </w:tc>
        <w:tc>
          <w:tcPr>
            <w:tcW w:w="672" w:type="dxa"/>
          </w:tcPr>
          <w:p w14:paraId="25E90C9E"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4.12</w:t>
            </w:r>
          </w:p>
        </w:tc>
        <w:tc>
          <w:tcPr>
            <w:tcW w:w="1073" w:type="dxa"/>
          </w:tcPr>
          <w:p w14:paraId="7895CAF5"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1.88</w:t>
            </w:r>
          </w:p>
        </w:tc>
      </w:tr>
      <w:tr w:rsidR="00297E46" w:rsidRPr="003E7EE5" w14:paraId="2CC745E6" w14:textId="77777777" w:rsidTr="000858C0">
        <w:trPr>
          <w:trHeight w:val="321"/>
        </w:trPr>
        <w:tc>
          <w:tcPr>
            <w:tcW w:w="6214" w:type="dxa"/>
          </w:tcPr>
          <w:p w14:paraId="56ACFC58" w14:textId="424C7631"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implement market research to detect green needs in the marketplace</w:t>
            </w:r>
            <w:r w:rsidR="00D73E69">
              <w:rPr>
                <w:color w:val="000000" w:themeColor="text1"/>
                <w:sz w:val="20"/>
                <w:szCs w:val="20"/>
              </w:rPr>
              <w:t>.</w:t>
            </w:r>
          </w:p>
        </w:tc>
        <w:tc>
          <w:tcPr>
            <w:tcW w:w="1061" w:type="dxa"/>
          </w:tcPr>
          <w:p w14:paraId="455991D6"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0.753</w:t>
            </w:r>
          </w:p>
        </w:tc>
        <w:tc>
          <w:tcPr>
            <w:tcW w:w="672" w:type="dxa"/>
          </w:tcPr>
          <w:p w14:paraId="183C9EBA"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3.38</w:t>
            </w:r>
          </w:p>
        </w:tc>
        <w:tc>
          <w:tcPr>
            <w:tcW w:w="1073" w:type="dxa"/>
          </w:tcPr>
          <w:p w14:paraId="68A21332"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1.96</w:t>
            </w:r>
          </w:p>
        </w:tc>
      </w:tr>
      <w:tr w:rsidR="00297E46" w:rsidRPr="003E7EE5" w14:paraId="2ACA7A37" w14:textId="77777777" w:rsidTr="000858C0">
        <w:trPr>
          <w:trHeight w:val="209"/>
        </w:trPr>
        <w:tc>
          <w:tcPr>
            <w:tcW w:w="6214" w:type="dxa"/>
          </w:tcPr>
          <w:p w14:paraId="73D14F22" w14:textId="77777777"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use recycled or reusable materials in our products.</w:t>
            </w:r>
          </w:p>
        </w:tc>
        <w:tc>
          <w:tcPr>
            <w:tcW w:w="1061" w:type="dxa"/>
          </w:tcPr>
          <w:p w14:paraId="3FD5CF9A"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0.642</w:t>
            </w:r>
          </w:p>
        </w:tc>
        <w:tc>
          <w:tcPr>
            <w:tcW w:w="672" w:type="dxa"/>
          </w:tcPr>
          <w:p w14:paraId="088A115A"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4.59</w:t>
            </w:r>
          </w:p>
        </w:tc>
        <w:tc>
          <w:tcPr>
            <w:tcW w:w="1073" w:type="dxa"/>
          </w:tcPr>
          <w:p w14:paraId="33C86B55"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1.83</w:t>
            </w:r>
          </w:p>
        </w:tc>
      </w:tr>
      <w:tr w:rsidR="00297E46" w:rsidRPr="003E7EE5" w14:paraId="5C45BEBC" w14:textId="77777777" w:rsidTr="000858C0">
        <w:trPr>
          <w:trHeight w:val="223"/>
        </w:trPr>
        <w:tc>
          <w:tcPr>
            <w:tcW w:w="6214" w:type="dxa"/>
          </w:tcPr>
          <w:p w14:paraId="34BF5DC2"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We prefer digital communication methods for promoting our products/services, because it is more eco-friendly.</w:t>
            </w:r>
          </w:p>
        </w:tc>
        <w:tc>
          <w:tcPr>
            <w:tcW w:w="1061" w:type="dxa"/>
          </w:tcPr>
          <w:p w14:paraId="2C7CA3C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0.597</w:t>
            </w:r>
          </w:p>
        </w:tc>
        <w:tc>
          <w:tcPr>
            <w:tcW w:w="672" w:type="dxa"/>
          </w:tcPr>
          <w:p w14:paraId="44A4145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4.87</w:t>
            </w:r>
          </w:p>
        </w:tc>
        <w:tc>
          <w:tcPr>
            <w:tcW w:w="1073" w:type="dxa"/>
          </w:tcPr>
          <w:p w14:paraId="65ADEC0E"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1.74</w:t>
            </w:r>
          </w:p>
        </w:tc>
      </w:tr>
      <w:tr w:rsidR="00297E46" w:rsidRPr="003E7EE5" w14:paraId="34B417AD" w14:textId="77777777" w:rsidTr="000858C0">
        <w:trPr>
          <w:trHeight w:val="209"/>
        </w:trPr>
        <w:tc>
          <w:tcPr>
            <w:tcW w:w="6214" w:type="dxa"/>
          </w:tcPr>
          <w:p w14:paraId="7AB3107A" w14:textId="77777777"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encourage the use of e-commerce, because it is more eco-friendly.</w:t>
            </w:r>
          </w:p>
        </w:tc>
        <w:tc>
          <w:tcPr>
            <w:tcW w:w="1061" w:type="dxa"/>
          </w:tcPr>
          <w:p w14:paraId="428C24E3"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0.590</w:t>
            </w:r>
          </w:p>
        </w:tc>
        <w:tc>
          <w:tcPr>
            <w:tcW w:w="672" w:type="dxa"/>
          </w:tcPr>
          <w:p w14:paraId="156FE904"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3.77</w:t>
            </w:r>
          </w:p>
        </w:tc>
        <w:tc>
          <w:tcPr>
            <w:tcW w:w="1073" w:type="dxa"/>
          </w:tcPr>
          <w:p w14:paraId="014AFC0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2.02</w:t>
            </w:r>
          </w:p>
        </w:tc>
      </w:tr>
      <w:tr w:rsidR="00297E46" w:rsidRPr="003E7EE5" w14:paraId="50F9134D" w14:textId="77777777" w:rsidTr="000858C0">
        <w:trPr>
          <w:trHeight w:val="223"/>
        </w:trPr>
        <w:tc>
          <w:tcPr>
            <w:tcW w:w="6214" w:type="dxa"/>
          </w:tcPr>
          <w:p w14:paraId="7BFD0DFA" w14:textId="77777777"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We absorb the extra cost of an environmental product/service.</w:t>
            </w:r>
          </w:p>
        </w:tc>
        <w:tc>
          <w:tcPr>
            <w:tcW w:w="1061" w:type="dxa"/>
          </w:tcPr>
          <w:p w14:paraId="360E3C20"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0.690</w:t>
            </w:r>
          </w:p>
        </w:tc>
        <w:tc>
          <w:tcPr>
            <w:tcW w:w="672" w:type="dxa"/>
          </w:tcPr>
          <w:p w14:paraId="5B256314"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4.42</w:t>
            </w:r>
          </w:p>
        </w:tc>
        <w:tc>
          <w:tcPr>
            <w:tcW w:w="1073" w:type="dxa"/>
          </w:tcPr>
          <w:p w14:paraId="4456CCB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1.92</w:t>
            </w:r>
          </w:p>
        </w:tc>
      </w:tr>
      <w:tr w:rsidR="00297E46" w:rsidRPr="003E7EE5" w14:paraId="4F0AEDD2" w14:textId="77777777" w:rsidTr="000858C0">
        <w:trPr>
          <w:trHeight w:val="209"/>
        </w:trPr>
        <w:tc>
          <w:tcPr>
            <w:tcW w:w="6214" w:type="dxa"/>
          </w:tcPr>
          <w:p w14:paraId="7E6643FD" w14:textId="77777777"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Launch of green positioned brands onto the market.</w:t>
            </w:r>
          </w:p>
        </w:tc>
        <w:tc>
          <w:tcPr>
            <w:tcW w:w="1061" w:type="dxa"/>
          </w:tcPr>
          <w:p w14:paraId="344B4B01"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0.750</w:t>
            </w:r>
          </w:p>
        </w:tc>
        <w:tc>
          <w:tcPr>
            <w:tcW w:w="672" w:type="dxa"/>
          </w:tcPr>
          <w:p w14:paraId="47893636"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3.76</w:t>
            </w:r>
          </w:p>
        </w:tc>
        <w:tc>
          <w:tcPr>
            <w:tcW w:w="1073" w:type="dxa"/>
          </w:tcPr>
          <w:p w14:paraId="75F18F14"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1.95</w:t>
            </w:r>
          </w:p>
        </w:tc>
      </w:tr>
      <w:tr w:rsidR="00297E46" w:rsidRPr="003E7EE5" w14:paraId="57FB3144" w14:textId="77777777" w:rsidTr="000858C0">
        <w:trPr>
          <w:trHeight w:val="195"/>
        </w:trPr>
        <w:tc>
          <w:tcPr>
            <w:tcW w:w="6214" w:type="dxa"/>
          </w:tcPr>
          <w:p w14:paraId="71527F5B" w14:textId="77777777"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Use environmental considerations in distribution and reverse logistics systems.</w:t>
            </w:r>
          </w:p>
        </w:tc>
        <w:tc>
          <w:tcPr>
            <w:tcW w:w="1061" w:type="dxa"/>
          </w:tcPr>
          <w:p w14:paraId="04ECBFBF"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0.700</w:t>
            </w:r>
          </w:p>
        </w:tc>
        <w:tc>
          <w:tcPr>
            <w:tcW w:w="672" w:type="dxa"/>
          </w:tcPr>
          <w:p w14:paraId="0984B544"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4.37</w:t>
            </w:r>
          </w:p>
        </w:tc>
        <w:tc>
          <w:tcPr>
            <w:tcW w:w="1073" w:type="dxa"/>
          </w:tcPr>
          <w:p w14:paraId="432AB1FE"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1.87</w:t>
            </w:r>
          </w:p>
        </w:tc>
      </w:tr>
      <w:tr w:rsidR="00297E46" w:rsidRPr="003E7EE5" w14:paraId="10FAA3E5" w14:textId="77777777" w:rsidTr="000858C0">
        <w:trPr>
          <w:trHeight w:val="209"/>
        </w:trPr>
        <w:tc>
          <w:tcPr>
            <w:tcW w:w="6214" w:type="dxa"/>
          </w:tcPr>
          <w:p w14:paraId="5A9DEF4B" w14:textId="77777777"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Use eco-labels or environmental certification.</w:t>
            </w:r>
          </w:p>
        </w:tc>
        <w:tc>
          <w:tcPr>
            <w:tcW w:w="1061" w:type="dxa"/>
          </w:tcPr>
          <w:p w14:paraId="77F1F82B"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0.743</w:t>
            </w:r>
          </w:p>
        </w:tc>
        <w:tc>
          <w:tcPr>
            <w:tcW w:w="672" w:type="dxa"/>
          </w:tcPr>
          <w:p w14:paraId="18CA875A"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4.11</w:t>
            </w:r>
          </w:p>
        </w:tc>
        <w:tc>
          <w:tcPr>
            <w:tcW w:w="1073" w:type="dxa"/>
          </w:tcPr>
          <w:p w14:paraId="2CB759BE"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2.10</w:t>
            </w:r>
          </w:p>
        </w:tc>
      </w:tr>
      <w:tr w:rsidR="00297E46" w:rsidRPr="003E7EE5" w14:paraId="60BCAE6E" w14:textId="77777777" w:rsidTr="000858C0">
        <w:trPr>
          <w:trHeight w:val="433"/>
        </w:trPr>
        <w:tc>
          <w:tcPr>
            <w:tcW w:w="6214" w:type="dxa"/>
          </w:tcPr>
          <w:p w14:paraId="7A6E41CF" w14:textId="77777777" w:rsidR="00297E46" w:rsidRPr="003E7EE5" w:rsidRDefault="00297E46" w:rsidP="0017312F">
            <w:pPr>
              <w:tabs>
                <w:tab w:val="left" w:pos="284"/>
              </w:tabs>
              <w:spacing w:line="276" w:lineRule="auto"/>
              <w:jc w:val="both"/>
              <w:rPr>
                <w:color w:val="000000" w:themeColor="text1"/>
                <w:sz w:val="20"/>
                <w:szCs w:val="20"/>
              </w:rPr>
            </w:pPr>
            <w:r w:rsidRPr="003E7EE5">
              <w:rPr>
                <w:color w:val="000000" w:themeColor="text1"/>
                <w:sz w:val="20"/>
                <w:szCs w:val="20"/>
              </w:rPr>
              <w:t>Consider environmental aspects within price policy.</w:t>
            </w:r>
          </w:p>
        </w:tc>
        <w:tc>
          <w:tcPr>
            <w:tcW w:w="1061" w:type="dxa"/>
          </w:tcPr>
          <w:p w14:paraId="72DF962F"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0.747</w:t>
            </w:r>
          </w:p>
        </w:tc>
        <w:tc>
          <w:tcPr>
            <w:tcW w:w="672" w:type="dxa"/>
          </w:tcPr>
          <w:p w14:paraId="0691902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3.28</w:t>
            </w:r>
          </w:p>
        </w:tc>
        <w:tc>
          <w:tcPr>
            <w:tcW w:w="1073" w:type="dxa"/>
          </w:tcPr>
          <w:p w14:paraId="1954AEA5"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1.69</w:t>
            </w:r>
          </w:p>
        </w:tc>
      </w:tr>
      <w:tr w:rsidR="00297E46" w:rsidRPr="003E7EE5" w14:paraId="44743E4F" w14:textId="77777777" w:rsidTr="000858C0">
        <w:tc>
          <w:tcPr>
            <w:tcW w:w="6214" w:type="dxa"/>
          </w:tcPr>
          <w:p w14:paraId="417C9E88" w14:textId="05DB8B21" w:rsidR="00297E46" w:rsidRPr="003E7EE5" w:rsidRDefault="00297E46" w:rsidP="0017312F">
            <w:pPr>
              <w:tabs>
                <w:tab w:val="left" w:pos="284"/>
              </w:tabs>
              <w:jc w:val="both"/>
              <w:rPr>
                <w:b/>
                <w:color w:val="000000" w:themeColor="text1"/>
                <w:sz w:val="20"/>
                <w:szCs w:val="20"/>
              </w:rPr>
            </w:pPr>
            <w:r w:rsidRPr="003E7EE5">
              <w:rPr>
                <w:b/>
                <w:sz w:val="20"/>
                <w:szCs w:val="20"/>
              </w:rPr>
              <w:t>OR</w:t>
            </w:r>
            <w:r w:rsidR="00743009" w:rsidRPr="003E7EE5">
              <w:rPr>
                <w:b/>
                <w:sz w:val="20"/>
                <w:szCs w:val="20"/>
              </w:rPr>
              <w:t xml:space="preserve">* </w:t>
            </w:r>
            <w:r w:rsidR="00D73E69">
              <w:rPr>
                <w:bCs/>
                <w:sz w:val="20"/>
                <w:szCs w:val="20"/>
              </w:rPr>
              <w:t>(</w:t>
            </w:r>
            <w:r w:rsidRPr="003E7EE5">
              <w:rPr>
                <w:color w:val="000000" w:themeColor="text1"/>
                <w:sz w:val="20"/>
                <w:szCs w:val="20"/>
              </w:rPr>
              <w:t>adapted from Fraj-Andrés</w:t>
            </w:r>
            <w:r w:rsidRPr="003E7EE5" w:rsidDel="00CA648B">
              <w:rPr>
                <w:color w:val="000000" w:themeColor="text1"/>
                <w:sz w:val="20"/>
                <w:szCs w:val="20"/>
              </w:rPr>
              <w:t xml:space="preserve"> </w:t>
            </w:r>
            <w:r w:rsidR="007E71B6" w:rsidRPr="003E7EE5">
              <w:rPr>
                <w:i/>
                <w:color w:val="000000" w:themeColor="text1"/>
                <w:sz w:val="20"/>
                <w:szCs w:val="20"/>
              </w:rPr>
              <w:t>et al.</w:t>
            </w:r>
            <w:r w:rsidR="00D73E69">
              <w:rPr>
                <w:iCs/>
                <w:color w:val="000000" w:themeColor="text1"/>
                <w:sz w:val="20"/>
                <w:szCs w:val="20"/>
              </w:rPr>
              <w:t>,</w:t>
            </w:r>
            <w:r w:rsidRPr="003E7EE5">
              <w:rPr>
                <w:color w:val="000000" w:themeColor="text1"/>
                <w:sz w:val="20"/>
                <w:szCs w:val="20"/>
              </w:rPr>
              <w:t xml:space="preserve"> 2009)</w:t>
            </w:r>
          </w:p>
        </w:tc>
        <w:tc>
          <w:tcPr>
            <w:tcW w:w="1061" w:type="dxa"/>
          </w:tcPr>
          <w:p w14:paraId="64DAA8D0" w14:textId="77777777" w:rsidR="00297E46" w:rsidRPr="003E7EE5" w:rsidRDefault="00297E46" w:rsidP="0017312F">
            <w:pPr>
              <w:tabs>
                <w:tab w:val="left" w:pos="284"/>
              </w:tabs>
              <w:jc w:val="center"/>
              <w:rPr>
                <w:b/>
                <w:color w:val="000000" w:themeColor="text1"/>
                <w:sz w:val="20"/>
                <w:szCs w:val="20"/>
              </w:rPr>
            </w:pPr>
          </w:p>
        </w:tc>
        <w:tc>
          <w:tcPr>
            <w:tcW w:w="672" w:type="dxa"/>
          </w:tcPr>
          <w:p w14:paraId="338B127F" w14:textId="77777777" w:rsidR="00297E46" w:rsidRPr="003E7EE5" w:rsidRDefault="00297E46" w:rsidP="0017312F">
            <w:pPr>
              <w:tabs>
                <w:tab w:val="left" w:pos="284"/>
              </w:tabs>
              <w:jc w:val="center"/>
              <w:rPr>
                <w:b/>
                <w:color w:val="000000" w:themeColor="text1"/>
                <w:sz w:val="20"/>
                <w:szCs w:val="20"/>
              </w:rPr>
            </w:pPr>
          </w:p>
        </w:tc>
        <w:tc>
          <w:tcPr>
            <w:tcW w:w="1073" w:type="dxa"/>
          </w:tcPr>
          <w:p w14:paraId="7951714B" w14:textId="77777777" w:rsidR="00297E46" w:rsidRPr="003E7EE5" w:rsidRDefault="00297E46" w:rsidP="0017312F">
            <w:pPr>
              <w:tabs>
                <w:tab w:val="left" w:pos="284"/>
              </w:tabs>
              <w:jc w:val="center"/>
              <w:rPr>
                <w:b/>
                <w:color w:val="000000" w:themeColor="text1"/>
                <w:sz w:val="20"/>
                <w:szCs w:val="20"/>
              </w:rPr>
            </w:pPr>
          </w:p>
        </w:tc>
      </w:tr>
      <w:tr w:rsidR="00297E46" w:rsidRPr="003E7EE5" w14:paraId="26C8B5DE" w14:textId="77777777" w:rsidTr="000858C0">
        <w:trPr>
          <w:trHeight w:val="265"/>
        </w:trPr>
        <w:tc>
          <w:tcPr>
            <w:tcW w:w="6214" w:type="dxa"/>
          </w:tcPr>
          <w:p w14:paraId="3A87447A" w14:textId="77777777" w:rsidR="00297E46" w:rsidRPr="003E7EE5" w:rsidRDefault="00297E46" w:rsidP="0017312F">
            <w:pPr>
              <w:tabs>
                <w:tab w:val="left" w:pos="284"/>
              </w:tabs>
              <w:jc w:val="both"/>
              <w:rPr>
                <w:i/>
                <w:color w:val="000000" w:themeColor="text1"/>
                <w:sz w:val="20"/>
                <w:szCs w:val="20"/>
              </w:rPr>
            </w:pPr>
            <w:r w:rsidRPr="003E7EE5">
              <w:rPr>
                <w:i/>
                <w:color w:val="000000" w:themeColor="text1"/>
                <w:sz w:val="20"/>
                <w:szCs w:val="20"/>
              </w:rPr>
              <w:t xml:space="preserve">    a = .873, CR = .876, AVE = .588</w:t>
            </w:r>
          </w:p>
        </w:tc>
        <w:tc>
          <w:tcPr>
            <w:tcW w:w="1061" w:type="dxa"/>
          </w:tcPr>
          <w:p w14:paraId="725AC5BF" w14:textId="77777777" w:rsidR="00297E46" w:rsidRPr="003E7EE5" w:rsidRDefault="00297E46" w:rsidP="0017312F">
            <w:pPr>
              <w:tabs>
                <w:tab w:val="left" w:pos="284"/>
              </w:tabs>
              <w:jc w:val="center"/>
              <w:rPr>
                <w:i/>
                <w:color w:val="000000" w:themeColor="text1"/>
                <w:sz w:val="20"/>
                <w:szCs w:val="20"/>
              </w:rPr>
            </w:pPr>
          </w:p>
        </w:tc>
        <w:tc>
          <w:tcPr>
            <w:tcW w:w="672" w:type="dxa"/>
          </w:tcPr>
          <w:p w14:paraId="1F6130E4" w14:textId="77777777" w:rsidR="00297E46" w:rsidRPr="003E7EE5" w:rsidRDefault="00297E46" w:rsidP="0017312F">
            <w:pPr>
              <w:tabs>
                <w:tab w:val="left" w:pos="284"/>
              </w:tabs>
              <w:jc w:val="center"/>
              <w:rPr>
                <w:i/>
                <w:color w:val="000000" w:themeColor="text1"/>
                <w:sz w:val="20"/>
                <w:szCs w:val="20"/>
              </w:rPr>
            </w:pPr>
          </w:p>
        </w:tc>
        <w:tc>
          <w:tcPr>
            <w:tcW w:w="1073" w:type="dxa"/>
          </w:tcPr>
          <w:p w14:paraId="6E9D6215" w14:textId="77777777" w:rsidR="00297E46" w:rsidRPr="003E7EE5" w:rsidRDefault="00297E46" w:rsidP="0017312F">
            <w:pPr>
              <w:tabs>
                <w:tab w:val="left" w:pos="284"/>
              </w:tabs>
              <w:jc w:val="center"/>
              <w:rPr>
                <w:i/>
                <w:color w:val="000000" w:themeColor="text1"/>
                <w:sz w:val="20"/>
                <w:szCs w:val="20"/>
              </w:rPr>
            </w:pPr>
          </w:p>
        </w:tc>
      </w:tr>
      <w:tr w:rsidR="00297E46" w:rsidRPr="003E7EE5" w14:paraId="768C9907" w14:textId="77777777" w:rsidTr="000858C0">
        <w:trPr>
          <w:trHeight w:val="209"/>
        </w:trPr>
        <w:tc>
          <w:tcPr>
            <w:tcW w:w="6214" w:type="dxa"/>
          </w:tcPr>
          <w:p w14:paraId="7CF5D166" w14:textId="77777777" w:rsidR="00297E46" w:rsidRPr="003E7EE5" w:rsidRDefault="00297E46" w:rsidP="0017312F">
            <w:pPr>
              <w:widowControl w:val="0"/>
              <w:autoSpaceDE w:val="0"/>
              <w:autoSpaceDN w:val="0"/>
              <w:adjustRightInd w:val="0"/>
              <w:spacing w:line="276" w:lineRule="auto"/>
              <w:rPr>
                <w:sz w:val="20"/>
                <w:szCs w:val="20"/>
              </w:rPr>
            </w:pPr>
            <w:r w:rsidRPr="003E7EE5">
              <w:rPr>
                <w:sz w:val="20"/>
                <w:szCs w:val="20"/>
              </w:rPr>
              <w:t>Final production costs</w:t>
            </w:r>
          </w:p>
        </w:tc>
        <w:tc>
          <w:tcPr>
            <w:tcW w:w="1061" w:type="dxa"/>
          </w:tcPr>
          <w:p w14:paraId="7D6F2864"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0.722</w:t>
            </w:r>
          </w:p>
        </w:tc>
        <w:tc>
          <w:tcPr>
            <w:tcW w:w="672" w:type="dxa"/>
          </w:tcPr>
          <w:p w14:paraId="2C6D8BBA"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4.20</w:t>
            </w:r>
          </w:p>
        </w:tc>
        <w:tc>
          <w:tcPr>
            <w:tcW w:w="1073" w:type="dxa"/>
          </w:tcPr>
          <w:p w14:paraId="01961ABE"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1.21</w:t>
            </w:r>
          </w:p>
        </w:tc>
      </w:tr>
      <w:tr w:rsidR="00297E46" w:rsidRPr="003E7EE5" w14:paraId="76FC2CC3" w14:textId="77777777" w:rsidTr="000858C0">
        <w:trPr>
          <w:trHeight w:val="223"/>
        </w:trPr>
        <w:tc>
          <w:tcPr>
            <w:tcW w:w="6214" w:type="dxa"/>
          </w:tcPr>
          <w:p w14:paraId="0AD78F9E" w14:textId="77777777" w:rsidR="00297E46" w:rsidRPr="003E7EE5" w:rsidRDefault="00297E46" w:rsidP="0017312F">
            <w:pPr>
              <w:widowControl w:val="0"/>
              <w:autoSpaceDE w:val="0"/>
              <w:autoSpaceDN w:val="0"/>
              <w:adjustRightInd w:val="0"/>
              <w:spacing w:line="276" w:lineRule="auto"/>
              <w:rPr>
                <w:sz w:val="20"/>
                <w:szCs w:val="20"/>
              </w:rPr>
            </w:pPr>
            <w:r w:rsidRPr="003E7EE5">
              <w:rPr>
                <w:sz w:val="20"/>
                <w:szCs w:val="20"/>
              </w:rPr>
              <w:t>Product quality</w:t>
            </w:r>
          </w:p>
        </w:tc>
        <w:tc>
          <w:tcPr>
            <w:tcW w:w="1061" w:type="dxa"/>
          </w:tcPr>
          <w:p w14:paraId="0AAD58F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0.624</w:t>
            </w:r>
          </w:p>
        </w:tc>
        <w:tc>
          <w:tcPr>
            <w:tcW w:w="672" w:type="dxa"/>
          </w:tcPr>
          <w:p w14:paraId="373B0141"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4.97</w:t>
            </w:r>
          </w:p>
        </w:tc>
        <w:tc>
          <w:tcPr>
            <w:tcW w:w="1073" w:type="dxa"/>
          </w:tcPr>
          <w:p w14:paraId="6DABE850"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1.18</w:t>
            </w:r>
          </w:p>
        </w:tc>
      </w:tr>
      <w:tr w:rsidR="00297E46" w:rsidRPr="003E7EE5" w14:paraId="28AADEC2" w14:textId="77777777" w:rsidTr="000858C0">
        <w:trPr>
          <w:trHeight w:val="209"/>
        </w:trPr>
        <w:tc>
          <w:tcPr>
            <w:tcW w:w="6214" w:type="dxa"/>
          </w:tcPr>
          <w:p w14:paraId="434E1DAA" w14:textId="77777777" w:rsidR="00297E46" w:rsidRPr="003E7EE5" w:rsidRDefault="00297E46" w:rsidP="0017312F">
            <w:pPr>
              <w:widowControl w:val="0"/>
              <w:autoSpaceDE w:val="0"/>
              <w:autoSpaceDN w:val="0"/>
              <w:adjustRightInd w:val="0"/>
              <w:spacing w:line="276" w:lineRule="auto"/>
              <w:rPr>
                <w:sz w:val="20"/>
                <w:szCs w:val="20"/>
              </w:rPr>
            </w:pPr>
            <w:r w:rsidRPr="003E7EE5">
              <w:rPr>
                <w:sz w:val="20"/>
                <w:szCs w:val="20"/>
              </w:rPr>
              <w:t>Innovation capacity in new product development</w:t>
            </w:r>
          </w:p>
        </w:tc>
        <w:tc>
          <w:tcPr>
            <w:tcW w:w="1061" w:type="dxa"/>
          </w:tcPr>
          <w:p w14:paraId="26D4E118"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0.845</w:t>
            </w:r>
          </w:p>
        </w:tc>
        <w:tc>
          <w:tcPr>
            <w:tcW w:w="672" w:type="dxa"/>
          </w:tcPr>
          <w:p w14:paraId="4FCC237E"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4.89</w:t>
            </w:r>
          </w:p>
        </w:tc>
        <w:tc>
          <w:tcPr>
            <w:tcW w:w="1073" w:type="dxa"/>
          </w:tcPr>
          <w:p w14:paraId="657A8771"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1.36</w:t>
            </w:r>
          </w:p>
        </w:tc>
      </w:tr>
      <w:tr w:rsidR="00297E46" w:rsidRPr="003E7EE5" w14:paraId="62017484" w14:textId="77777777" w:rsidTr="000858C0">
        <w:trPr>
          <w:trHeight w:val="223"/>
        </w:trPr>
        <w:tc>
          <w:tcPr>
            <w:tcW w:w="6214" w:type="dxa"/>
          </w:tcPr>
          <w:p w14:paraId="3E3070C0" w14:textId="527533E6" w:rsidR="00297E46" w:rsidRPr="003E7EE5" w:rsidRDefault="00297E46" w:rsidP="0017312F">
            <w:pPr>
              <w:widowControl w:val="0"/>
              <w:autoSpaceDE w:val="0"/>
              <w:autoSpaceDN w:val="0"/>
              <w:adjustRightInd w:val="0"/>
              <w:spacing w:line="276" w:lineRule="auto"/>
              <w:rPr>
                <w:sz w:val="20"/>
                <w:szCs w:val="20"/>
              </w:rPr>
            </w:pPr>
            <w:r w:rsidRPr="003E7EE5">
              <w:rPr>
                <w:sz w:val="20"/>
                <w:szCs w:val="20"/>
              </w:rPr>
              <w:t>Pace of new product launching and range of products in catalog</w:t>
            </w:r>
          </w:p>
        </w:tc>
        <w:tc>
          <w:tcPr>
            <w:tcW w:w="1061" w:type="dxa"/>
          </w:tcPr>
          <w:p w14:paraId="6362390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0.799</w:t>
            </w:r>
          </w:p>
        </w:tc>
        <w:tc>
          <w:tcPr>
            <w:tcW w:w="672" w:type="dxa"/>
          </w:tcPr>
          <w:p w14:paraId="4A32EC74"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4.72</w:t>
            </w:r>
          </w:p>
        </w:tc>
        <w:tc>
          <w:tcPr>
            <w:tcW w:w="1073" w:type="dxa"/>
          </w:tcPr>
          <w:p w14:paraId="1EA60458"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1.42</w:t>
            </w:r>
          </w:p>
        </w:tc>
      </w:tr>
      <w:tr w:rsidR="00297E46" w:rsidRPr="003E7EE5" w14:paraId="29FABE83" w14:textId="77777777" w:rsidTr="000858C0">
        <w:trPr>
          <w:trHeight w:val="279"/>
        </w:trPr>
        <w:tc>
          <w:tcPr>
            <w:tcW w:w="6214" w:type="dxa"/>
          </w:tcPr>
          <w:p w14:paraId="6CDFCFE8" w14:textId="7554E042" w:rsidR="00297E46" w:rsidRPr="003E7EE5" w:rsidRDefault="00297E46" w:rsidP="0017312F">
            <w:pPr>
              <w:widowControl w:val="0"/>
              <w:autoSpaceDE w:val="0"/>
              <w:autoSpaceDN w:val="0"/>
              <w:adjustRightInd w:val="0"/>
              <w:spacing w:line="276" w:lineRule="auto"/>
              <w:rPr>
                <w:sz w:val="20"/>
                <w:szCs w:val="20"/>
              </w:rPr>
            </w:pPr>
            <w:r w:rsidRPr="003E7EE5">
              <w:rPr>
                <w:sz w:val="20"/>
                <w:szCs w:val="20"/>
              </w:rPr>
              <w:t>Cost</w:t>
            </w:r>
            <w:r w:rsidR="00D73E69">
              <w:rPr>
                <w:sz w:val="20"/>
                <w:szCs w:val="20"/>
              </w:rPr>
              <w:t>-</w:t>
            </w:r>
            <w:r w:rsidRPr="003E7EE5">
              <w:rPr>
                <w:sz w:val="20"/>
                <w:szCs w:val="20"/>
              </w:rPr>
              <w:t>efficiency</w:t>
            </w:r>
          </w:p>
          <w:p w14:paraId="6137DCF5" w14:textId="77777777" w:rsidR="00297E46" w:rsidRPr="003E7EE5" w:rsidRDefault="00297E46" w:rsidP="0017312F">
            <w:pPr>
              <w:widowControl w:val="0"/>
              <w:autoSpaceDE w:val="0"/>
              <w:autoSpaceDN w:val="0"/>
              <w:adjustRightInd w:val="0"/>
              <w:spacing w:line="276" w:lineRule="auto"/>
              <w:rPr>
                <w:sz w:val="20"/>
                <w:szCs w:val="20"/>
              </w:rPr>
            </w:pPr>
          </w:p>
        </w:tc>
        <w:tc>
          <w:tcPr>
            <w:tcW w:w="1061" w:type="dxa"/>
          </w:tcPr>
          <w:p w14:paraId="37248F93"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0.823</w:t>
            </w:r>
          </w:p>
        </w:tc>
        <w:tc>
          <w:tcPr>
            <w:tcW w:w="672" w:type="dxa"/>
          </w:tcPr>
          <w:p w14:paraId="10A4DBD0"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4.37</w:t>
            </w:r>
          </w:p>
        </w:tc>
        <w:tc>
          <w:tcPr>
            <w:tcW w:w="1073" w:type="dxa"/>
          </w:tcPr>
          <w:p w14:paraId="1F917323"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1.30</w:t>
            </w:r>
          </w:p>
        </w:tc>
      </w:tr>
      <w:tr w:rsidR="00297E46" w:rsidRPr="003E7EE5" w14:paraId="3F23F1BA" w14:textId="77777777" w:rsidTr="000858C0">
        <w:tc>
          <w:tcPr>
            <w:tcW w:w="6214" w:type="dxa"/>
          </w:tcPr>
          <w:p w14:paraId="136B754B" w14:textId="7B8AE1B1" w:rsidR="00297E46" w:rsidRPr="003E7EE5" w:rsidRDefault="00297E46" w:rsidP="0017312F">
            <w:pPr>
              <w:tabs>
                <w:tab w:val="left" w:pos="284"/>
              </w:tabs>
              <w:jc w:val="both"/>
              <w:rPr>
                <w:b/>
                <w:sz w:val="20"/>
                <w:szCs w:val="20"/>
              </w:rPr>
            </w:pPr>
            <w:r w:rsidRPr="003E7EE5">
              <w:rPr>
                <w:b/>
                <w:sz w:val="20"/>
                <w:szCs w:val="20"/>
              </w:rPr>
              <w:t>FR</w:t>
            </w:r>
            <w:r w:rsidR="00743009" w:rsidRPr="003E7EE5">
              <w:rPr>
                <w:b/>
                <w:sz w:val="20"/>
                <w:szCs w:val="20"/>
              </w:rPr>
              <w:t>*</w:t>
            </w:r>
            <w:r w:rsidR="00617A5D" w:rsidRPr="003E7EE5">
              <w:rPr>
                <w:b/>
                <w:sz w:val="20"/>
                <w:szCs w:val="20"/>
              </w:rPr>
              <w:t xml:space="preserve"> </w:t>
            </w:r>
            <w:r w:rsidR="00D73E69">
              <w:rPr>
                <w:bCs/>
                <w:sz w:val="20"/>
                <w:szCs w:val="20"/>
              </w:rPr>
              <w:t>(</w:t>
            </w:r>
            <w:r w:rsidRPr="003E7EE5">
              <w:rPr>
                <w:sz w:val="20"/>
                <w:szCs w:val="20"/>
              </w:rPr>
              <w:t xml:space="preserve">adapted from Morgan </w:t>
            </w:r>
            <w:r w:rsidR="007E71B6" w:rsidRPr="003E7EE5">
              <w:rPr>
                <w:i/>
                <w:sz w:val="20"/>
                <w:szCs w:val="20"/>
              </w:rPr>
              <w:t>et al.</w:t>
            </w:r>
            <w:r w:rsidR="00D73E69">
              <w:rPr>
                <w:iCs/>
                <w:color w:val="000000" w:themeColor="text1"/>
                <w:sz w:val="20"/>
                <w:szCs w:val="20"/>
              </w:rPr>
              <w:t>,</w:t>
            </w:r>
            <w:r w:rsidRPr="003E7EE5">
              <w:rPr>
                <w:sz w:val="20"/>
                <w:szCs w:val="20"/>
              </w:rPr>
              <w:t xml:space="preserve"> 2004)</w:t>
            </w:r>
          </w:p>
        </w:tc>
        <w:tc>
          <w:tcPr>
            <w:tcW w:w="1061" w:type="dxa"/>
          </w:tcPr>
          <w:p w14:paraId="1C7F7F96" w14:textId="77777777" w:rsidR="00297E46" w:rsidRPr="003E7EE5" w:rsidRDefault="00297E46" w:rsidP="0017312F">
            <w:pPr>
              <w:tabs>
                <w:tab w:val="left" w:pos="284"/>
              </w:tabs>
              <w:jc w:val="center"/>
              <w:rPr>
                <w:b/>
                <w:color w:val="000000" w:themeColor="text1"/>
                <w:sz w:val="20"/>
                <w:szCs w:val="20"/>
              </w:rPr>
            </w:pPr>
          </w:p>
        </w:tc>
        <w:tc>
          <w:tcPr>
            <w:tcW w:w="672" w:type="dxa"/>
          </w:tcPr>
          <w:p w14:paraId="624E5FF4" w14:textId="77777777" w:rsidR="00297E46" w:rsidRPr="003E7EE5" w:rsidRDefault="00297E46" w:rsidP="0017312F">
            <w:pPr>
              <w:tabs>
                <w:tab w:val="left" w:pos="284"/>
              </w:tabs>
              <w:jc w:val="center"/>
              <w:rPr>
                <w:b/>
                <w:color w:val="000000" w:themeColor="text1"/>
                <w:sz w:val="20"/>
                <w:szCs w:val="20"/>
              </w:rPr>
            </w:pPr>
          </w:p>
        </w:tc>
        <w:tc>
          <w:tcPr>
            <w:tcW w:w="1073" w:type="dxa"/>
          </w:tcPr>
          <w:p w14:paraId="73C3F1E6" w14:textId="77777777" w:rsidR="00297E46" w:rsidRPr="003E7EE5" w:rsidRDefault="00297E46" w:rsidP="0017312F">
            <w:pPr>
              <w:tabs>
                <w:tab w:val="left" w:pos="284"/>
              </w:tabs>
              <w:jc w:val="center"/>
              <w:rPr>
                <w:b/>
                <w:color w:val="000000" w:themeColor="text1"/>
                <w:sz w:val="20"/>
                <w:szCs w:val="20"/>
              </w:rPr>
            </w:pPr>
          </w:p>
        </w:tc>
      </w:tr>
      <w:tr w:rsidR="00297E46" w:rsidRPr="003E7EE5" w14:paraId="743C299B" w14:textId="77777777" w:rsidTr="000858C0">
        <w:trPr>
          <w:trHeight w:val="265"/>
        </w:trPr>
        <w:tc>
          <w:tcPr>
            <w:tcW w:w="6214" w:type="dxa"/>
          </w:tcPr>
          <w:p w14:paraId="60FD3912" w14:textId="77777777" w:rsidR="00297E46" w:rsidRPr="003E7EE5" w:rsidRDefault="00297E46" w:rsidP="0017312F">
            <w:pPr>
              <w:tabs>
                <w:tab w:val="left" w:pos="284"/>
              </w:tabs>
              <w:jc w:val="both"/>
              <w:rPr>
                <w:i/>
                <w:color w:val="000000" w:themeColor="text1"/>
                <w:sz w:val="20"/>
                <w:szCs w:val="20"/>
              </w:rPr>
            </w:pPr>
            <w:r w:rsidRPr="003E7EE5">
              <w:rPr>
                <w:i/>
                <w:color w:val="000000" w:themeColor="text1"/>
                <w:sz w:val="20"/>
                <w:szCs w:val="20"/>
              </w:rPr>
              <w:t xml:space="preserve">    a = .935, CR = .937, AVE = .750</w:t>
            </w:r>
          </w:p>
        </w:tc>
        <w:tc>
          <w:tcPr>
            <w:tcW w:w="1061" w:type="dxa"/>
          </w:tcPr>
          <w:p w14:paraId="6D8352D5" w14:textId="77777777" w:rsidR="00297E46" w:rsidRPr="003E7EE5" w:rsidRDefault="00297E46" w:rsidP="0017312F">
            <w:pPr>
              <w:tabs>
                <w:tab w:val="left" w:pos="284"/>
              </w:tabs>
              <w:jc w:val="center"/>
              <w:rPr>
                <w:i/>
                <w:color w:val="000000" w:themeColor="text1"/>
                <w:sz w:val="20"/>
                <w:szCs w:val="20"/>
              </w:rPr>
            </w:pPr>
          </w:p>
        </w:tc>
        <w:tc>
          <w:tcPr>
            <w:tcW w:w="672" w:type="dxa"/>
          </w:tcPr>
          <w:p w14:paraId="620DB9C7" w14:textId="77777777" w:rsidR="00297E46" w:rsidRPr="003E7EE5" w:rsidRDefault="00297E46" w:rsidP="0017312F">
            <w:pPr>
              <w:tabs>
                <w:tab w:val="left" w:pos="284"/>
              </w:tabs>
              <w:jc w:val="center"/>
              <w:rPr>
                <w:i/>
                <w:color w:val="000000" w:themeColor="text1"/>
                <w:sz w:val="20"/>
                <w:szCs w:val="20"/>
              </w:rPr>
            </w:pPr>
          </w:p>
        </w:tc>
        <w:tc>
          <w:tcPr>
            <w:tcW w:w="1073" w:type="dxa"/>
          </w:tcPr>
          <w:p w14:paraId="439CDFA2" w14:textId="77777777" w:rsidR="00297E46" w:rsidRPr="003E7EE5" w:rsidRDefault="00297E46" w:rsidP="0017312F">
            <w:pPr>
              <w:tabs>
                <w:tab w:val="left" w:pos="284"/>
              </w:tabs>
              <w:jc w:val="center"/>
              <w:rPr>
                <w:i/>
                <w:color w:val="000000" w:themeColor="text1"/>
                <w:sz w:val="20"/>
                <w:szCs w:val="20"/>
              </w:rPr>
            </w:pPr>
          </w:p>
        </w:tc>
      </w:tr>
      <w:tr w:rsidR="00297E46" w:rsidRPr="003E7EE5" w14:paraId="3167F1AE" w14:textId="77777777" w:rsidTr="000858C0">
        <w:trPr>
          <w:trHeight w:val="209"/>
        </w:trPr>
        <w:tc>
          <w:tcPr>
            <w:tcW w:w="6214" w:type="dxa"/>
          </w:tcPr>
          <w:p w14:paraId="431524C2" w14:textId="77777777" w:rsidR="00297E46" w:rsidRPr="003E7EE5" w:rsidRDefault="00297E46" w:rsidP="0017312F">
            <w:pPr>
              <w:widowControl w:val="0"/>
              <w:autoSpaceDE w:val="0"/>
              <w:autoSpaceDN w:val="0"/>
              <w:adjustRightInd w:val="0"/>
              <w:spacing w:line="276" w:lineRule="auto"/>
              <w:rPr>
                <w:sz w:val="20"/>
                <w:szCs w:val="20"/>
              </w:rPr>
            </w:pPr>
            <w:r w:rsidRPr="003E7EE5">
              <w:rPr>
                <w:sz w:val="20"/>
                <w:szCs w:val="20"/>
              </w:rPr>
              <w:t>Firm’s profitability</w:t>
            </w:r>
          </w:p>
        </w:tc>
        <w:tc>
          <w:tcPr>
            <w:tcW w:w="1061" w:type="dxa"/>
          </w:tcPr>
          <w:p w14:paraId="1D2FED49"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0.907</w:t>
            </w:r>
          </w:p>
        </w:tc>
        <w:tc>
          <w:tcPr>
            <w:tcW w:w="672" w:type="dxa"/>
          </w:tcPr>
          <w:p w14:paraId="52AED5F2"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4.18</w:t>
            </w:r>
          </w:p>
        </w:tc>
        <w:tc>
          <w:tcPr>
            <w:tcW w:w="1073" w:type="dxa"/>
          </w:tcPr>
          <w:p w14:paraId="1852893F"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1.32</w:t>
            </w:r>
          </w:p>
        </w:tc>
      </w:tr>
      <w:tr w:rsidR="00297E46" w:rsidRPr="003E7EE5" w14:paraId="087C4EB9" w14:textId="77777777" w:rsidTr="000858C0">
        <w:trPr>
          <w:trHeight w:val="223"/>
        </w:trPr>
        <w:tc>
          <w:tcPr>
            <w:tcW w:w="6214" w:type="dxa"/>
          </w:tcPr>
          <w:p w14:paraId="7BAF7819" w14:textId="77777777"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Sales growth</w:t>
            </w:r>
          </w:p>
        </w:tc>
        <w:tc>
          <w:tcPr>
            <w:tcW w:w="1061" w:type="dxa"/>
          </w:tcPr>
          <w:p w14:paraId="159F59C3"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0.871</w:t>
            </w:r>
          </w:p>
        </w:tc>
        <w:tc>
          <w:tcPr>
            <w:tcW w:w="672" w:type="dxa"/>
          </w:tcPr>
          <w:p w14:paraId="1D4338ED"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4.28</w:t>
            </w:r>
          </w:p>
        </w:tc>
        <w:tc>
          <w:tcPr>
            <w:tcW w:w="1073" w:type="dxa"/>
          </w:tcPr>
          <w:p w14:paraId="36EBA095"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1.39</w:t>
            </w:r>
          </w:p>
        </w:tc>
      </w:tr>
      <w:tr w:rsidR="00297E46" w:rsidRPr="003E7EE5" w14:paraId="4C40E0AA" w14:textId="77777777" w:rsidTr="000858C0">
        <w:trPr>
          <w:trHeight w:val="209"/>
        </w:trPr>
        <w:tc>
          <w:tcPr>
            <w:tcW w:w="6214" w:type="dxa"/>
          </w:tcPr>
          <w:p w14:paraId="23E4B379" w14:textId="77777777"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Firm’s economic results</w:t>
            </w:r>
          </w:p>
        </w:tc>
        <w:tc>
          <w:tcPr>
            <w:tcW w:w="1061" w:type="dxa"/>
          </w:tcPr>
          <w:p w14:paraId="17C5FF81"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0.955</w:t>
            </w:r>
          </w:p>
        </w:tc>
        <w:tc>
          <w:tcPr>
            <w:tcW w:w="672" w:type="dxa"/>
          </w:tcPr>
          <w:p w14:paraId="21E7A379"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4.30</w:t>
            </w:r>
          </w:p>
        </w:tc>
        <w:tc>
          <w:tcPr>
            <w:tcW w:w="1073" w:type="dxa"/>
          </w:tcPr>
          <w:p w14:paraId="4E7727DB"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1.41</w:t>
            </w:r>
          </w:p>
        </w:tc>
      </w:tr>
      <w:tr w:rsidR="00297E46" w:rsidRPr="003E7EE5" w14:paraId="4D6FFB66" w14:textId="77777777" w:rsidTr="000858C0">
        <w:trPr>
          <w:trHeight w:val="223"/>
        </w:trPr>
        <w:tc>
          <w:tcPr>
            <w:tcW w:w="6214" w:type="dxa"/>
          </w:tcPr>
          <w:p w14:paraId="6FF7A702" w14:textId="77777777" w:rsidR="00297E46" w:rsidRPr="003E7EE5" w:rsidRDefault="00297E46" w:rsidP="0017312F">
            <w:pPr>
              <w:tabs>
                <w:tab w:val="left" w:pos="284"/>
              </w:tabs>
              <w:spacing w:line="276" w:lineRule="auto"/>
              <w:jc w:val="both"/>
              <w:rPr>
                <w:color w:val="000000" w:themeColor="text1"/>
                <w:sz w:val="20"/>
                <w:szCs w:val="20"/>
              </w:rPr>
            </w:pPr>
            <w:r w:rsidRPr="003E7EE5">
              <w:rPr>
                <w:sz w:val="20"/>
                <w:szCs w:val="20"/>
              </w:rPr>
              <w:t>Profit before tax</w:t>
            </w:r>
          </w:p>
        </w:tc>
        <w:tc>
          <w:tcPr>
            <w:tcW w:w="1061" w:type="dxa"/>
          </w:tcPr>
          <w:p w14:paraId="0ACEDBFC"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0.890</w:t>
            </w:r>
          </w:p>
        </w:tc>
        <w:tc>
          <w:tcPr>
            <w:tcW w:w="672" w:type="dxa"/>
          </w:tcPr>
          <w:p w14:paraId="3CDA0786"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4.21</w:t>
            </w:r>
          </w:p>
        </w:tc>
        <w:tc>
          <w:tcPr>
            <w:tcW w:w="1073" w:type="dxa"/>
          </w:tcPr>
          <w:p w14:paraId="135F6345"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1.40</w:t>
            </w:r>
          </w:p>
        </w:tc>
      </w:tr>
      <w:tr w:rsidR="00297E46" w:rsidRPr="003E7EE5" w14:paraId="61959227" w14:textId="77777777" w:rsidTr="000858C0">
        <w:trPr>
          <w:trHeight w:val="558"/>
        </w:trPr>
        <w:tc>
          <w:tcPr>
            <w:tcW w:w="6214" w:type="dxa"/>
          </w:tcPr>
          <w:p w14:paraId="5C0C4DC5" w14:textId="77777777" w:rsidR="00297E46" w:rsidRPr="003E7EE5" w:rsidRDefault="00297E46" w:rsidP="0017312F">
            <w:pPr>
              <w:tabs>
                <w:tab w:val="left" w:pos="284"/>
              </w:tabs>
              <w:spacing w:line="276" w:lineRule="auto"/>
              <w:jc w:val="both"/>
              <w:rPr>
                <w:sz w:val="20"/>
                <w:szCs w:val="20"/>
              </w:rPr>
            </w:pPr>
            <w:r w:rsidRPr="003E7EE5">
              <w:rPr>
                <w:sz w:val="20"/>
                <w:szCs w:val="20"/>
              </w:rPr>
              <w:t>Market share</w:t>
            </w:r>
          </w:p>
          <w:p w14:paraId="5F1076F9" w14:textId="77777777" w:rsidR="00297E46" w:rsidRPr="003E7EE5" w:rsidRDefault="00297E46" w:rsidP="0017312F">
            <w:pPr>
              <w:tabs>
                <w:tab w:val="left" w:pos="284"/>
              </w:tabs>
              <w:spacing w:line="276" w:lineRule="auto"/>
              <w:jc w:val="both"/>
              <w:rPr>
                <w:color w:val="000000" w:themeColor="text1"/>
                <w:sz w:val="20"/>
                <w:szCs w:val="20"/>
              </w:rPr>
            </w:pPr>
          </w:p>
        </w:tc>
        <w:tc>
          <w:tcPr>
            <w:tcW w:w="1061" w:type="dxa"/>
          </w:tcPr>
          <w:p w14:paraId="15B12AB1" w14:textId="77777777" w:rsidR="00297E46" w:rsidRPr="003E7EE5" w:rsidRDefault="00297E46" w:rsidP="0017312F">
            <w:pPr>
              <w:tabs>
                <w:tab w:val="left" w:pos="284"/>
              </w:tabs>
              <w:spacing w:line="276" w:lineRule="auto"/>
              <w:jc w:val="center"/>
              <w:rPr>
                <w:color w:val="000000" w:themeColor="text1"/>
                <w:sz w:val="20"/>
                <w:szCs w:val="20"/>
              </w:rPr>
            </w:pPr>
            <w:r w:rsidRPr="003E7EE5">
              <w:rPr>
                <w:color w:val="000000" w:themeColor="text1"/>
                <w:sz w:val="20"/>
                <w:szCs w:val="20"/>
              </w:rPr>
              <w:t>0.684</w:t>
            </w:r>
          </w:p>
        </w:tc>
        <w:tc>
          <w:tcPr>
            <w:tcW w:w="672" w:type="dxa"/>
          </w:tcPr>
          <w:p w14:paraId="48BF81EC"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4.60</w:t>
            </w:r>
          </w:p>
        </w:tc>
        <w:tc>
          <w:tcPr>
            <w:tcW w:w="1073" w:type="dxa"/>
          </w:tcPr>
          <w:p w14:paraId="75E8085B" w14:textId="77777777" w:rsidR="00297E46" w:rsidRPr="003E7EE5" w:rsidRDefault="00297E46" w:rsidP="0017312F">
            <w:pPr>
              <w:tabs>
                <w:tab w:val="left" w:pos="284"/>
              </w:tabs>
              <w:spacing w:line="276" w:lineRule="auto"/>
              <w:jc w:val="center"/>
              <w:rPr>
                <w:color w:val="000000" w:themeColor="text1"/>
                <w:sz w:val="20"/>
                <w:szCs w:val="20"/>
              </w:rPr>
            </w:pPr>
            <w:r w:rsidRPr="003E7EE5">
              <w:rPr>
                <w:sz w:val="20"/>
                <w:szCs w:val="20"/>
              </w:rPr>
              <w:t>1.27</w:t>
            </w:r>
          </w:p>
        </w:tc>
      </w:tr>
      <w:tr w:rsidR="00297E46" w:rsidRPr="003E7EE5" w14:paraId="763E62E7" w14:textId="77777777" w:rsidTr="000858C0">
        <w:tc>
          <w:tcPr>
            <w:tcW w:w="6214" w:type="dxa"/>
          </w:tcPr>
          <w:p w14:paraId="335D494B" w14:textId="613C52B4" w:rsidR="00297E46" w:rsidRPr="003E7EE5" w:rsidRDefault="00297E46" w:rsidP="00D73E69">
            <w:pPr>
              <w:tabs>
                <w:tab w:val="left" w:pos="284"/>
              </w:tabs>
              <w:rPr>
                <w:color w:val="000000" w:themeColor="text1"/>
                <w:sz w:val="20"/>
                <w:szCs w:val="20"/>
              </w:rPr>
            </w:pPr>
            <w:r w:rsidRPr="003E7EE5">
              <w:rPr>
                <w:b/>
                <w:sz w:val="20"/>
                <w:szCs w:val="20"/>
              </w:rPr>
              <w:t>GMR</w:t>
            </w:r>
            <w:r w:rsidR="00C11EB9">
              <w:rPr>
                <w:b/>
                <w:sz w:val="20"/>
                <w:szCs w:val="20"/>
              </w:rPr>
              <w:t>s</w:t>
            </w:r>
            <w:r w:rsidR="00D73E69">
              <w:rPr>
                <w:b/>
                <w:sz w:val="20"/>
                <w:szCs w:val="20"/>
              </w:rPr>
              <w:t xml:space="preserve"> </w:t>
            </w:r>
            <w:r w:rsidR="00D73E69">
              <w:rPr>
                <w:bCs/>
                <w:sz w:val="20"/>
                <w:szCs w:val="20"/>
              </w:rPr>
              <w:t>(</w:t>
            </w:r>
            <w:r w:rsidRPr="003E7EE5">
              <w:rPr>
                <w:sz w:val="20"/>
                <w:szCs w:val="20"/>
              </w:rPr>
              <w:t xml:space="preserve">adapted from </w:t>
            </w:r>
            <w:r w:rsidRPr="003E7EE5">
              <w:rPr>
                <w:color w:val="000000" w:themeColor="text1"/>
                <w:sz w:val="21"/>
                <w:szCs w:val="26"/>
              </w:rPr>
              <w:t xml:space="preserve">Chattopadhyay </w:t>
            </w:r>
            <w:r w:rsidR="007E71B6" w:rsidRPr="003E7EE5">
              <w:rPr>
                <w:i/>
                <w:color w:val="000000" w:themeColor="text1"/>
                <w:sz w:val="21"/>
                <w:szCs w:val="26"/>
              </w:rPr>
              <w:t>et al.</w:t>
            </w:r>
            <w:r w:rsidR="00D73E69">
              <w:rPr>
                <w:iCs/>
                <w:color w:val="000000" w:themeColor="text1"/>
                <w:sz w:val="20"/>
                <w:szCs w:val="20"/>
              </w:rPr>
              <w:t>,</w:t>
            </w:r>
            <w:r w:rsidRPr="003E7EE5">
              <w:rPr>
                <w:color w:val="000000" w:themeColor="text1"/>
                <w:sz w:val="21"/>
                <w:szCs w:val="26"/>
              </w:rPr>
              <w:t xml:space="preserve"> 2001)</w:t>
            </w:r>
          </w:p>
        </w:tc>
        <w:tc>
          <w:tcPr>
            <w:tcW w:w="1061" w:type="dxa"/>
          </w:tcPr>
          <w:p w14:paraId="1CD18875" w14:textId="77777777" w:rsidR="00297E46" w:rsidRPr="003E7EE5" w:rsidRDefault="00297E46" w:rsidP="0017312F">
            <w:pPr>
              <w:tabs>
                <w:tab w:val="left" w:pos="284"/>
              </w:tabs>
              <w:jc w:val="center"/>
              <w:rPr>
                <w:b/>
                <w:color w:val="000000" w:themeColor="text1"/>
                <w:sz w:val="20"/>
                <w:szCs w:val="20"/>
              </w:rPr>
            </w:pPr>
          </w:p>
        </w:tc>
        <w:tc>
          <w:tcPr>
            <w:tcW w:w="672" w:type="dxa"/>
          </w:tcPr>
          <w:p w14:paraId="2D6CAB8D" w14:textId="77777777" w:rsidR="00297E46" w:rsidRPr="003E7EE5" w:rsidRDefault="00297E46" w:rsidP="0017312F">
            <w:pPr>
              <w:tabs>
                <w:tab w:val="left" w:pos="284"/>
              </w:tabs>
              <w:jc w:val="center"/>
              <w:rPr>
                <w:b/>
                <w:color w:val="000000" w:themeColor="text1"/>
                <w:sz w:val="20"/>
                <w:szCs w:val="20"/>
              </w:rPr>
            </w:pPr>
          </w:p>
        </w:tc>
        <w:tc>
          <w:tcPr>
            <w:tcW w:w="1073" w:type="dxa"/>
          </w:tcPr>
          <w:p w14:paraId="3CFDF8CB" w14:textId="77777777" w:rsidR="00297E46" w:rsidRPr="003E7EE5" w:rsidRDefault="00297E46" w:rsidP="0017312F">
            <w:pPr>
              <w:tabs>
                <w:tab w:val="left" w:pos="284"/>
              </w:tabs>
              <w:jc w:val="center"/>
              <w:rPr>
                <w:b/>
                <w:color w:val="000000" w:themeColor="text1"/>
                <w:sz w:val="20"/>
                <w:szCs w:val="20"/>
              </w:rPr>
            </w:pPr>
          </w:p>
        </w:tc>
      </w:tr>
      <w:tr w:rsidR="00297E46" w:rsidRPr="003E7EE5" w14:paraId="6B6F9F81" w14:textId="77777777" w:rsidTr="000858C0">
        <w:trPr>
          <w:trHeight w:val="67"/>
        </w:trPr>
        <w:tc>
          <w:tcPr>
            <w:tcW w:w="6214" w:type="dxa"/>
          </w:tcPr>
          <w:p w14:paraId="52652BFB" w14:textId="3F852415" w:rsidR="00297E46" w:rsidRPr="003E7EE5" w:rsidRDefault="00297E46" w:rsidP="0017312F">
            <w:pPr>
              <w:tabs>
                <w:tab w:val="left" w:pos="284"/>
              </w:tabs>
              <w:spacing w:before="60"/>
              <w:rPr>
                <w:color w:val="000000" w:themeColor="text1"/>
                <w:sz w:val="20"/>
                <w:szCs w:val="20"/>
              </w:rPr>
            </w:pPr>
            <w:r w:rsidRPr="003E7EE5">
              <w:rPr>
                <w:sz w:val="20"/>
                <w:szCs w:val="20"/>
              </w:rPr>
              <w:t xml:space="preserve">Availability of </w:t>
            </w:r>
            <w:r w:rsidR="00C11EB9">
              <w:rPr>
                <w:sz w:val="20"/>
                <w:szCs w:val="20"/>
              </w:rPr>
              <w:t>GMR</w:t>
            </w:r>
            <w:r w:rsidRPr="003E7EE5">
              <w:rPr>
                <w:sz w:val="20"/>
                <w:szCs w:val="20"/>
              </w:rPr>
              <w:t xml:space="preserve">s during the last 3 years of recession compared </w:t>
            </w:r>
            <w:r w:rsidR="00D73E69">
              <w:rPr>
                <w:sz w:val="20"/>
                <w:szCs w:val="20"/>
              </w:rPr>
              <w:t>with</w:t>
            </w:r>
            <w:r w:rsidRPr="003E7EE5">
              <w:rPr>
                <w:sz w:val="20"/>
                <w:szCs w:val="20"/>
              </w:rPr>
              <w:t xml:space="preserve"> the pre-crisis availability</w:t>
            </w:r>
          </w:p>
        </w:tc>
        <w:tc>
          <w:tcPr>
            <w:tcW w:w="1061" w:type="dxa"/>
          </w:tcPr>
          <w:p w14:paraId="0E5523F6"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w:t>
            </w:r>
          </w:p>
        </w:tc>
        <w:tc>
          <w:tcPr>
            <w:tcW w:w="672" w:type="dxa"/>
          </w:tcPr>
          <w:p w14:paraId="73515DCB"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3.55</w:t>
            </w:r>
          </w:p>
        </w:tc>
        <w:tc>
          <w:tcPr>
            <w:tcW w:w="1073" w:type="dxa"/>
          </w:tcPr>
          <w:p w14:paraId="13883540"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1.38</w:t>
            </w:r>
          </w:p>
        </w:tc>
      </w:tr>
    </w:tbl>
    <w:p w14:paraId="2B3F648D" w14:textId="77777777" w:rsidR="00297E46" w:rsidRPr="003E7EE5" w:rsidRDefault="00297E46" w:rsidP="00297E46">
      <w:pPr>
        <w:tabs>
          <w:tab w:val="left" w:pos="284"/>
        </w:tabs>
        <w:jc w:val="both"/>
        <w:outlineLvl w:val="0"/>
        <w:rPr>
          <w:i/>
          <w:color w:val="000000" w:themeColor="text1"/>
        </w:rPr>
      </w:pPr>
    </w:p>
    <w:p w14:paraId="5BC212D5" w14:textId="46A4C984" w:rsidR="00297E46" w:rsidRPr="003E7EE5" w:rsidRDefault="00743009" w:rsidP="00297E46">
      <w:pPr>
        <w:tabs>
          <w:tab w:val="left" w:pos="284"/>
        </w:tabs>
        <w:jc w:val="both"/>
        <w:outlineLvl w:val="0"/>
        <w:rPr>
          <w:i/>
          <w:color w:val="000000" w:themeColor="text1"/>
          <w:sz w:val="18"/>
          <w:szCs w:val="18"/>
        </w:rPr>
      </w:pPr>
      <w:r w:rsidRPr="003E7EE5">
        <w:rPr>
          <w:i/>
          <w:color w:val="000000" w:themeColor="text1"/>
          <w:sz w:val="18"/>
          <w:szCs w:val="18"/>
        </w:rPr>
        <w:t>*</w:t>
      </w:r>
      <w:r w:rsidRPr="003E7EE5">
        <w:rPr>
          <w:sz w:val="18"/>
          <w:szCs w:val="18"/>
        </w:rPr>
        <w:t xml:space="preserve"> Both </w:t>
      </w:r>
      <w:r w:rsidR="001046F7" w:rsidRPr="003E7EE5">
        <w:rPr>
          <w:sz w:val="18"/>
          <w:szCs w:val="18"/>
        </w:rPr>
        <w:t xml:space="preserve">OR </w:t>
      </w:r>
      <w:r w:rsidRPr="003E7EE5">
        <w:rPr>
          <w:sz w:val="18"/>
          <w:szCs w:val="18"/>
        </w:rPr>
        <w:t xml:space="preserve">and </w:t>
      </w:r>
      <w:r w:rsidR="001046F7" w:rsidRPr="003E7EE5">
        <w:rPr>
          <w:sz w:val="18"/>
          <w:szCs w:val="18"/>
        </w:rPr>
        <w:t>FR</w:t>
      </w:r>
      <w:r w:rsidRPr="003E7EE5">
        <w:rPr>
          <w:sz w:val="18"/>
          <w:szCs w:val="18"/>
        </w:rPr>
        <w:t xml:space="preserve"> were rated by respondents </w:t>
      </w:r>
      <w:r w:rsidR="00D73E69">
        <w:rPr>
          <w:sz w:val="18"/>
          <w:szCs w:val="18"/>
        </w:rPr>
        <w:t xml:space="preserve">by </w:t>
      </w:r>
      <w:r w:rsidRPr="003E7EE5">
        <w:rPr>
          <w:sz w:val="18"/>
          <w:szCs w:val="18"/>
        </w:rPr>
        <w:t xml:space="preserve">assessing their current operational and financial performance </w:t>
      </w:r>
      <w:r w:rsidRPr="003E7EE5">
        <w:rPr>
          <w:i/>
          <w:iCs/>
          <w:sz w:val="18"/>
          <w:szCs w:val="18"/>
        </w:rPr>
        <w:t xml:space="preserve">compared </w:t>
      </w:r>
      <w:r w:rsidR="00D73E69">
        <w:rPr>
          <w:i/>
          <w:iCs/>
          <w:sz w:val="18"/>
          <w:szCs w:val="18"/>
        </w:rPr>
        <w:t>with</w:t>
      </w:r>
      <w:r w:rsidRPr="003E7EE5">
        <w:rPr>
          <w:i/>
          <w:iCs/>
          <w:sz w:val="18"/>
          <w:szCs w:val="18"/>
        </w:rPr>
        <w:t xml:space="preserve"> the last three years of recession </w:t>
      </w:r>
      <w:r w:rsidRPr="003E7EE5">
        <w:rPr>
          <w:sz w:val="18"/>
          <w:szCs w:val="18"/>
        </w:rPr>
        <w:t>(2011</w:t>
      </w:r>
      <w:r w:rsidR="00D73E69">
        <w:rPr>
          <w:sz w:val="18"/>
          <w:szCs w:val="18"/>
        </w:rPr>
        <w:t>–</w:t>
      </w:r>
      <w:r w:rsidRPr="003E7EE5">
        <w:rPr>
          <w:sz w:val="18"/>
          <w:szCs w:val="18"/>
        </w:rPr>
        <w:t>2014).</w:t>
      </w:r>
    </w:p>
    <w:p w14:paraId="632687A6" w14:textId="77777777" w:rsidR="00297E46" w:rsidRPr="003E7EE5" w:rsidRDefault="00297E46" w:rsidP="00297E46">
      <w:pPr>
        <w:tabs>
          <w:tab w:val="left" w:pos="284"/>
        </w:tabs>
        <w:jc w:val="both"/>
        <w:outlineLvl w:val="0"/>
        <w:rPr>
          <w:i/>
          <w:color w:val="000000" w:themeColor="text1"/>
        </w:rPr>
      </w:pPr>
    </w:p>
    <w:p w14:paraId="16E05C03" w14:textId="77777777" w:rsidR="00297E46" w:rsidRPr="003E7EE5" w:rsidRDefault="00297E46" w:rsidP="00297E46">
      <w:pPr>
        <w:tabs>
          <w:tab w:val="left" w:pos="284"/>
        </w:tabs>
        <w:jc w:val="both"/>
        <w:outlineLvl w:val="0"/>
        <w:rPr>
          <w:i/>
          <w:color w:val="000000" w:themeColor="text1"/>
        </w:rPr>
      </w:pPr>
    </w:p>
    <w:p w14:paraId="2056D9B6" w14:textId="7662498A" w:rsidR="00297E46" w:rsidRDefault="00297E46" w:rsidP="00297E46">
      <w:pPr>
        <w:tabs>
          <w:tab w:val="left" w:pos="284"/>
        </w:tabs>
        <w:jc w:val="both"/>
        <w:outlineLvl w:val="0"/>
        <w:rPr>
          <w:i/>
          <w:color w:val="000000" w:themeColor="text1"/>
        </w:rPr>
      </w:pPr>
    </w:p>
    <w:p w14:paraId="7EE1A0F2" w14:textId="77777777" w:rsidR="00151408" w:rsidRDefault="00151408" w:rsidP="00297E46">
      <w:pPr>
        <w:tabs>
          <w:tab w:val="left" w:pos="284"/>
        </w:tabs>
        <w:jc w:val="both"/>
        <w:outlineLvl w:val="0"/>
        <w:rPr>
          <w:i/>
          <w:color w:val="000000" w:themeColor="text1"/>
        </w:rPr>
      </w:pPr>
    </w:p>
    <w:p w14:paraId="5C1C7E40" w14:textId="77777777" w:rsidR="00151408" w:rsidRPr="003E7EE5" w:rsidRDefault="00151408" w:rsidP="00297E46">
      <w:pPr>
        <w:tabs>
          <w:tab w:val="left" w:pos="284"/>
        </w:tabs>
        <w:jc w:val="both"/>
        <w:outlineLvl w:val="0"/>
        <w:rPr>
          <w:i/>
          <w:color w:val="000000" w:themeColor="text1"/>
        </w:rPr>
      </w:pPr>
    </w:p>
    <w:p w14:paraId="33AC2566" w14:textId="6E23940B" w:rsidR="00297E46" w:rsidRPr="003E7EE5" w:rsidRDefault="00297E46" w:rsidP="00297E46">
      <w:pPr>
        <w:tabs>
          <w:tab w:val="left" w:pos="284"/>
        </w:tabs>
        <w:jc w:val="both"/>
        <w:outlineLvl w:val="0"/>
        <w:rPr>
          <w:i/>
          <w:color w:val="000000" w:themeColor="text1"/>
        </w:rPr>
      </w:pPr>
    </w:p>
    <w:p w14:paraId="65F3499A" w14:textId="415B9075" w:rsidR="00297E46" w:rsidRPr="003E7EE5" w:rsidRDefault="00297E46" w:rsidP="00297E46">
      <w:pPr>
        <w:tabs>
          <w:tab w:val="left" w:pos="284"/>
        </w:tabs>
        <w:jc w:val="both"/>
        <w:outlineLvl w:val="0"/>
        <w:rPr>
          <w:i/>
          <w:color w:val="000000" w:themeColor="text1"/>
        </w:rPr>
      </w:pPr>
    </w:p>
    <w:p w14:paraId="70C1A77A" w14:textId="5042DE64" w:rsidR="00297E46" w:rsidRPr="003E7EE5" w:rsidRDefault="00297E46" w:rsidP="00297E46">
      <w:pPr>
        <w:tabs>
          <w:tab w:val="left" w:pos="284"/>
        </w:tabs>
        <w:jc w:val="both"/>
        <w:outlineLvl w:val="0"/>
        <w:rPr>
          <w:i/>
          <w:color w:val="000000" w:themeColor="text1"/>
        </w:rPr>
      </w:pPr>
    </w:p>
    <w:p w14:paraId="305A91E6" w14:textId="1D9BE9CA" w:rsidR="00297E46" w:rsidRPr="003E7EE5" w:rsidRDefault="00297E46" w:rsidP="00297E46">
      <w:pPr>
        <w:tabs>
          <w:tab w:val="left" w:pos="284"/>
        </w:tabs>
        <w:jc w:val="both"/>
        <w:outlineLvl w:val="0"/>
        <w:rPr>
          <w:i/>
          <w:color w:val="000000" w:themeColor="text1"/>
        </w:rPr>
      </w:pPr>
    </w:p>
    <w:p w14:paraId="34470E1A" w14:textId="3AD3A48C" w:rsidR="00297E46" w:rsidRPr="005E1791" w:rsidRDefault="00297E46" w:rsidP="00297E46">
      <w:pPr>
        <w:tabs>
          <w:tab w:val="left" w:pos="284"/>
        </w:tabs>
        <w:jc w:val="both"/>
        <w:outlineLvl w:val="0"/>
        <w:rPr>
          <w:iCs/>
          <w:color w:val="000000" w:themeColor="text1"/>
        </w:rPr>
      </w:pPr>
      <w:r w:rsidRPr="005E1791">
        <w:rPr>
          <w:iCs/>
          <w:color w:val="000000" w:themeColor="text1"/>
        </w:rPr>
        <w:lastRenderedPageBreak/>
        <w:t>Table 3</w:t>
      </w:r>
      <w:r w:rsidR="00566E35" w:rsidRPr="005E1791">
        <w:rPr>
          <w:iCs/>
          <w:color w:val="000000" w:themeColor="text1"/>
        </w:rPr>
        <w:t>.</w:t>
      </w:r>
      <w:r w:rsidRPr="005E1791">
        <w:rPr>
          <w:iCs/>
          <w:color w:val="000000" w:themeColor="text1"/>
        </w:rPr>
        <w:t xml:space="preserve"> Descriptive statistics and correlation matrix</w:t>
      </w:r>
    </w:p>
    <w:p w14:paraId="24F4C733" w14:textId="77777777" w:rsidR="00297E46" w:rsidRPr="003E7EE5" w:rsidRDefault="00297E46" w:rsidP="00297E46">
      <w:pPr>
        <w:tabs>
          <w:tab w:val="left" w:pos="284"/>
        </w:tabs>
        <w:jc w:val="both"/>
        <w:rPr>
          <w:color w:val="000000" w:themeColor="text1"/>
          <w:sz w:val="20"/>
        </w:rPr>
      </w:pPr>
    </w:p>
    <w:tbl>
      <w:tblPr>
        <w:tblW w:w="0" w:type="auto"/>
        <w:tblLook w:val="04A0" w:firstRow="1" w:lastRow="0" w:firstColumn="1" w:lastColumn="0" w:noHBand="0" w:noVBand="1"/>
      </w:tblPr>
      <w:tblGrid>
        <w:gridCol w:w="1103"/>
        <w:gridCol w:w="831"/>
        <w:gridCol w:w="830"/>
        <w:gridCol w:w="936"/>
        <w:gridCol w:w="936"/>
        <w:gridCol w:w="936"/>
        <w:gridCol w:w="936"/>
        <w:gridCol w:w="759"/>
        <w:gridCol w:w="759"/>
      </w:tblGrid>
      <w:tr w:rsidR="00297E46" w:rsidRPr="003E7EE5" w14:paraId="7425B39F" w14:textId="77777777" w:rsidTr="000858C0">
        <w:trPr>
          <w:trHeight w:val="255"/>
        </w:trPr>
        <w:tc>
          <w:tcPr>
            <w:tcW w:w="1103" w:type="dxa"/>
            <w:tcBorders>
              <w:top w:val="single" w:sz="4" w:space="0" w:color="auto"/>
              <w:bottom w:val="single" w:sz="4" w:space="0" w:color="auto"/>
            </w:tcBorders>
            <w:shd w:val="clear" w:color="auto" w:fill="auto"/>
          </w:tcPr>
          <w:p w14:paraId="5D8ABB81" w14:textId="77777777" w:rsidR="00297E46" w:rsidRPr="003E7EE5" w:rsidRDefault="00297E46" w:rsidP="0017312F">
            <w:pPr>
              <w:tabs>
                <w:tab w:val="left" w:pos="284"/>
              </w:tabs>
              <w:jc w:val="both"/>
            </w:pPr>
            <w:r w:rsidRPr="003E7EE5">
              <w:rPr>
                <w:b/>
                <w:sz w:val="20"/>
                <w:szCs w:val="20"/>
              </w:rPr>
              <w:t>Construct</w:t>
            </w:r>
          </w:p>
        </w:tc>
        <w:tc>
          <w:tcPr>
            <w:tcW w:w="831" w:type="dxa"/>
            <w:tcBorders>
              <w:top w:val="single" w:sz="4" w:space="0" w:color="auto"/>
              <w:bottom w:val="single" w:sz="4" w:space="0" w:color="auto"/>
            </w:tcBorders>
            <w:shd w:val="clear" w:color="auto" w:fill="auto"/>
          </w:tcPr>
          <w:p w14:paraId="2E4824BF" w14:textId="645C4F4C" w:rsidR="00297E46" w:rsidRPr="003E7EE5" w:rsidRDefault="00297E46" w:rsidP="0017312F">
            <w:pPr>
              <w:tabs>
                <w:tab w:val="left" w:pos="284"/>
              </w:tabs>
              <w:jc w:val="center"/>
              <w:rPr>
                <w:b/>
                <w:sz w:val="20"/>
                <w:szCs w:val="20"/>
              </w:rPr>
            </w:pPr>
            <w:r w:rsidRPr="003E7EE5">
              <w:rPr>
                <w:b/>
                <w:sz w:val="20"/>
                <w:szCs w:val="20"/>
              </w:rPr>
              <w:t>M</w:t>
            </w:r>
          </w:p>
        </w:tc>
        <w:tc>
          <w:tcPr>
            <w:tcW w:w="830" w:type="dxa"/>
            <w:tcBorders>
              <w:top w:val="single" w:sz="4" w:space="0" w:color="auto"/>
              <w:bottom w:val="single" w:sz="4" w:space="0" w:color="auto"/>
            </w:tcBorders>
            <w:shd w:val="clear" w:color="auto" w:fill="auto"/>
          </w:tcPr>
          <w:p w14:paraId="20B687E8" w14:textId="77777777" w:rsidR="00297E46" w:rsidRPr="003E7EE5" w:rsidRDefault="00297E46" w:rsidP="0017312F">
            <w:pPr>
              <w:tabs>
                <w:tab w:val="left" w:pos="284"/>
              </w:tabs>
              <w:jc w:val="center"/>
              <w:rPr>
                <w:b/>
                <w:sz w:val="20"/>
                <w:szCs w:val="20"/>
              </w:rPr>
            </w:pPr>
            <w:r w:rsidRPr="003E7EE5">
              <w:rPr>
                <w:b/>
                <w:sz w:val="20"/>
                <w:szCs w:val="20"/>
              </w:rPr>
              <w:t>SD</w:t>
            </w:r>
          </w:p>
        </w:tc>
        <w:tc>
          <w:tcPr>
            <w:tcW w:w="936" w:type="dxa"/>
            <w:tcBorders>
              <w:top w:val="single" w:sz="4" w:space="0" w:color="auto"/>
              <w:bottom w:val="single" w:sz="4" w:space="0" w:color="auto"/>
            </w:tcBorders>
            <w:shd w:val="clear" w:color="auto" w:fill="auto"/>
          </w:tcPr>
          <w:p w14:paraId="1588A4ED" w14:textId="77777777" w:rsidR="00297E46" w:rsidRPr="003E7EE5" w:rsidRDefault="00297E46" w:rsidP="0017312F">
            <w:pPr>
              <w:tabs>
                <w:tab w:val="left" w:pos="284"/>
              </w:tabs>
              <w:jc w:val="center"/>
              <w:rPr>
                <w:b/>
              </w:rPr>
            </w:pPr>
            <w:r w:rsidRPr="003E7EE5">
              <w:rPr>
                <w:b/>
                <w:sz w:val="20"/>
                <w:szCs w:val="20"/>
              </w:rPr>
              <w:t>1</w:t>
            </w:r>
          </w:p>
        </w:tc>
        <w:tc>
          <w:tcPr>
            <w:tcW w:w="936" w:type="dxa"/>
            <w:tcBorders>
              <w:top w:val="single" w:sz="4" w:space="0" w:color="auto"/>
              <w:bottom w:val="single" w:sz="4" w:space="0" w:color="auto"/>
            </w:tcBorders>
            <w:shd w:val="clear" w:color="auto" w:fill="auto"/>
          </w:tcPr>
          <w:p w14:paraId="362BE32D" w14:textId="77777777" w:rsidR="00297E46" w:rsidRPr="003E7EE5" w:rsidRDefault="00297E46" w:rsidP="0017312F">
            <w:pPr>
              <w:tabs>
                <w:tab w:val="left" w:pos="284"/>
              </w:tabs>
              <w:jc w:val="center"/>
              <w:rPr>
                <w:b/>
              </w:rPr>
            </w:pPr>
            <w:r w:rsidRPr="003E7EE5">
              <w:rPr>
                <w:b/>
                <w:sz w:val="20"/>
                <w:szCs w:val="20"/>
              </w:rPr>
              <w:t>2</w:t>
            </w:r>
          </w:p>
        </w:tc>
        <w:tc>
          <w:tcPr>
            <w:tcW w:w="936" w:type="dxa"/>
            <w:tcBorders>
              <w:top w:val="single" w:sz="4" w:space="0" w:color="auto"/>
              <w:bottom w:val="single" w:sz="4" w:space="0" w:color="auto"/>
            </w:tcBorders>
            <w:shd w:val="clear" w:color="auto" w:fill="auto"/>
          </w:tcPr>
          <w:p w14:paraId="4CB70F56" w14:textId="77777777" w:rsidR="00297E46" w:rsidRPr="003E7EE5" w:rsidRDefault="00297E46" w:rsidP="0017312F">
            <w:pPr>
              <w:tabs>
                <w:tab w:val="left" w:pos="284"/>
              </w:tabs>
              <w:jc w:val="center"/>
              <w:rPr>
                <w:b/>
              </w:rPr>
            </w:pPr>
            <w:r w:rsidRPr="003E7EE5">
              <w:rPr>
                <w:b/>
                <w:sz w:val="20"/>
                <w:szCs w:val="20"/>
              </w:rPr>
              <w:t>3</w:t>
            </w:r>
          </w:p>
        </w:tc>
        <w:tc>
          <w:tcPr>
            <w:tcW w:w="936" w:type="dxa"/>
            <w:tcBorders>
              <w:top w:val="single" w:sz="4" w:space="0" w:color="auto"/>
              <w:bottom w:val="single" w:sz="4" w:space="0" w:color="auto"/>
            </w:tcBorders>
            <w:shd w:val="clear" w:color="auto" w:fill="auto"/>
          </w:tcPr>
          <w:p w14:paraId="25D435DA" w14:textId="77777777" w:rsidR="00297E46" w:rsidRPr="003E7EE5" w:rsidRDefault="00297E46" w:rsidP="0017312F">
            <w:pPr>
              <w:tabs>
                <w:tab w:val="left" w:pos="284"/>
              </w:tabs>
              <w:jc w:val="center"/>
              <w:rPr>
                <w:b/>
              </w:rPr>
            </w:pPr>
            <w:r w:rsidRPr="003E7EE5">
              <w:rPr>
                <w:b/>
                <w:sz w:val="20"/>
                <w:szCs w:val="20"/>
              </w:rPr>
              <w:t>4</w:t>
            </w:r>
          </w:p>
        </w:tc>
        <w:tc>
          <w:tcPr>
            <w:tcW w:w="759" w:type="dxa"/>
            <w:tcBorders>
              <w:top w:val="single" w:sz="4" w:space="0" w:color="auto"/>
              <w:bottom w:val="single" w:sz="4" w:space="0" w:color="auto"/>
            </w:tcBorders>
            <w:shd w:val="clear" w:color="auto" w:fill="auto"/>
          </w:tcPr>
          <w:p w14:paraId="5922BD57" w14:textId="77777777" w:rsidR="00297E46" w:rsidRPr="003E7EE5" w:rsidRDefault="00297E46" w:rsidP="0017312F">
            <w:pPr>
              <w:tabs>
                <w:tab w:val="left" w:pos="284"/>
              </w:tabs>
              <w:jc w:val="center"/>
              <w:rPr>
                <w:b/>
              </w:rPr>
            </w:pPr>
            <w:r w:rsidRPr="003E7EE5">
              <w:rPr>
                <w:b/>
                <w:sz w:val="20"/>
                <w:szCs w:val="20"/>
              </w:rPr>
              <w:t>5</w:t>
            </w:r>
          </w:p>
        </w:tc>
        <w:tc>
          <w:tcPr>
            <w:tcW w:w="759" w:type="dxa"/>
            <w:tcBorders>
              <w:top w:val="single" w:sz="4" w:space="0" w:color="auto"/>
              <w:bottom w:val="single" w:sz="4" w:space="0" w:color="auto"/>
            </w:tcBorders>
          </w:tcPr>
          <w:p w14:paraId="24C6A7F2" w14:textId="77777777" w:rsidR="00297E46" w:rsidRPr="003E7EE5" w:rsidRDefault="00297E46" w:rsidP="0017312F">
            <w:pPr>
              <w:tabs>
                <w:tab w:val="left" w:pos="284"/>
              </w:tabs>
              <w:jc w:val="center"/>
              <w:rPr>
                <w:b/>
                <w:sz w:val="20"/>
                <w:szCs w:val="20"/>
              </w:rPr>
            </w:pPr>
            <w:r w:rsidRPr="003E7EE5">
              <w:rPr>
                <w:b/>
                <w:sz w:val="20"/>
                <w:szCs w:val="20"/>
              </w:rPr>
              <w:t>6</w:t>
            </w:r>
          </w:p>
        </w:tc>
      </w:tr>
      <w:tr w:rsidR="00297E46" w:rsidRPr="003E7EE5" w14:paraId="70DFE06F" w14:textId="77777777" w:rsidTr="000858C0">
        <w:tc>
          <w:tcPr>
            <w:tcW w:w="1103" w:type="dxa"/>
            <w:tcBorders>
              <w:top w:val="single" w:sz="4" w:space="0" w:color="auto"/>
            </w:tcBorders>
            <w:shd w:val="clear" w:color="auto" w:fill="auto"/>
          </w:tcPr>
          <w:p w14:paraId="6568CA41" w14:textId="77777777" w:rsidR="00297E46" w:rsidRPr="003E7EE5" w:rsidRDefault="00297E46" w:rsidP="0017312F">
            <w:pPr>
              <w:tabs>
                <w:tab w:val="left" w:pos="284"/>
              </w:tabs>
              <w:jc w:val="both"/>
              <w:rPr>
                <w:b/>
              </w:rPr>
            </w:pPr>
            <w:r w:rsidRPr="003E7EE5">
              <w:rPr>
                <w:b/>
                <w:sz w:val="20"/>
                <w:szCs w:val="20"/>
              </w:rPr>
              <w:t>1. CS</w:t>
            </w:r>
          </w:p>
        </w:tc>
        <w:tc>
          <w:tcPr>
            <w:tcW w:w="831" w:type="dxa"/>
            <w:tcBorders>
              <w:top w:val="single" w:sz="4" w:space="0" w:color="auto"/>
            </w:tcBorders>
            <w:shd w:val="clear" w:color="auto" w:fill="auto"/>
          </w:tcPr>
          <w:p w14:paraId="0024043F" w14:textId="77777777" w:rsidR="00297E46" w:rsidRPr="003E7EE5" w:rsidRDefault="00297E46" w:rsidP="0017312F">
            <w:pPr>
              <w:tabs>
                <w:tab w:val="left" w:pos="284"/>
              </w:tabs>
              <w:jc w:val="center"/>
              <w:rPr>
                <w:sz w:val="20"/>
              </w:rPr>
            </w:pPr>
            <w:r w:rsidRPr="003E7EE5">
              <w:rPr>
                <w:sz w:val="20"/>
              </w:rPr>
              <w:t>4.49</w:t>
            </w:r>
          </w:p>
        </w:tc>
        <w:tc>
          <w:tcPr>
            <w:tcW w:w="830" w:type="dxa"/>
            <w:tcBorders>
              <w:top w:val="single" w:sz="4" w:space="0" w:color="auto"/>
            </w:tcBorders>
            <w:shd w:val="clear" w:color="auto" w:fill="auto"/>
          </w:tcPr>
          <w:p w14:paraId="00C39632" w14:textId="77777777" w:rsidR="00297E46" w:rsidRPr="003E7EE5" w:rsidRDefault="00297E46" w:rsidP="0017312F">
            <w:pPr>
              <w:tabs>
                <w:tab w:val="left" w:pos="284"/>
              </w:tabs>
              <w:jc w:val="center"/>
              <w:rPr>
                <w:sz w:val="20"/>
              </w:rPr>
            </w:pPr>
            <w:r w:rsidRPr="003E7EE5">
              <w:rPr>
                <w:sz w:val="20"/>
              </w:rPr>
              <w:t>1.565</w:t>
            </w:r>
          </w:p>
        </w:tc>
        <w:tc>
          <w:tcPr>
            <w:tcW w:w="936" w:type="dxa"/>
            <w:tcBorders>
              <w:top w:val="single" w:sz="4" w:space="0" w:color="auto"/>
            </w:tcBorders>
            <w:shd w:val="clear" w:color="auto" w:fill="auto"/>
          </w:tcPr>
          <w:p w14:paraId="6A659D35" w14:textId="77777777" w:rsidR="00297E46" w:rsidRPr="003E7EE5" w:rsidRDefault="00297E46" w:rsidP="0017312F">
            <w:pPr>
              <w:tabs>
                <w:tab w:val="left" w:pos="284"/>
              </w:tabs>
              <w:jc w:val="center"/>
              <w:rPr>
                <w:i/>
                <w:sz w:val="20"/>
              </w:rPr>
            </w:pPr>
            <w:r w:rsidRPr="003E7EE5">
              <w:rPr>
                <w:i/>
                <w:sz w:val="20"/>
              </w:rPr>
              <w:t>0.793</w:t>
            </w:r>
          </w:p>
        </w:tc>
        <w:tc>
          <w:tcPr>
            <w:tcW w:w="936" w:type="dxa"/>
            <w:tcBorders>
              <w:top w:val="single" w:sz="4" w:space="0" w:color="auto"/>
            </w:tcBorders>
            <w:shd w:val="clear" w:color="auto" w:fill="auto"/>
          </w:tcPr>
          <w:p w14:paraId="574CE670" w14:textId="77777777" w:rsidR="00297E46" w:rsidRPr="003E7EE5" w:rsidRDefault="00297E46" w:rsidP="0017312F">
            <w:pPr>
              <w:tabs>
                <w:tab w:val="left" w:pos="284"/>
              </w:tabs>
              <w:jc w:val="center"/>
              <w:rPr>
                <w:sz w:val="20"/>
              </w:rPr>
            </w:pPr>
          </w:p>
        </w:tc>
        <w:tc>
          <w:tcPr>
            <w:tcW w:w="936" w:type="dxa"/>
            <w:tcBorders>
              <w:top w:val="single" w:sz="4" w:space="0" w:color="auto"/>
            </w:tcBorders>
            <w:shd w:val="clear" w:color="auto" w:fill="auto"/>
          </w:tcPr>
          <w:p w14:paraId="3C31303A" w14:textId="77777777" w:rsidR="00297E46" w:rsidRPr="003E7EE5" w:rsidRDefault="00297E46" w:rsidP="0017312F">
            <w:pPr>
              <w:tabs>
                <w:tab w:val="left" w:pos="284"/>
              </w:tabs>
              <w:jc w:val="center"/>
              <w:rPr>
                <w:sz w:val="20"/>
              </w:rPr>
            </w:pPr>
          </w:p>
        </w:tc>
        <w:tc>
          <w:tcPr>
            <w:tcW w:w="936" w:type="dxa"/>
            <w:tcBorders>
              <w:top w:val="single" w:sz="4" w:space="0" w:color="auto"/>
            </w:tcBorders>
            <w:shd w:val="clear" w:color="auto" w:fill="auto"/>
          </w:tcPr>
          <w:p w14:paraId="4613FD3B" w14:textId="77777777" w:rsidR="00297E46" w:rsidRPr="003E7EE5" w:rsidRDefault="00297E46" w:rsidP="0017312F">
            <w:pPr>
              <w:tabs>
                <w:tab w:val="left" w:pos="284"/>
              </w:tabs>
              <w:jc w:val="center"/>
              <w:rPr>
                <w:sz w:val="20"/>
              </w:rPr>
            </w:pPr>
          </w:p>
        </w:tc>
        <w:tc>
          <w:tcPr>
            <w:tcW w:w="759" w:type="dxa"/>
            <w:tcBorders>
              <w:top w:val="single" w:sz="4" w:space="0" w:color="auto"/>
            </w:tcBorders>
            <w:shd w:val="clear" w:color="auto" w:fill="auto"/>
          </w:tcPr>
          <w:p w14:paraId="07E6AA50" w14:textId="77777777" w:rsidR="00297E46" w:rsidRPr="003E7EE5" w:rsidRDefault="00297E46" w:rsidP="0017312F">
            <w:pPr>
              <w:tabs>
                <w:tab w:val="left" w:pos="284"/>
              </w:tabs>
              <w:jc w:val="center"/>
              <w:rPr>
                <w:sz w:val="20"/>
              </w:rPr>
            </w:pPr>
          </w:p>
        </w:tc>
        <w:tc>
          <w:tcPr>
            <w:tcW w:w="759" w:type="dxa"/>
            <w:tcBorders>
              <w:top w:val="single" w:sz="4" w:space="0" w:color="auto"/>
            </w:tcBorders>
            <w:shd w:val="clear" w:color="auto" w:fill="auto"/>
          </w:tcPr>
          <w:p w14:paraId="3720656D" w14:textId="77777777" w:rsidR="00297E46" w:rsidRPr="003E7EE5" w:rsidRDefault="00297E46" w:rsidP="0017312F">
            <w:pPr>
              <w:tabs>
                <w:tab w:val="left" w:pos="284"/>
              </w:tabs>
              <w:jc w:val="center"/>
              <w:rPr>
                <w:sz w:val="20"/>
              </w:rPr>
            </w:pPr>
          </w:p>
        </w:tc>
      </w:tr>
      <w:tr w:rsidR="00297E46" w:rsidRPr="003E7EE5" w14:paraId="0A4A2806" w14:textId="77777777" w:rsidTr="000858C0">
        <w:tc>
          <w:tcPr>
            <w:tcW w:w="1103" w:type="dxa"/>
            <w:shd w:val="clear" w:color="auto" w:fill="auto"/>
          </w:tcPr>
          <w:p w14:paraId="57B1FA5C" w14:textId="77777777" w:rsidR="00297E46" w:rsidRPr="003E7EE5" w:rsidRDefault="00297E46" w:rsidP="0017312F">
            <w:pPr>
              <w:tabs>
                <w:tab w:val="left" w:pos="284"/>
              </w:tabs>
              <w:jc w:val="both"/>
              <w:rPr>
                <w:b/>
              </w:rPr>
            </w:pPr>
            <w:r w:rsidRPr="003E7EE5">
              <w:rPr>
                <w:b/>
                <w:sz w:val="20"/>
                <w:szCs w:val="20"/>
              </w:rPr>
              <w:t>2. SSP</w:t>
            </w:r>
          </w:p>
        </w:tc>
        <w:tc>
          <w:tcPr>
            <w:tcW w:w="831" w:type="dxa"/>
            <w:shd w:val="clear" w:color="auto" w:fill="auto"/>
          </w:tcPr>
          <w:p w14:paraId="61DE74F6" w14:textId="77777777" w:rsidR="00297E46" w:rsidRPr="003E7EE5" w:rsidRDefault="00297E46" w:rsidP="0017312F">
            <w:pPr>
              <w:tabs>
                <w:tab w:val="left" w:pos="284"/>
              </w:tabs>
              <w:jc w:val="center"/>
              <w:rPr>
                <w:sz w:val="20"/>
              </w:rPr>
            </w:pPr>
            <w:r w:rsidRPr="003E7EE5">
              <w:rPr>
                <w:sz w:val="20"/>
              </w:rPr>
              <w:t>4.52</w:t>
            </w:r>
          </w:p>
        </w:tc>
        <w:tc>
          <w:tcPr>
            <w:tcW w:w="830" w:type="dxa"/>
            <w:shd w:val="clear" w:color="auto" w:fill="auto"/>
          </w:tcPr>
          <w:p w14:paraId="2E39DD88" w14:textId="77777777" w:rsidR="00297E46" w:rsidRPr="003E7EE5" w:rsidRDefault="00297E46" w:rsidP="0017312F">
            <w:pPr>
              <w:tabs>
                <w:tab w:val="left" w:pos="284"/>
              </w:tabs>
              <w:jc w:val="center"/>
              <w:rPr>
                <w:sz w:val="20"/>
              </w:rPr>
            </w:pPr>
            <w:r w:rsidRPr="003E7EE5">
              <w:rPr>
                <w:sz w:val="20"/>
              </w:rPr>
              <w:t>1.241</w:t>
            </w:r>
          </w:p>
        </w:tc>
        <w:tc>
          <w:tcPr>
            <w:tcW w:w="936" w:type="dxa"/>
            <w:shd w:val="clear" w:color="auto" w:fill="auto"/>
          </w:tcPr>
          <w:p w14:paraId="7CF46DEA" w14:textId="77777777" w:rsidR="00297E46" w:rsidRPr="003E7EE5" w:rsidRDefault="00297E46" w:rsidP="0017312F">
            <w:pPr>
              <w:tabs>
                <w:tab w:val="left" w:pos="284"/>
              </w:tabs>
              <w:jc w:val="center"/>
              <w:rPr>
                <w:sz w:val="20"/>
              </w:rPr>
            </w:pPr>
            <w:r w:rsidRPr="003E7EE5">
              <w:rPr>
                <w:sz w:val="20"/>
              </w:rPr>
              <w:t>0.632</w:t>
            </w:r>
          </w:p>
        </w:tc>
        <w:tc>
          <w:tcPr>
            <w:tcW w:w="936" w:type="dxa"/>
            <w:shd w:val="clear" w:color="auto" w:fill="auto"/>
          </w:tcPr>
          <w:p w14:paraId="48299D19" w14:textId="77777777" w:rsidR="00297E46" w:rsidRPr="003E7EE5" w:rsidRDefault="00297E46" w:rsidP="0017312F">
            <w:pPr>
              <w:tabs>
                <w:tab w:val="left" w:pos="284"/>
              </w:tabs>
              <w:jc w:val="center"/>
              <w:rPr>
                <w:i/>
                <w:sz w:val="20"/>
              </w:rPr>
            </w:pPr>
            <w:r w:rsidRPr="003E7EE5">
              <w:rPr>
                <w:i/>
                <w:sz w:val="20"/>
              </w:rPr>
              <w:t>0.726</w:t>
            </w:r>
          </w:p>
        </w:tc>
        <w:tc>
          <w:tcPr>
            <w:tcW w:w="936" w:type="dxa"/>
            <w:shd w:val="clear" w:color="auto" w:fill="auto"/>
          </w:tcPr>
          <w:p w14:paraId="7F7CA1EB" w14:textId="77777777" w:rsidR="00297E46" w:rsidRPr="003E7EE5" w:rsidRDefault="00297E46" w:rsidP="0017312F">
            <w:pPr>
              <w:tabs>
                <w:tab w:val="left" w:pos="284"/>
              </w:tabs>
              <w:jc w:val="center"/>
              <w:rPr>
                <w:sz w:val="20"/>
              </w:rPr>
            </w:pPr>
          </w:p>
        </w:tc>
        <w:tc>
          <w:tcPr>
            <w:tcW w:w="936" w:type="dxa"/>
            <w:shd w:val="clear" w:color="auto" w:fill="auto"/>
          </w:tcPr>
          <w:p w14:paraId="6B5CAC67" w14:textId="77777777" w:rsidR="00297E46" w:rsidRPr="003E7EE5" w:rsidRDefault="00297E46" w:rsidP="0017312F">
            <w:pPr>
              <w:tabs>
                <w:tab w:val="left" w:pos="284"/>
              </w:tabs>
              <w:jc w:val="center"/>
              <w:rPr>
                <w:sz w:val="20"/>
              </w:rPr>
            </w:pPr>
          </w:p>
        </w:tc>
        <w:tc>
          <w:tcPr>
            <w:tcW w:w="759" w:type="dxa"/>
            <w:shd w:val="clear" w:color="auto" w:fill="auto"/>
          </w:tcPr>
          <w:p w14:paraId="5D4EEB52" w14:textId="77777777" w:rsidR="00297E46" w:rsidRPr="003E7EE5" w:rsidRDefault="00297E46" w:rsidP="0017312F">
            <w:pPr>
              <w:tabs>
                <w:tab w:val="left" w:pos="284"/>
              </w:tabs>
              <w:jc w:val="center"/>
              <w:rPr>
                <w:sz w:val="20"/>
              </w:rPr>
            </w:pPr>
          </w:p>
        </w:tc>
        <w:tc>
          <w:tcPr>
            <w:tcW w:w="759" w:type="dxa"/>
            <w:shd w:val="clear" w:color="auto" w:fill="auto"/>
          </w:tcPr>
          <w:p w14:paraId="37A68507" w14:textId="77777777" w:rsidR="00297E46" w:rsidRPr="003E7EE5" w:rsidRDefault="00297E46" w:rsidP="0017312F">
            <w:pPr>
              <w:tabs>
                <w:tab w:val="left" w:pos="284"/>
              </w:tabs>
              <w:jc w:val="center"/>
              <w:rPr>
                <w:sz w:val="20"/>
              </w:rPr>
            </w:pPr>
          </w:p>
        </w:tc>
      </w:tr>
      <w:tr w:rsidR="00297E46" w:rsidRPr="003E7EE5" w14:paraId="13B7C1C7" w14:textId="77777777" w:rsidTr="000858C0">
        <w:tc>
          <w:tcPr>
            <w:tcW w:w="1103" w:type="dxa"/>
            <w:shd w:val="clear" w:color="auto" w:fill="auto"/>
          </w:tcPr>
          <w:p w14:paraId="59EE36C9" w14:textId="77777777" w:rsidR="00297E46" w:rsidRPr="003E7EE5" w:rsidRDefault="00297E46" w:rsidP="0017312F">
            <w:pPr>
              <w:tabs>
                <w:tab w:val="left" w:pos="284"/>
              </w:tabs>
              <w:jc w:val="both"/>
              <w:rPr>
                <w:b/>
              </w:rPr>
            </w:pPr>
            <w:r w:rsidRPr="003E7EE5">
              <w:rPr>
                <w:b/>
                <w:sz w:val="20"/>
                <w:szCs w:val="20"/>
              </w:rPr>
              <w:t>3. GMS</w:t>
            </w:r>
          </w:p>
        </w:tc>
        <w:tc>
          <w:tcPr>
            <w:tcW w:w="831" w:type="dxa"/>
            <w:shd w:val="clear" w:color="auto" w:fill="auto"/>
          </w:tcPr>
          <w:p w14:paraId="22B8973C" w14:textId="77777777" w:rsidR="00297E46" w:rsidRPr="003E7EE5" w:rsidRDefault="00297E46" w:rsidP="0017312F">
            <w:pPr>
              <w:tabs>
                <w:tab w:val="left" w:pos="284"/>
              </w:tabs>
              <w:jc w:val="center"/>
              <w:rPr>
                <w:color w:val="FF0000"/>
                <w:sz w:val="20"/>
              </w:rPr>
            </w:pPr>
            <w:r w:rsidRPr="003E7EE5">
              <w:rPr>
                <w:color w:val="000000" w:themeColor="text1"/>
                <w:sz w:val="20"/>
              </w:rPr>
              <w:t>4.06</w:t>
            </w:r>
          </w:p>
        </w:tc>
        <w:tc>
          <w:tcPr>
            <w:tcW w:w="830" w:type="dxa"/>
            <w:shd w:val="clear" w:color="auto" w:fill="auto"/>
          </w:tcPr>
          <w:p w14:paraId="1E8EA6F3" w14:textId="77777777" w:rsidR="00297E46" w:rsidRPr="003E7EE5" w:rsidRDefault="00297E46" w:rsidP="0017312F">
            <w:pPr>
              <w:tabs>
                <w:tab w:val="left" w:pos="284"/>
              </w:tabs>
              <w:jc w:val="center"/>
              <w:rPr>
                <w:sz w:val="20"/>
              </w:rPr>
            </w:pPr>
            <w:r w:rsidRPr="003E7EE5">
              <w:rPr>
                <w:sz w:val="20"/>
              </w:rPr>
              <w:t>1.362</w:t>
            </w:r>
          </w:p>
        </w:tc>
        <w:tc>
          <w:tcPr>
            <w:tcW w:w="936" w:type="dxa"/>
            <w:shd w:val="clear" w:color="auto" w:fill="auto"/>
          </w:tcPr>
          <w:p w14:paraId="61A77D0F"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0.706</w:t>
            </w:r>
          </w:p>
        </w:tc>
        <w:tc>
          <w:tcPr>
            <w:tcW w:w="936" w:type="dxa"/>
            <w:shd w:val="clear" w:color="auto" w:fill="auto"/>
          </w:tcPr>
          <w:p w14:paraId="71759EE8"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0.636</w:t>
            </w:r>
          </w:p>
        </w:tc>
        <w:tc>
          <w:tcPr>
            <w:tcW w:w="936" w:type="dxa"/>
            <w:shd w:val="clear" w:color="auto" w:fill="auto"/>
          </w:tcPr>
          <w:p w14:paraId="485E3127" w14:textId="77777777" w:rsidR="00297E46" w:rsidRPr="003E7EE5" w:rsidRDefault="00297E46" w:rsidP="0017312F">
            <w:pPr>
              <w:tabs>
                <w:tab w:val="left" w:pos="284"/>
              </w:tabs>
              <w:jc w:val="center"/>
              <w:rPr>
                <w:i/>
                <w:color w:val="000000" w:themeColor="text1"/>
                <w:sz w:val="20"/>
              </w:rPr>
            </w:pPr>
            <w:r w:rsidRPr="003E7EE5">
              <w:rPr>
                <w:i/>
                <w:color w:val="000000" w:themeColor="text1"/>
                <w:sz w:val="20"/>
              </w:rPr>
              <w:t>0.727</w:t>
            </w:r>
          </w:p>
        </w:tc>
        <w:tc>
          <w:tcPr>
            <w:tcW w:w="936" w:type="dxa"/>
            <w:shd w:val="clear" w:color="auto" w:fill="auto"/>
          </w:tcPr>
          <w:p w14:paraId="60907D35" w14:textId="77777777" w:rsidR="00297E46" w:rsidRPr="003E7EE5" w:rsidRDefault="00297E46" w:rsidP="0017312F">
            <w:pPr>
              <w:tabs>
                <w:tab w:val="left" w:pos="284"/>
              </w:tabs>
              <w:jc w:val="center"/>
              <w:rPr>
                <w:sz w:val="20"/>
              </w:rPr>
            </w:pPr>
          </w:p>
        </w:tc>
        <w:tc>
          <w:tcPr>
            <w:tcW w:w="759" w:type="dxa"/>
            <w:shd w:val="clear" w:color="auto" w:fill="auto"/>
          </w:tcPr>
          <w:p w14:paraId="22204481" w14:textId="77777777" w:rsidR="00297E46" w:rsidRPr="003E7EE5" w:rsidRDefault="00297E46" w:rsidP="0017312F">
            <w:pPr>
              <w:tabs>
                <w:tab w:val="left" w:pos="284"/>
              </w:tabs>
              <w:jc w:val="center"/>
              <w:rPr>
                <w:sz w:val="20"/>
              </w:rPr>
            </w:pPr>
          </w:p>
        </w:tc>
        <w:tc>
          <w:tcPr>
            <w:tcW w:w="759" w:type="dxa"/>
            <w:shd w:val="clear" w:color="auto" w:fill="auto"/>
          </w:tcPr>
          <w:p w14:paraId="4AF0D211" w14:textId="77777777" w:rsidR="00297E46" w:rsidRPr="003E7EE5" w:rsidRDefault="00297E46" w:rsidP="0017312F">
            <w:pPr>
              <w:tabs>
                <w:tab w:val="left" w:pos="284"/>
              </w:tabs>
              <w:jc w:val="center"/>
              <w:rPr>
                <w:sz w:val="20"/>
              </w:rPr>
            </w:pPr>
          </w:p>
        </w:tc>
      </w:tr>
      <w:tr w:rsidR="00297E46" w:rsidRPr="003E7EE5" w14:paraId="730C6F16" w14:textId="77777777" w:rsidTr="000858C0">
        <w:tc>
          <w:tcPr>
            <w:tcW w:w="1103" w:type="dxa"/>
            <w:shd w:val="clear" w:color="auto" w:fill="auto"/>
          </w:tcPr>
          <w:p w14:paraId="0B919C7A" w14:textId="77777777" w:rsidR="00297E46" w:rsidRPr="003E7EE5" w:rsidRDefault="00297E46" w:rsidP="0017312F">
            <w:pPr>
              <w:tabs>
                <w:tab w:val="left" w:pos="284"/>
              </w:tabs>
              <w:jc w:val="both"/>
              <w:rPr>
                <w:b/>
                <w:sz w:val="20"/>
                <w:szCs w:val="20"/>
              </w:rPr>
            </w:pPr>
            <w:r w:rsidRPr="003E7EE5">
              <w:rPr>
                <w:b/>
                <w:sz w:val="20"/>
                <w:szCs w:val="20"/>
              </w:rPr>
              <w:t>4. OR</w:t>
            </w:r>
          </w:p>
        </w:tc>
        <w:tc>
          <w:tcPr>
            <w:tcW w:w="831" w:type="dxa"/>
            <w:shd w:val="clear" w:color="auto" w:fill="auto"/>
          </w:tcPr>
          <w:p w14:paraId="6C2CBC19" w14:textId="77777777" w:rsidR="00297E46" w:rsidRPr="003E7EE5" w:rsidRDefault="00297E46" w:rsidP="0017312F">
            <w:pPr>
              <w:tabs>
                <w:tab w:val="left" w:pos="284"/>
              </w:tabs>
              <w:jc w:val="center"/>
              <w:rPr>
                <w:sz w:val="20"/>
                <w:szCs w:val="20"/>
              </w:rPr>
            </w:pPr>
            <w:r w:rsidRPr="003E7EE5">
              <w:rPr>
                <w:sz w:val="20"/>
                <w:szCs w:val="20"/>
              </w:rPr>
              <w:t>4.62</w:t>
            </w:r>
          </w:p>
        </w:tc>
        <w:tc>
          <w:tcPr>
            <w:tcW w:w="830" w:type="dxa"/>
            <w:shd w:val="clear" w:color="auto" w:fill="auto"/>
          </w:tcPr>
          <w:p w14:paraId="0B390BBD" w14:textId="77777777" w:rsidR="00297E46" w:rsidRPr="003E7EE5" w:rsidRDefault="00297E46" w:rsidP="0017312F">
            <w:pPr>
              <w:tabs>
                <w:tab w:val="left" w:pos="284"/>
              </w:tabs>
              <w:jc w:val="center"/>
              <w:rPr>
                <w:sz w:val="20"/>
                <w:szCs w:val="20"/>
              </w:rPr>
            </w:pPr>
            <w:r w:rsidRPr="003E7EE5">
              <w:rPr>
                <w:sz w:val="20"/>
                <w:szCs w:val="20"/>
              </w:rPr>
              <w:t>1.055</w:t>
            </w:r>
          </w:p>
        </w:tc>
        <w:tc>
          <w:tcPr>
            <w:tcW w:w="936" w:type="dxa"/>
            <w:shd w:val="clear" w:color="auto" w:fill="auto"/>
          </w:tcPr>
          <w:p w14:paraId="2684007E"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0.380</w:t>
            </w:r>
          </w:p>
        </w:tc>
        <w:tc>
          <w:tcPr>
            <w:tcW w:w="936" w:type="dxa"/>
            <w:shd w:val="clear" w:color="auto" w:fill="auto"/>
          </w:tcPr>
          <w:p w14:paraId="3113A968"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0.325</w:t>
            </w:r>
          </w:p>
        </w:tc>
        <w:tc>
          <w:tcPr>
            <w:tcW w:w="936" w:type="dxa"/>
            <w:shd w:val="clear" w:color="auto" w:fill="auto"/>
          </w:tcPr>
          <w:p w14:paraId="5A56C722"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0.399</w:t>
            </w:r>
          </w:p>
        </w:tc>
        <w:tc>
          <w:tcPr>
            <w:tcW w:w="936" w:type="dxa"/>
            <w:shd w:val="clear" w:color="auto" w:fill="auto"/>
          </w:tcPr>
          <w:p w14:paraId="4E2240B6" w14:textId="77777777" w:rsidR="00297E46" w:rsidRPr="003E7EE5" w:rsidRDefault="00297E46" w:rsidP="0017312F">
            <w:pPr>
              <w:tabs>
                <w:tab w:val="left" w:pos="284"/>
              </w:tabs>
              <w:jc w:val="center"/>
              <w:rPr>
                <w:i/>
                <w:sz w:val="20"/>
                <w:szCs w:val="20"/>
              </w:rPr>
            </w:pPr>
            <w:r w:rsidRPr="003E7EE5">
              <w:rPr>
                <w:i/>
                <w:sz w:val="20"/>
                <w:szCs w:val="20"/>
              </w:rPr>
              <w:t>0.766</w:t>
            </w:r>
          </w:p>
        </w:tc>
        <w:tc>
          <w:tcPr>
            <w:tcW w:w="759" w:type="dxa"/>
            <w:shd w:val="clear" w:color="auto" w:fill="auto"/>
          </w:tcPr>
          <w:p w14:paraId="13196C66" w14:textId="77777777" w:rsidR="00297E46" w:rsidRPr="003E7EE5" w:rsidRDefault="00297E46" w:rsidP="0017312F">
            <w:pPr>
              <w:tabs>
                <w:tab w:val="left" w:pos="284"/>
              </w:tabs>
              <w:jc w:val="center"/>
              <w:rPr>
                <w:sz w:val="20"/>
                <w:szCs w:val="20"/>
              </w:rPr>
            </w:pPr>
          </w:p>
        </w:tc>
        <w:tc>
          <w:tcPr>
            <w:tcW w:w="759" w:type="dxa"/>
            <w:shd w:val="clear" w:color="auto" w:fill="auto"/>
          </w:tcPr>
          <w:p w14:paraId="51603635" w14:textId="77777777" w:rsidR="00297E46" w:rsidRPr="003E7EE5" w:rsidRDefault="00297E46" w:rsidP="0017312F">
            <w:pPr>
              <w:tabs>
                <w:tab w:val="left" w:pos="284"/>
              </w:tabs>
              <w:jc w:val="center"/>
              <w:rPr>
                <w:sz w:val="20"/>
                <w:szCs w:val="20"/>
              </w:rPr>
            </w:pPr>
          </w:p>
        </w:tc>
      </w:tr>
      <w:tr w:rsidR="00297E46" w:rsidRPr="003E7EE5" w14:paraId="5381C9C4" w14:textId="77777777" w:rsidTr="000858C0">
        <w:trPr>
          <w:trHeight w:val="195"/>
        </w:trPr>
        <w:tc>
          <w:tcPr>
            <w:tcW w:w="1103" w:type="dxa"/>
            <w:shd w:val="clear" w:color="auto" w:fill="auto"/>
          </w:tcPr>
          <w:p w14:paraId="3F0E850B" w14:textId="77777777" w:rsidR="00297E46" w:rsidRPr="003E7EE5" w:rsidRDefault="00297E46" w:rsidP="0017312F">
            <w:pPr>
              <w:tabs>
                <w:tab w:val="left" w:pos="284"/>
              </w:tabs>
              <w:jc w:val="both"/>
              <w:rPr>
                <w:b/>
              </w:rPr>
            </w:pPr>
            <w:r w:rsidRPr="003E7EE5">
              <w:rPr>
                <w:b/>
                <w:sz w:val="20"/>
                <w:szCs w:val="20"/>
              </w:rPr>
              <w:t>5. FR</w:t>
            </w:r>
          </w:p>
        </w:tc>
        <w:tc>
          <w:tcPr>
            <w:tcW w:w="831" w:type="dxa"/>
            <w:shd w:val="clear" w:color="auto" w:fill="auto"/>
          </w:tcPr>
          <w:p w14:paraId="2B12E01F" w14:textId="77777777" w:rsidR="00297E46" w:rsidRPr="003E7EE5" w:rsidRDefault="00297E46" w:rsidP="0017312F">
            <w:pPr>
              <w:tabs>
                <w:tab w:val="left" w:pos="284"/>
              </w:tabs>
              <w:jc w:val="center"/>
              <w:rPr>
                <w:color w:val="FF0000"/>
                <w:sz w:val="20"/>
              </w:rPr>
            </w:pPr>
            <w:r w:rsidRPr="003E7EE5">
              <w:rPr>
                <w:color w:val="000000" w:themeColor="text1"/>
                <w:sz w:val="20"/>
              </w:rPr>
              <w:t>4.31</w:t>
            </w:r>
          </w:p>
        </w:tc>
        <w:tc>
          <w:tcPr>
            <w:tcW w:w="830" w:type="dxa"/>
            <w:shd w:val="clear" w:color="auto" w:fill="auto"/>
          </w:tcPr>
          <w:p w14:paraId="0E2CD909" w14:textId="77777777" w:rsidR="00297E46" w:rsidRPr="003E7EE5" w:rsidRDefault="00297E46" w:rsidP="0017312F">
            <w:pPr>
              <w:tabs>
                <w:tab w:val="left" w:pos="284"/>
              </w:tabs>
              <w:jc w:val="center"/>
              <w:rPr>
                <w:sz w:val="20"/>
              </w:rPr>
            </w:pPr>
            <w:r w:rsidRPr="003E7EE5">
              <w:rPr>
                <w:sz w:val="20"/>
              </w:rPr>
              <w:t>1.215</w:t>
            </w:r>
          </w:p>
        </w:tc>
        <w:tc>
          <w:tcPr>
            <w:tcW w:w="936" w:type="dxa"/>
            <w:shd w:val="clear" w:color="auto" w:fill="auto"/>
          </w:tcPr>
          <w:p w14:paraId="698EE497"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0.219</w:t>
            </w:r>
          </w:p>
        </w:tc>
        <w:tc>
          <w:tcPr>
            <w:tcW w:w="936" w:type="dxa"/>
            <w:shd w:val="clear" w:color="auto" w:fill="auto"/>
          </w:tcPr>
          <w:p w14:paraId="29E46925"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0.199</w:t>
            </w:r>
          </w:p>
        </w:tc>
        <w:tc>
          <w:tcPr>
            <w:tcW w:w="936" w:type="dxa"/>
            <w:shd w:val="clear" w:color="auto" w:fill="auto"/>
          </w:tcPr>
          <w:p w14:paraId="3AA286AF"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0.245</w:t>
            </w:r>
          </w:p>
        </w:tc>
        <w:tc>
          <w:tcPr>
            <w:tcW w:w="936" w:type="dxa"/>
            <w:shd w:val="clear" w:color="auto" w:fill="auto"/>
          </w:tcPr>
          <w:p w14:paraId="0815C40A" w14:textId="77777777" w:rsidR="00297E46" w:rsidRPr="003E7EE5" w:rsidRDefault="00297E46" w:rsidP="0017312F">
            <w:pPr>
              <w:tabs>
                <w:tab w:val="left" w:pos="284"/>
              </w:tabs>
              <w:jc w:val="center"/>
              <w:rPr>
                <w:sz w:val="20"/>
              </w:rPr>
            </w:pPr>
            <w:r w:rsidRPr="003E7EE5">
              <w:rPr>
                <w:sz w:val="20"/>
              </w:rPr>
              <w:t>0.657</w:t>
            </w:r>
          </w:p>
        </w:tc>
        <w:tc>
          <w:tcPr>
            <w:tcW w:w="759" w:type="dxa"/>
            <w:shd w:val="clear" w:color="auto" w:fill="auto"/>
          </w:tcPr>
          <w:p w14:paraId="460E6CA7" w14:textId="77777777" w:rsidR="00297E46" w:rsidRPr="003E7EE5" w:rsidRDefault="00297E46" w:rsidP="0017312F">
            <w:pPr>
              <w:tabs>
                <w:tab w:val="left" w:pos="284"/>
              </w:tabs>
              <w:jc w:val="center"/>
              <w:rPr>
                <w:i/>
                <w:sz w:val="20"/>
              </w:rPr>
            </w:pPr>
            <w:r w:rsidRPr="003E7EE5">
              <w:rPr>
                <w:i/>
                <w:sz w:val="20"/>
                <w:szCs w:val="20"/>
              </w:rPr>
              <w:t>0.866</w:t>
            </w:r>
          </w:p>
        </w:tc>
        <w:tc>
          <w:tcPr>
            <w:tcW w:w="759" w:type="dxa"/>
            <w:shd w:val="clear" w:color="auto" w:fill="auto"/>
          </w:tcPr>
          <w:p w14:paraId="326B2546" w14:textId="77777777" w:rsidR="00297E46" w:rsidRPr="003E7EE5" w:rsidRDefault="00297E46" w:rsidP="0017312F">
            <w:pPr>
              <w:tabs>
                <w:tab w:val="left" w:pos="284"/>
              </w:tabs>
              <w:jc w:val="center"/>
              <w:rPr>
                <w:i/>
                <w:sz w:val="20"/>
              </w:rPr>
            </w:pPr>
          </w:p>
        </w:tc>
      </w:tr>
      <w:tr w:rsidR="00297E46" w:rsidRPr="003E7EE5" w14:paraId="509F8F0E" w14:textId="77777777" w:rsidTr="000858C0">
        <w:trPr>
          <w:trHeight w:val="195"/>
        </w:trPr>
        <w:tc>
          <w:tcPr>
            <w:tcW w:w="1103" w:type="dxa"/>
            <w:shd w:val="clear" w:color="auto" w:fill="auto"/>
          </w:tcPr>
          <w:p w14:paraId="35264E27" w14:textId="77777777" w:rsidR="00297E46" w:rsidRPr="003E7EE5" w:rsidRDefault="00297E46" w:rsidP="0017312F">
            <w:pPr>
              <w:tabs>
                <w:tab w:val="left" w:pos="284"/>
              </w:tabs>
              <w:jc w:val="both"/>
              <w:rPr>
                <w:b/>
                <w:sz w:val="20"/>
                <w:szCs w:val="20"/>
              </w:rPr>
            </w:pPr>
            <w:r w:rsidRPr="003E7EE5">
              <w:rPr>
                <w:b/>
                <w:sz w:val="20"/>
                <w:szCs w:val="20"/>
              </w:rPr>
              <w:t>6. GMR</w:t>
            </w:r>
          </w:p>
        </w:tc>
        <w:tc>
          <w:tcPr>
            <w:tcW w:w="831" w:type="dxa"/>
            <w:shd w:val="clear" w:color="auto" w:fill="auto"/>
          </w:tcPr>
          <w:p w14:paraId="199101DE" w14:textId="77777777" w:rsidR="00297E46" w:rsidRPr="003E7EE5" w:rsidRDefault="00297E46" w:rsidP="0017312F">
            <w:pPr>
              <w:tabs>
                <w:tab w:val="left" w:pos="284"/>
              </w:tabs>
              <w:jc w:val="center"/>
              <w:rPr>
                <w:color w:val="000000" w:themeColor="text1"/>
                <w:sz w:val="20"/>
              </w:rPr>
            </w:pPr>
            <w:r w:rsidRPr="003E7EE5">
              <w:rPr>
                <w:color w:val="000000" w:themeColor="text1"/>
                <w:sz w:val="20"/>
                <w:szCs w:val="20"/>
              </w:rPr>
              <w:t>3.55</w:t>
            </w:r>
          </w:p>
        </w:tc>
        <w:tc>
          <w:tcPr>
            <w:tcW w:w="830" w:type="dxa"/>
            <w:shd w:val="clear" w:color="auto" w:fill="auto"/>
          </w:tcPr>
          <w:p w14:paraId="6B015100" w14:textId="77777777" w:rsidR="00297E46" w:rsidRPr="003E7EE5" w:rsidRDefault="00297E46" w:rsidP="0017312F">
            <w:pPr>
              <w:tabs>
                <w:tab w:val="left" w:pos="284"/>
              </w:tabs>
              <w:jc w:val="center"/>
              <w:rPr>
                <w:sz w:val="20"/>
              </w:rPr>
            </w:pPr>
            <w:r w:rsidRPr="003E7EE5">
              <w:rPr>
                <w:color w:val="000000" w:themeColor="text1"/>
                <w:sz w:val="20"/>
                <w:szCs w:val="20"/>
              </w:rPr>
              <w:t>1.380</w:t>
            </w:r>
          </w:p>
        </w:tc>
        <w:tc>
          <w:tcPr>
            <w:tcW w:w="936" w:type="dxa"/>
            <w:shd w:val="clear" w:color="auto" w:fill="auto"/>
          </w:tcPr>
          <w:p w14:paraId="2C8D6569"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0.592</w:t>
            </w:r>
          </w:p>
        </w:tc>
        <w:tc>
          <w:tcPr>
            <w:tcW w:w="936" w:type="dxa"/>
            <w:shd w:val="clear" w:color="auto" w:fill="auto"/>
          </w:tcPr>
          <w:p w14:paraId="47784316"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0.468</w:t>
            </w:r>
          </w:p>
        </w:tc>
        <w:tc>
          <w:tcPr>
            <w:tcW w:w="936" w:type="dxa"/>
            <w:shd w:val="clear" w:color="auto" w:fill="auto"/>
          </w:tcPr>
          <w:p w14:paraId="6BB289F1" w14:textId="77777777" w:rsidR="00297E46" w:rsidRPr="003E7EE5" w:rsidRDefault="00297E46" w:rsidP="0017312F">
            <w:pPr>
              <w:tabs>
                <w:tab w:val="left" w:pos="284"/>
              </w:tabs>
              <w:jc w:val="center"/>
              <w:rPr>
                <w:color w:val="000000" w:themeColor="text1"/>
                <w:sz w:val="20"/>
              </w:rPr>
            </w:pPr>
            <w:r w:rsidRPr="003E7EE5">
              <w:rPr>
                <w:color w:val="000000" w:themeColor="text1"/>
                <w:sz w:val="20"/>
              </w:rPr>
              <w:t>0.560</w:t>
            </w:r>
          </w:p>
        </w:tc>
        <w:tc>
          <w:tcPr>
            <w:tcW w:w="936" w:type="dxa"/>
            <w:shd w:val="clear" w:color="auto" w:fill="auto"/>
          </w:tcPr>
          <w:p w14:paraId="3B62D26B" w14:textId="77777777" w:rsidR="00297E46" w:rsidRPr="003E7EE5" w:rsidRDefault="00297E46" w:rsidP="0017312F">
            <w:pPr>
              <w:tabs>
                <w:tab w:val="left" w:pos="284"/>
              </w:tabs>
              <w:jc w:val="center"/>
              <w:rPr>
                <w:sz w:val="20"/>
              </w:rPr>
            </w:pPr>
            <w:r w:rsidRPr="003E7EE5">
              <w:rPr>
                <w:color w:val="000000" w:themeColor="text1"/>
                <w:sz w:val="20"/>
              </w:rPr>
              <w:t>0.512</w:t>
            </w:r>
          </w:p>
        </w:tc>
        <w:tc>
          <w:tcPr>
            <w:tcW w:w="759" w:type="dxa"/>
            <w:shd w:val="clear" w:color="auto" w:fill="auto"/>
          </w:tcPr>
          <w:p w14:paraId="592F340D" w14:textId="77777777" w:rsidR="00297E46" w:rsidRPr="003E7EE5" w:rsidRDefault="00297E46" w:rsidP="0017312F">
            <w:pPr>
              <w:tabs>
                <w:tab w:val="left" w:pos="284"/>
              </w:tabs>
              <w:jc w:val="center"/>
              <w:rPr>
                <w:i/>
                <w:sz w:val="20"/>
              </w:rPr>
            </w:pPr>
            <w:r w:rsidRPr="003E7EE5">
              <w:rPr>
                <w:color w:val="000000" w:themeColor="text1"/>
                <w:sz w:val="20"/>
              </w:rPr>
              <w:t>0.450</w:t>
            </w:r>
          </w:p>
        </w:tc>
        <w:tc>
          <w:tcPr>
            <w:tcW w:w="759" w:type="dxa"/>
            <w:shd w:val="clear" w:color="auto" w:fill="auto"/>
          </w:tcPr>
          <w:p w14:paraId="02ECC71F" w14:textId="77777777" w:rsidR="00297E46" w:rsidRPr="003E7EE5" w:rsidRDefault="00297E46" w:rsidP="0017312F">
            <w:pPr>
              <w:tabs>
                <w:tab w:val="left" w:pos="284"/>
              </w:tabs>
              <w:jc w:val="center"/>
              <w:rPr>
                <w:i/>
                <w:sz w:val="20"/>
              </w:rPr>
            </w:pPr>
            <w:r w:rsidRPr="003E7EE5">
              <w:rPr>
                <w:i/>
                <w:sz w:val="20"/>
              </w:rPr>
              <w:t>-</w:t>
            </w:r>
          </w:p>
        </w:tc>
      </w:tr>
    </w:tbl>
    <w:p w14:paraId="76279272" w14:textId="4F41EA5C" w:rsidR="00297E46" w:rsidRPr="003E7EE5" w:rsidRDefault="00297E46" w:rsidP="005E1791">
      <w:pPr>
        <w:widowControl w:val="0"/>
        <w:autoSpaceDE w:val="0"/>
        <w:autoSpaceDN w:val="0"/>
        <w:adjustRightInd w:val="0"/>
        <w:spacing w:before="120"/>
        <w:rPr>
          <w:sz w:val="18"/>
          <w:szCs w:val="18"/>
        </w:rPr>
      </w:pPr>
      <w:r w:rsidRPr="003E7EE5">
        <w:rPr>
          <w:sz w:val="18"/>
          <w:szCs w:val="18"/>
        </w:rPr>
        <w:t xml:space="preserve">Notes: Figures on the diagonal </w:t>
      </w:r>
      <w:r w:rsidR="00D73E69">
        <w:rPr>
          <w:sz w:val="18"/>
          <w:szCs w:val="18"/>
        </w:rPr>
        <w:t xml:space="preserve">are </w:t>
      </w:r>
      <w:r w:rsidRPr="003E7EE5">
        <w:rPr>
          <w:sz w:val="18"/>
          <w:szCs w:val="18"/>
        </w:rPr>
        <w:t xml:space="preserve">the square root of the </w:t>
      </w:r>
      <w:r w:rsidR="00E85B22">
        <w:rPr>
          <w:sz w:val="18"/>
          <w:szCs w:val="18"/>
        </w:rPr>
        <w:t xml:space="preserve">AVE </w:t>
      </w:r>
      <w:r w:rsidRPr="003E7EE5">
        <w:rPr>
          <w:sz w:val="18"/>
          <w:szCs w:val="18"/>
        </w:rPr>
        <w:t>of the respective construct.</w:t>
      </w:r>
      <w:r w:rsidR="00C11EB9">
        <w:rPr>
          <w:sz w:val="18"/>
          <w:szCs w:val="18"/>
        </w:rPr>
        <w:t xml:space="preserve"> CS = </w:t>
      </w:r>
      <w:r w:rsidR="00C11EB9" w:rsidRPr="00C11EB9">
        <w:rPr>
          <w:sz w:val="18"/>
          <w:szCs w:val="18"/>
        </w:rPr>
        <w:t>corporate sustainability</w:t>
      </w:r>
      <w:r w:rsidR="00C11EB9">
        <w:rPr>
          <w:sz w:val="18"/>
          <w:szCs w:val="18"/>
        </w:rPr>
        <w:t>; SSP = s</w:t>
      </w:r>
      <w:r w:rsidR="00C11EB9" w:rsidRPr="00C11EB9">
        <w:rPr>
          <w:sz w:val="18"/>
          <w:szCs w:val="18"/>
        </w:rPr>
        <w:t>takeholders’ sustainability pressure</w:t>
      </w:r>
      <w:r w:rsidR="00D73E69">
        <w:rPr>
          <w:sz w:val="18"/>
          <w:szCs w:val="18"/>
        </w:rPr>
        <w:t xml:space="preserve">. </w:t>
      </w:r>
      <w:r w:rsidRPr="003E7EE5">
        <w:rPr>
          <w:sz w:val="18"/>
          <w:szCs w:val="18"/>
        </w:rPr>
        <w:t>All correlations are significant at the 0.01 level.</w:t>
      </w:r>
    </w:p>
    <w:p w14:paraId="2F8D70AB" w14:textId="77777777" w:rsidR="00297E46" w:rsidRPr="003E7EE5" w:rsidRDefault="00297E46" w:rsidP="00297E46">
      <w:pPr>
        <w:outlineLvl w:val="0"/>
        <w:rPr>
          <w:i/>
          <w:color w:val="000000" w:themeColor="text1"/>
        </w:rPr>
      </w:pPr>
    </w:p>
    <w:p w14:paraId="7EB0C19D" w14:textId="77777777" w:rsidR="00297E46" w:rsidRPr="003E7EE5" w:rsidRDefault="00297E46" w:rsidP="00297E46">
      <w:pPr>
        <w:outlineLvl w:val="0"/>
        <w:rPr>
          <w:i/>
          <w:color w:val="000000" w:themeColor="text1"/>
        </w:rPr>
      </w:pPr>
    </w:p>
    <w:p w14:paraId="5B33581D" w14:textId="77777777" w:rsidR="00297E46" w:rsidRPr="003E7EE5" w:rsidRDefault="00297E46" w:rsidP="00297E46">
      <w:pPr>
        <w:outlineLvl w:val="0"/>
        <w:rPr>
          <w:i/>
          <w:color w:val="000000" w:themeColor="text1"/>
        </w:rPr>
      </w:pPr>
    </w:p>
    <w:p w14:paraId="6BC75EBA" w14:textId="77777777" w:rsidR="00297E46" w:rsidRPr="003E7EE5" w:rsidRDefault="00297E46" w:rsidP="00297E46">
      <w:pPr>
        <w:outlineLvl w:val="0"/>
        <w:rPr>
          <w:i/>
          <w:color w:val="000000" w:themeColor="text1"/>
        </w:rPr>
      </w:pPr>
    </w:p>
    <w:p w14:paraId="672A169F" w14:textId="25DB5E8F" w:rsidR="00297E46" w:rsidRPr="005E1791" w:rsidRDefault="00297E46" w:rsidP="00297E46">
      <w:pPr>
        <w:outlineLvl w:val="0"/>
        <w:rPr>
          <w:iCs/>
          <w:color w:val="000000" w:themeColor="text1"/>
        </w:rPr>
      </w:pPr>
      <w:r w:rsidRPr="005E1791">
        <w:rPr>
          <w:iCs/>
          <w:color w:val="000000" w:themeColor="text1"/>
        </w:rPr>
        <w:t>Table 4. Model estimation results</w:t>
      </w:r>
    </w:p>
    <w:p w14:paraId="54B2D1AA" w14:textId="77777777" w:rsidR="00297E46" w:rsidRPr="003E7EE5" w:rsidRDefault="00297E46" w:rsidP="00297E46">
      <w:pPr>
        <w:tabs>
          <w:tab w:val="left" w:pos="284"/>
        </w:tabs>
        <w:jc w:val="both"/>
        <w:rPr>
          <w:color w:val="000000" w:themeColor="text1"/>
          <w:sz w:val="20"/>
        </w:rPr>
      </w:pPr>
    </w:p>
    <w:tbl>
      <w:tblPr>
        <w:tblW w:w="9020" w:type="dxa"/>
        <w:tblLayout w:type="fixed"/>
        <w:tblLook w:val="04A0" w:firstRow="1" w:lastRow="0" w:firstColumn="1" w:lastColumn="0" w:noHBand="0" w:noVBand="1"/>
      </w:tblPr>
      <w:tblGrid>
        <w:gridCol w:w="3686"/>
        <w:gridCol w:w="283"/>
        <w:gridCol w:w="1276"/>
        <w:gridCol w:w="284"/>
        <w:gridCol w:w="1134"/>
        <w:gridCol w:w="1275"/>
        <w:gridCol w:w="1082"/>
      </w:tblGrid>
      <w:tr w:rsidR="00297E46" w:rsidRPr="003E7EE5" w14:paraId="3C2E88F4" w14:textId="77777777" w:rsidTr="00561EE0">
        <w:tc>
          <w:tcPr>
            <w:tcW w:w="3686" w:type="dxa"/>
            <w:tcBorders>
              <w:top w:val="single" w:sz="4" w:space="0" w:color="auto"/>
              <w:bottom w:val="single" w:sz="4" w:space="0" w:color="auto"/>
            </w:tcBorders>
          </w:tcPr>
          <w:p w14:paraId="6B2242EB"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Structural relationships</w:t>
            </w:r>
          </w:p>
        </w:tc>
        <w:tc>
          <w:tcPr>
            <w:tcW w:w="1559" w:type="dxa"/>
            <w:gridSpan w:val="2"/>
            <w:tcBorders>
              <w:top w:val="single" w:sz="4" w:space="0" w:color="auto"/>
              <w:bottom w:val="single" w:sz="4" w:space="0" w:color="auto"/>
            </w:tcBorders>
          </w:tcPr>
          <w:p w14:paraId="1C6E1B3F" w14:textId="75A634B5"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Path estimate</w:t>
            </w:r>
            <w:r w:rsidR="00667643">
              <w:rPr>
                <w:color w:val="000000" w:themeColor="text1"/>
                <w:sz w:val="20"/>
                <w:szCs w:val="20"/>
              </w:rPr>
              <w:t>s</w:t>
            </w:r>
          </w:p>
        </w:tc>
        <w:tc>
          <w:tcPr>
            <w:tcW w:w="1418" w:type="dxa"/>
            <w:gridSpan w:val="2"/>
            <w:tcBorders>
              <w:top w:val="single" w:sz="4" w:space="0" w:color="auto"/>
              <w:bottom w:val="single" w:sz="4" w:space="0" w:color="auto"/>
            </w:tcBorders>
          </w:tcPr>
          <w:p w14:paraId="47180CB0" w14:textId="438977B4"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t-value</w:t>
            </w:r>
            <w:r w:rsidR="00667643">
              <w:rPr>
                <w:color w:val="000000" w:themeColor="text1"/>
                <w:sz w:val="20"/>
                <w:szCs w:val="20"/>
              </w:rPr>
              <w:t>s</w:t>
            </w:r>
          </w:p>
        </w:tc>
        <w:tc>
          <w:tcPr>
            <w:tcW w:w="1275" w:type="dxa"/>
            <w:tcBorders>
              <w:top w:val="single" w:sz="4" w:space="0" w:color="auto"/>
              <w:bottom w:val="single" w:sz="4" w:space="0" w:color="auto"/>
            </w:tcBorders>
          </w:tcPr>
          <w:p w14:paraId="00AB9CC0" w14:textId="2EC89BD2" w:rsidR="00297E46" w:rsidRPr="003E7EE5" w:rsidRDefault="00297E46" w:rsidP="0017312F">
            <w:pPr>
              <w:tabs>
                <w:tab w:val="left" w:pos="284"/>
              </w:tabs>
              <w:rPr>
                <w:color w:val="000000" w:themeColor="text1"/>
                <w:sz w:val="20"/>
                <w:szCs w:val="20"/>
              </w:rPr>
            </w:pPr>
            <w:r w:rsidRPr="003E7EE5">
              <w:rPr>
                <w:color w:val="000000" w:themeColor="text1"/>
                <w:sz w:val="20"/>
                <w:szCs w:val="20"/>
              </w:rPr>
              <w:t>Hypothes</w:t>
            </w:r>
            <w:r w:rsidR="00667643">
              <w:rPr>
                <w:color w:val="000000" w:themeColor="text1"/>
                <w:sz w:val="20"/>
                <w:szCs w:val="20"/>
              </w:rPr>
              <w:t>e</w:t>
            </w:r>
            <w:r w:rsidRPr="003E7EE5">
              <w:rPr>
                <w:color w:val="000000" w:themeColor="text1"/>
                <w:sz w:val="20"/>
                <w:szCs w:val="20"/>
              </w:rPr>
              <w:t>s</w:t>
            </w:r>
          </w:p>
        </w:tc>
        <w:tc>
          <w:tcPr>
            <w:tcW w:w="1082" w:type="dxa"/>
            <w:tcBorders>
              <w:top w:val="single" w:sz="4" w:space="0" w:color="auto"/>
              <w:bottom w:val="single" w:sz="4" w:space="0" w:color="auto"/>
            </w:tcBorders>
          </w:tcPr>
          <w:p w14:paraId="52A918F0" w14:textId="4307DFFE"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Result</w:t>
            </w:r>
            <w:r w:rsidR="00667643">
              <w:rPr>
                <w:color w:val="000000" w:themeColor="text1"/>
                <w:sz w:val="20"/>
                <w:szCs w:val="20"/>
              </w:rPr>
              <w:t>s</w:t>
            </w:r>
          </w:p>
        </w:tc>
      </w:tr>
      <w:tr w:rsidR="00297E46" w:rsidRPr="003E7EE5" w14:paraId="6A605675" w14:textId="77777777" w:rsidTr="00561EE0">
        <w:tc>
          <w:tcPr>
            <w:tcW w:w="3686" w:type="dxa"/>
            <w:tcBorders>
              <w:top w:val="single" w:sz="4" w:space="0" w:color="auto"/>
              <w:bottom w:val="single" w:sz="4" w:space="0" w:color="auto"/>
            </w:tcBorders>
          </w:tcPr>
          <w:p w14:paraId="6048CECE" w14:textId="77777777" w:rsidR="00297E46" w:rsidRPr="003E7EE5" w:rsidRDefault="00297E46" w:rsidP="0017312F">
            <w:pPr>
              <w:tabs>
                <w:tab w:val="left" w:pos="284"/>
              </w:tabs>
              <w:rPr>
                <w:color w:val="000000" w:themeColor="text1"/>
                <w:sz w:val="20"/>
                <w:szCs w:val="20"/>
              </w:rPr>
            </w:pPr>
          </w:p>
        </w:tc>
        <w:tc>
          <w:tcPr>
            <w:tcW w:w="1559" w:type="dxa"/>
            <w:gridSpan w:val="2"/>
            <w:tcBorders>
              <w:top w:val="single" w:sz="4" w:space="0" w:color="auto"/>
              <w:bottom w:val="single" w:sz="4" w:space="0" w:color="auto"/>
            </w:tcBorders>
          </w:tcPr>
          <w:p w14:paraId="6432B0B1" w14:textId="77777777" w:rsidR="00297E46" w:rsidRPr="003E7EE5" w:rsidRDefault="00297E46" w:rsidP="0017312F">
            <w:pPr>
              <w:tabs>
                <w:tab w:val="left" w:pos="284"/>
              </w:tabs>
              <w:jc w:val="center"/>
              <w:rPr>
                <w:color w:val="000000" w:themeColor="text1"/>
                <w:sz w:val="20"/>
                <w:szCs w:val="20"/>
              </w:rPr>
            </w:pPr>
          </w:p>
        </w:tc>
        <w:tc>
          <w:tcPr>
            <w:tcW w:w="1418" w:type="dxa"/>
            <w:gridSpan w:val="2"/>
            <w:tcBorders>
              <w:top w:val="single" w:sz="4" w:space="0" w:color="auto"/>
              <w:bottom w:val="single" w:sz="4" w:space="0" w:color="auto"/>
            </w:tcBorders>
          </w:tcPr>
          <w:p w14:paraId="07B159CF" w14:textId="77777777" w:rsidR="00297E46" w:rsidRPr="003E7EE5" w:rsidRDefault="00297E46" w:rsidP="0017312F">
            <w:pPr>
              <w:tabs>
                <w:tab w:val="left" w:pos="284"/>
              </w:tabs>
              <w:jc w:val="center"/>
              <w:rPr>
                <w:color w:val="000000" w:themeColor="text1"/>
                <w:sz w:val="20"/>
                <w:szCs w:val="20"/>
              </w:rPr>
            </w:pPr>
          </w:p>
        </w:tc>
        <w:tc>
          <w:tcPr>
            <w:tcW w:w="1275" w:type="dxa"/>
            <w:tcBorders>
              <w:top w:val="single" w:sz="4" w:space="0" w:color="auto"/>
              <w:bottom w:val="single" w:sz="4" w:space="0" w:color="auto"/>
            </w:tcBorders>
          </w:tcPr>
          <w:p w14:paraId="39CF1611" w14:textId="77777777" w:rsidR="00297E46" w:rsidRPr="003E7EE5" w:rsidRDefault="00297E46" w:rsidP="0017312F">
            <w:pPr>
              <w:tabs>
                <w:tab w:val="left" w:pos="284"/>
              </w:tabs>
              <w:rPr>
                <w:color w:val="000000" w:themeColor="text1"/>
                <w:sz w:val="20"/>
                <w:szCs w:val="20"/>
              </w:rPr>
            </w:pPr>
          </w:p>
        </w:tc>
        <w:tc>
          <w:tcPr>
            <w:tcW w:w="1082" w:type="dxa"/>
            <w:tcBorders>
              <w:top w:val="single" w:sz="4" w:space="0" w:color="auto"/>
              <w:bottom w:val="single" w:sz="4" w:space="0" w:color="auto"/>
            </w:tcBorders>
          </w:tcPr>
          <w:p w14:paraId="588E6909" w14:textId="77777777" w:rsidR="00297E46" w:rsidRPr="003E7EE5" w:rsidRDefault="00297E46" w:rsidP="0017312F">
            <w:pPr>
              <w:tabs>
                <w:tab w:val="left" w:pos="284"/>
              </w:tabs>
              <w:jc w:val="center"/>
              <w:rPr>
                <w:color w:val="000000" w:themeColor="text1"/>
                <w:sz w:val="20"/>
                <w:szCs w:val="20"/>
              </w:rPr>
            </w:pPr>
          </w:p>
        </w:tc>
      </w:tr>
      <w:tr w:rsidR="00297E46" w:rsidRPr="003E7EE5" w14:paraId="5995DF95" w14:textId="77777777" w:rsidTr="00561EE0">
        <w:tc>
          <w:tcPr>
            <w:tcW w:w="3686" w:type="dxa"/>
            <w:tcBorders>
              <w:top w:val="single" w:sz="4" w:space="0" w:color="auto"/>
            </w:tcBorders>
          </w:tcPr>
          <w:p w14:paraId="0CE1BEB1" w14:textId="77777777" w:rsidR="00297E46" w:rsidRPr="003E7EE5" w:rsidRDefault="00297E46" w:rsidP="0017312F">
            <w:pPr>
              <w:tabs>
                <w:tab w:val="left" w:pos="284"/>
              </w:tabs>
              <w:jc w:val="both"/>
              <w:rPr>
                <w:i/>
                <w:color w:val="000000" w:themeColor="text1"/>
                <w:sz w:val="20"/>
                <w:szCs w:val="20"/>
              </w:rPr>
            </w:pPr>
            <w:r w:rsidRPr="003E7EE5">
              <w:rPr>
                <w:i/>
                <w:color w:val="000000" w:themeColor="text1"/>
                <w:sz w:val="20"/>
                <w:szCs w:val="20"/>
              </w:rPr>
              <w:t>Hypothesized paths</w:t>
            </w:r>
          </w:p>
        </w:tc>
        <w:tc>
          <w:tcPr>
            <w:tcW w:w="1559" w:type="dxa"/>
            <w:gridSpan w:val="2"/>
            <w:tcBorders>
              <w:top w:val="single" w:sz="4" w:space="0" w:color="auto"/>
            </w:tcBorders>
          </w:tcPr>
          <w:p w14:paraId="4B5D4D43" w14:textId="77777777" w:rsidR="00297E46" w:rsidRPr="003E7EE5" w:rsidRDefault="00297E46" w:rsidP="0017312F">
            <w:pPr>
              <w:tabs>
                <w:tab w:val="left" w:pos="284"/>
              </w:tabs>
              <w:jc w:val="center"/>
              <w:rPr>
                <w:color w:val="000000" w:themeColor="text1"/>
                <w:sz w:val="20"/>
                <w:szCs w:val="20"/>
              </w:rPr>
            </w:pPr>
          </w:p>
        </w:tc>
        <w:tc>
          <w:tcPr>
            <w:tcW w:w="1418" w:type="dxa"/>
            <w:gridSpan w:val="2"/>
            <w:tcBorders>
              <w:top w:val="single" w:sz="4" w:space="0" w:color="auto"/>
            </w:tcBorders>
          </w:tcPr>
          <w:p w14:paraId="5569EFAF" w14:textId="77777777" w:rsidR="00297E46" w:rsidRPr="003E7EE5" w:rsidRDefault="00297E46" w:rsidP="0017312F">
            <w:pPr>
              <w:tabs>
                <w:tab w:val="left" w:pos="284"/>
              </w:tabs>
              <w:jc w:val="center"/>
              <w:rPr>
                <w:color w:val="000000" w:themeColor="text1"/>
                <w:sz w:val="20"/>
                <w:szCs w:val="20"/>
              </w:rPr>
            </w:pPr>
          </w:p>
        </w:tc>
        <w:tc>
          <w:tcPr>
            <w:tcW w:w="1275" w:type="dxa"/>
            <w:tcBorders>
              <w:top w:val="single" w:sz="4" w:space="0" w:color="auto"/>
            </w:tcBorders>
          </w:tcPr>
          <w:p w14:paraId="5C1CFF70" w14:textId="77777777" w:rsidR="00297E46" w:rsidRPr="003E7EE5" w:rsidRDefault="00297E46" w:rsidP="0017312F">
            <w:pPr>
              <w:tabs>
                <w:tab w:val="left" w:pos="284"/>
              </w:tabs>
              <w:jc w:val="center"/>
              <w:rPr>
                <w:color w:val="000000" w:themeColor="text1"/>
                <w:sz w:val="20"/>
                <w:szCs w:val="20"/>
              </w:rPr>
            </w:pPr>
          </w:p>
        </w:tc>
        <w:tc>
          <w:tcPr>
            <w:tcW w:w="1082" w:type="dxa"/>
            <w:tcBorders>
              <w:top w:val="single" w:sz="4" w:space="0" w:color="auto"/>
            </w:tcBorders>
          </w:tcPr>
          <w:p w14:paraId="5F8056FC" w14:textId="77777777" w:rsidR="00297E46" w:rsidRPr="003E7EE5" w:rsidRDefault="00297E46" w:rsidP="0017312F">
            <w:pPr>
              <w:tabs>
                <w:tab w:val="left" w:pos="284"/>
              </w:tabs>
              <w:jc w:val="center"/>
              <w:rPr>
                <w:color w:val="000000" w:themeColor="text1"/>
                <w:sz w:val="20"/>
                <w:szCs w:val="20"/>
              </w:rPr>
            </w:pPr>
          </w:p>
        </w:tc>
      </w:tr>
      <w:tr w:rsidR="00297E46" w:rsidRPr="003E7EE5" w14:paraId="4D256A4F" w14:textId="77777777" w:rsidTr="00561EE0">
        <w:tc>
          <w:tcPr>
            <w:tcW w:w="3686" w:type="dxa"/>
          </w:tcPr>
          <w:p w14:paraId="65AF2F64" w14:textId="77777777"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CS </w:t>
            </w:r>
            <w:r w:rsidRPr="003E7EE5">
              <w:rPr>
                <w:color w:val="000000" w:themeColor="text1"/>
                <w:sz w:val="20"/>
                <w:szCs w:val="20"/>
              </w:rPr>
              <w:sym w:font="Wingdings" w:char="F0E0"/>
            </w:r>
            <w:r w:rsidRPr="003E7EE5">
              <w:rPr>
                <w:color w:val="000000" w:themeColor="text1"/>
                <w:sz w:val="20"/>
                <w:szCs w:val="20"/>
              </w:rPr>
              <w:t xml:space="preserve"> GMS</w:t>
            </w:r>
          </w:p>
        </w:tc>
        <w:tc>
          <w:tcPr>
            <w:tcW w:w="283" w:type="dxa"/>
          </w:tcPr>
          <w:p w14:paraId="0CBA0E7C" w14:textId="77777777" w:rsidR="00297E46" w:rsidRPr="003E7EE5" w:rsidRDefault="00297E46" w:rsidP="0017312F">
            <w:pPr>
              <w:tabs>
                <w:tab w:val="left" w:pos="284"/>
              </w:tabs>
              <w:jc w:val="center"/>
              <w:rPr>
                <w:color w:val="000000" w:themeColor="text1"/>
                <w:sz w:val="20"/>
                <w:szCs w:val="20"/>
              </w:rPr>
            </w:pPr>
          </w:p>
        </w:tc>
        <w:tc>
          <w:tcPr>
            <w:tcW w:w="1276" w:type="dxa"/>
            <w:vAlign w:val="center"/>
          </w:tcPr>
          <w:p w14:paraId="58CA67E3"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0.714</w:t>
            </w:r>
          </w:p>
        </w:tc>
        <w:tc>
          <w:tcPr>
            <w:tcW w:w="284" w:type="dxa"/>
            <w:vAlign w:val="center"/>
          </w:tcPr>
          <w:p w14:paraId="68005C2F" w14:textId="77777777" w:rsidR="00297E46" w:rsidRPr="003E7EE5" w:rsidRDefault="00297E46" w:rsidP="0017312F">
            <w:pPr>
              <w:tabs>
                <w:tab w:val="left" w:pos="284"/>
              </w:tabs>
              <w:rPr>
                <w:color w:val="000000" w:themeColor="text1"/>
                <w:sz w:val="20"/>
                <w:szCs w:val="20"/>
              </w:rPr>
            </w:pPr>
          </w:p>
        </w:tc>
        <w:tc>
          <w:tcPr>
            <w:tcW w:w="1134" w:type="dxa"/>
            <w:vAlign w:val="center"/>
          </w:tcPr>
          <w:p w14:paraId="70DD666A"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9.718***</w:t>
            </w:r>
          </w:p>
        </w:tc>
        <w:tc>
          <w:tcPr>
            <w:tcW w:w="1275" w:type="dxa"/>
          </w:tcPr>
          <w:p w14:paraId="78AEED8F" w14:textId="77777777" w:rsidR="00297E46" w:rsidRPr="003E7EE5" w:rsidRDefault="00297E46" w:rsidP="0017312F">
            <w:pPr>
              <w:tabs>
                <w:tab w:val="left" w:pos="284"/>
              </w:tabs>
              <w:rPr>
                <w:sz w:val="20"/>
                <w:szCs w:val="20"/>
              </w:rPr>
            </w:pPr>
            <w:r w:rsidRPr="003E7EE5">
              <w:rPr>
                <w:sz w:val="20"/>
                <w:szCs w:val="20"/>
              </w:rPr>
              <w:t>H1 (+)</w:t>
            </w:r>
          </w:p>
        </w:tc>
        <w:tc>
          <w:tcPr>
            <w:tcW w:w="1082" w:type="dxa"/>
          </w:tcPr>
          <w:p w14:paraId="69DC8D4B"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Support</w:t>
            </w:r>
          </w:p>
        </w:tc>
      </w:tr>
      <w:tr w:rsidR="00297E46" w:rsidRPr="003E7EE5" w14:paraId="3EBCDFA7" w14:textId="77777777" w:rsidTr="00561EE0">
        <w:trPr>
          <w:trHeight w:val="199"/>
        </w:trPr>
        <w:tc>
          <w:tcPr>
            <w:tcW w:w="3686" w:type="dxa"/>
          </w:tcPr>
          <w:p w14:paraId="2F6C4067" w14:textId="77777777"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SSP </w:t>
            </w:r>
            <w:r w:rsidRPr="003E7EE5">
              <w:rPr>
                <w:color w:val="000000" w:themeColor="text1"/>
                <w:sz w:val="20"/>
                <w:szCs w:val="20"/>
              </w:rPr>
              <w:sym w:font="Wingdings" w:char="F0E0"/>
            </w:r>
            <w:r w:rsidRPr="003E7EE5">
              <w:rPr>
                <w:color w:val="000000" w:themeColor="text1"/>
                <w:sz w:val="20"/>
                <w:szCs w:val="20"/>
              </w:rPr>
              <w:t xml:space="preserve"> GMS</w:t>
            </w:r>
          </w:p>
        </w:tc>
        <w:tc>
          <w:tcPr>
            <w:tcW w:w="283" w:type="dxa"/>
          </w:tcPr>
          <w:p w14:paraId="66EF71E1" w14:textId="77777777" w:rsidR="00297E46" w:rsidRPr="003E7EE5" w:rsidRDefault="00297E46" w:rsidP="0017312F">
            <w:pPr>
              <w:tabs>
                <w:tab w:val="left" w:pos="284"/>
              </w:tabs>
              <w:jc w:val="center"/>
              <w:rPr>
                <w:color w:val="000000" w:themeColor="text1"/>
                <w:sz w:val="20"/>
                <w:szCs w:val="20"/>
              </w:rPr>
            </w:pPr>
          </w:p>
        </w:tc>
        <w:tc>
          <w:tcPr>
            <w:tcW w:w="1276" w:type="dxa"/>
            <w:vAlign w:val="center"/>
          </w:tcPr>
          <w:p w14:paraId="0AF0A300"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0.233</w:t>
            </w:r>
          </w:p>
        </w:tc>
        <w:tc>
          <w:tcPr>
            <w:tcW w:w="284" w:type="dxa"/>
            <w:vAlign w:val="center"/>
          </w:tcPr>
          <w:p w14:paraId="4CA9FDCF" w14:textId="77777777" w:rsidR="00297E46" w:rsidRPr="003E7EE5" w:rsidRDefault="00297E46" w:rsidP="0017312F">
            <w:pPr>
              <w:tabs>
                <w:tab w:val="left" w:pos="284"/>
              </w:tabs>
              <w:rPr>
                <w:color w:val="000000" w:themeColor="text1"/>
                <w:sz w:val="20"/>
                <w:szCs w:val="20"/>
              </w:rPr>
            </w:pPr>
          </w:p>
        </w:tc>
        <w:tc>
          <w:tcPr>
            <w:tcW w:w="1134" w:type="dxa"/>
            <w:vAlign w:val="center"/>
          </w:tcPr>
          <w:p w14:paraId="307ABAA1"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3.098**</w:t>
            </w:r>
          </w:p>
        </w:tc>
        <w:tc>
          <w:tcPr>
            <w:tcW w:w="1275" w:type="dxa"/>
          </w:tcPr>
          <w:p w14:paraId="6F567074" w14:textId="77777777" w:rsidR="00297E46" w:rsidRPr="003E7EE5" w:rsidRDefault="00297E46" w:rsidP="0017312F">
            <w:pPr>
              <w:tabs>
                <w:tab w:val="left" w:pos="284"/>
              </w:tabs>
              <w:rPr>
                <w:sz w:val="20"/>
                <w:szCs w:val="20"/>
              </w:rPr>
            </w:pPr>
            <w:r w:rsidRPr="003E7EE5">
              <w:rPr>
                <w:sz w:val="20"/>
                <w:szCs w:val="20"/>
              </w:rPr>
              <w:t>H2 (+)</w:t>
            </w:r>
          </w:p>
        </w:tc>
        <w:tc>
          <w:tcPr>
            <w:tcW w:w="1082" w:type="dxa"/>
          </w:tcPr>
          <w:p w14:paraId="6224F44C"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Support</w:t>
            </w:r>
          </w:p>
        </w:tc>
      </w:tr>
      <w:tr w:rsidR="00297E46" w:rsidRPr="003E7EE5" w14:paraId="0EB94D83" w14:textId="77777777" w:rsidTr="00561EE0">
        <w:trPr>
          <w:trHeight w:val="199"/>
        </w:trPr>
        <w:tc>
          <w:tcPr>
            <w:tcW w:w="3686" w:type="dxa"/>
          </w:tcPr>
          <w:p w14:paraId="6EDCCD8D" w14:textId="77777777"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GMS</w:t>
            </w:r>
            <w:r w:rsidRPr="003E7EE5">
              <w:rPr>
                <w:color w:val="000000" w:themeColor="text1"/>
                <w:sz w:val="20"/>
                <w:szCs w:val="20"/>
              </w:rPr>
              <w:sym w:font="Wingdings" w:char="F0E0"/>
            </w:r>
            <w:r w:rsidRPr="003E7EE5">
              <w:rPr>
                <w:color w:val="000000" w:themeColor="text1"/>
                <w:sz w:val="20"/>
                <w:szCs w:val="20"/>
              </w:rPr>
              <w:t xml:space="preserve"> OR </w:t>
            </w:r>
          </w:p>
        </w:tc>
        <w:tc>
          <w:tcPr>
            <w:tcW w:w="283" w:type="dxa"/>
          </w:tcPr>
          <w:p w14:paraId="27C689CB" w14:textId="77777777" w:rsidR="00297E46" w:rsidRPr="003E7EE5" w:rsidRDefault="00297E46" w:rsidP="0017312F">
            <w:pPr>
              <w:tabs>
                <w:tab w:val="left" w:pos="284"/>
              </w:tabs>
              <w:jc w:val="center"/>
              <w:rPr>
                <w:color w:val="000000" w:themeColor="text1"/>
                <w:sz w:val="20"/>
                <w:szCs w:val="20"/>
              </w:rPr>
            </w:pPr>
          </w:p>
        </w:tc>
        <w:tc>
          <w:tcPr>
            <w:tcW w:w="1276" w:type="dxa"/>
            <w:vAlign w:val="center"/>
          </w:tcPr>
          <w:p w14:paraId="06A0F60F"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0.445</w:t>
            </w:r>
          </w:p>
        </w:tc>
        <w:tc>
          <w:tcPr>
            <w:tcW w:w="284" w:type="dxa"/>
            <w:vAlign w:val="center"/>
          </w:tcPr>
          <w:p w14:paraId="680C5199" w14:textId="77777777" w:rsidR="00297E46" w:rsidRPr="003E7EE5" w:rsidRDefault="00297E46" w:rsidP="0017312F">
            <w:pPr>
              <w:tabs>
                <w:tab w:val="left" w:pos="284"/>
              </w:tabs>
              <w:rPr>
                <w:color w:val="000000" w:themeColor="text1"/>
                <w:sz w:val="20"/>
                <w:szCs w:val="20"/>
              </w:rPr>
            </w:pPr>
          </w:p>
        </w:tc>
        <w:tc>
          <w:tcPr>
            <w:tcW w:w="1134" w:type="dxa"/>
            <w:vAlign w:val="center"/>
          </w:tcPr>
          <w:p w14:paraId="3BA3449B"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2.554**</w:t>
            </w:r>
          </w:p>
        </w:tc>
        <w:tc>
          <w:tcPr>
            <w:tcW w:w="1275" w:type="dxa"/>
          </w:tcPr>
          <w:p w14:paraId="018BC8FA" w14:textId="77777777" w:rsidR="00297E46" w:rsidRPr="003E7EE5" w:rsidRDefault="00297E46" w:rsidP="0017312F">
            <w:pPr>
              <w:tabs>
                <w:tab w:val="left" w:pos="284"/>
              </w:tabs>
              <w:rPr>
                <w:sz w:val="20"/>
                <w:szCs w:val="20"/>
              </w:rPr>
            </w:pPr>
            <w:r w:rsidRPr="003E7EE5">
              <w:rPr>
                <w:sz w:val="20"/>
                <w:szCs w:val="20"/>
              </w:rPr>
              <w:t>H3 (+)</w:t>
            </w:r>
          </w:p>
        </w:tc>
        <w:tc>
          <w:tcPr>
            <w:tcW w:w="1082" w:type="dxa"/>
          </w:tcPr>
          <w:p w14:paraId="6AA9CA0D"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Support</w:t>
            </w:r>
          </w:p>
        </w:tc>
      </w:tr>
      <w:tr w:rsidR="00297E46" w:rsidRPr="003E7EE5" w14:paraId="70C44D85" w14:textId="77777777" w:rsidTr="00561EE0">
        <w:trPr>
          <w:trHeight w:val="199"/>
        </w:trPr>
        <w:tc>
          <w:tcPr>
            <w:tcW w:w="3686" w:type="dxa"/>
          </w:tcPr>
          <w:p w14:paraId="75DF5209" w14:textId="77777777"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GMS</w:t>
            </w:r>
            <w:r w:rsidRPr="003E7EE5">
              <w:rPr>
                <w:color w:val="000000" w:themeColor="text1"/>
                <w:sz w:val="20"/>
                <w:szCs w:val="20"/>
              </w:rPr>
              <w:sym w:font="Wingdings" w:char="F0E0"/>
            </w:r>
            <w:r w:rsidRPr="003E7EE5">
              <w:rPr>
                <w:color w:val="000000" w:themeColor="text1"/>
                <w:sz w:val="20"/>
                <w:szCs w:val="20"/>
              </w:rPr>
              <w:t xml:space="preserve"> FR </w:t>
            </w:r>
          </w:p>
        </w:tc>
        <w:tc>
          <w:tcPr>
            <w:tcW w:w="283" w:type="dxa"/>
          </w:tcPr>
          <w:p w14:paraId="135B0CFF" w14:textId="77777777" w:rsidR="00297E46" w:rsidRPr="003E7EE5" w:rsidRDefault="00297E46" w:rsidP="0017312F">
            <w:pPr>
              <w:tabs>
                <w:tab w:val="left" w:pos="284"/>
              </w:tabs>
              <w:jc w:val="center"/>
              <w:rPr>
                <w:color w:val="000000" w:themeColor="text1"/>
                <w:sz w:val="20"/>
                <w:szCs w:val="20"/>
              </w:rPr>
            </w:pPr>
          </w:p>
        </w:tc>
        <w:tc>
          <w:tcPr>
            <w:tcW w:w="1276" w:type="dxa"/>
            <w:vAlign w:val="center"/>
          </w:tcPr>
          <w:p w14:paraId="270E5181"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0.469</w:t>
            </w:r>
          </w:p>
        </w:tc>
        <w:tc>
          <w:tcPr>
            <w:tcW w:w="284" w:type="dxa"/>
            <w:vAlign w:val="center"/>
          </w:tcPr>
          <w:p w14:paraId="6B59848C" w14:textId="77777777" w:rsidR="00297E46" w:rsidRPr="003E7EE5" w:rsidRDefault="00297E46" w:rsidP="0017312F">
            <w:pPr>
              <w:tabs>
                <w:tab w:val="left" w:pos="284"/>
              </w:tabs>
              <w:rPr>
                <w:color w:val="000000" w:themeColor="text1"/>
                <w:sz w:val="20"/>
                <w:szCs w:val="20"/>
              </w:rPr>
            </w:pPr>
          </w:p>
        </w:tc>
        <w:tc>
          <w:tcPr>
            <w:tcW w:w="1134" w:type="dxa"/>
            <w:vAlign w:val="center"/>
          </w:tcPr>
          <w:p w14:paraId="643EE206"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2.713**</w:t>
            </w:r>
          </w:p>
        </w:tc>
        <w:tc>
          <w:tcPr>
            <w:tcW w:w="1275" w:type="dxa"/>
          </w:tcPr>
          <w:p w14:paraId="5B71E110" w14:textId="77777777" w:rsidR="00297E46" w:rsidRPr="003E7EE5" w:rsidRDefault="00297E46" w:rsidP="0017312F">
            <w:pPr>
              <w:tabs>
                <w:tab w:val="left" w:pos="284"/>
              </w:tabs>
              <w:rPr>
                <w:sz w:val="20"/>
                <w:szCs w:val="20"/>
              </w:rPr>
            </w:pPr>
            <w:r w:rsidRPr="003E7EE5">
              <w:rPr>
                <w:sz w:val="20"/>
                <w:szCs w:val="20"/>
              </w:rPr>
              <w:t>H4 (+)</w:t>
            </w:r>
          </w:p>
        </w:tc>
        <w:tc>
          <w:tcPr>
            <w:tcW w:w="1082" w:type="dxa"/>
          </w:tcPr>
          <w:p w14:paraId="3AD3F755"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Support</w:t>
            </w:r>
          </w:p>
        </w:tc>
      </w:tr>
      <w:tr w:rsidR="00297E46" w:rsidRPr="003E7EE5" w14:paraId="5144A4C6" w14:textId="77777777" w:rsidTr="00561EE0">
        <w:tc>
          <w:tcPr>
            <w:tcW w:w="3686" w:type="dxa"/>
          </w:tcPr>
          <w:p w14:paraId="35DED8C2" w14:textId="610E9D4E"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GMS </w:t>
            </w:r>
            <w:r w:rsidR="00470A3D">
              <w:rPr>
                <w:color w:val="000000" w:themeColor="text1"/>
                <w:sz w:val="20"/>
                <w:szCs w:val="20"/>
              </w:rPr>
              <w:t>×</w:t>
            </w:r>
            <w:r w:rsidRPr="003E7EE5">
              <w:rPr>
                <w:color w:val="000000" w:themeColor="text1"/>
                <w:sz w:val="20"/>
                <w:szCs w:val="20"/>
              </w:rPr>
              <w:t xml:space="preserve"> GMR </w:t>
            </w:r>
            <w:r w:rsidRPr="003E7EE5">
              <w:rPr>
                <w:color w:val="000000" w:themeColor="text1"/>
                <w:sz w:val="20"/>
                <w:szCs w:val="20"/>
              </w:rPr>
              <w:sym w:font="Wingdings" w:char="F0E0"/>
            </w:r>
            <w:r w:rsidRPr="003E7EE5">
              <w:rPr>
                <w:color w:val="000000" w:themeColor="text1"/>
                <w:sz w:val="20"/>
                <w:szCs w:val="20"/>
              </w:rPr>
              <w:t xml:space="preserve"> OR</w:t>
            </w:r>
          </w:p>
        </w:tc>
        <w:tc>
          <w:tcPr>
            <w:tcW w:w="283" w:type="dxa"/>
          </w:tcPr>
          <w:p w14:paraId="412E649E" w14:textId="77777777" w:rsidR="00297E46" w:rsidRPr="003E7EE5" w:rsidRDefault="00297E46" w:rsidP="0017312F">
            <w:pPr>
              <w:tabs>
                <w:tab w:val="left" w:pos="284"/>
              </w:tabs>
              <w:jc w:val="center"/>
              <w:rPr>
                <w:color w:val="000000" w:themeColor="text1"/>
                <w:sz w:val="20"/>
                <w:szCs w:val="20"/>
              </w:rPr>
            </w:pPr>
          </w:p>
        </w:tc>
        <w:tc>
          <w:tcPr>
            <w:tcW w:w="1276" w:type="dxa"/>
            <w:vAlign w:val="center"/>
          </w:tcPr>
          <w:p w14:paraId="2BD6C895"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0.137</w:t>
            </w:r>
          </w:p>
        </w:tc>
        <w:tc>
          <w:tcPr>
            <w:tcW w:w="284" w:type="dxa"/>
            <w:vAlign w:val="center"/>
          </w:tcPr>
          <w:p w14:paraId="69D9C508" w14:textId="77777777" w:rsidR="00297E46" w:rsidRPr="003E7EE5" w:rsidRDefault="00297E46" w:rsidP="0017312F">
            <w:pPr>
              <w:tabs>
                <w:tab w:val="left" w:pos="284"/>
              </w:tabs>
              <w:rPr>
                <w:color w:val="000000" w:themeColor="text1"/>
                <w:sz w:val="20"/>
                <w:szCs w:val="20"/>
              </w:rPr>
            </w:pPr>
          </w:p>
        </w:tc>
        <w:tc>
          <w:tcPr>
            <w:tcW w:w="1134" w:type="dxa"/>
            <w:vAlign w:val="center"/>
          </w:tcPr>
          <w:p w14:paraId="6268B9FE"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2.124*</w:t>
            </w:r>
          </w:p>
        </w:tc>
        <w:tc>
          <w:tcPr>
            <w:tcW w:w="1275" w:type="dxa"/>
          </w:tcPr>
          <w:p w14:paraId="66B4294D" w14:textId="77777777" w:rsidR="00297E46" w:rsidRPr="003E7EE5" w:rsidRDefault="00297E46" w:rsidP="0017312F">
            <w:pPr>
              <w:tabs>
                <w:tab w:val="left" w:pos="284"/>
              </w:tabs>
              <w:rPr>
                <w:sz w:val="20"/>
                <w:szCs w:val="20"/>
              </w:rPr>
            </w:pPr>
            <w:r w:rsidRPr="003E7EE5">
              <w:rPr>
                <w:sz w:val="20"/>
                <w:szCs w:val="20"/>
              </w:rPr>
              <w:t>H6a (+)</w:t>
            </w:r>
          </w:p>
        </w:tc>
        <w:tc>
          <w:tcPr>
            <w:tcW w:w="1082" w:type="dxa"/>
          </w:tcPr>
          <w:p w14:paraId="28A15B9F"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Support</w:t>
            </w:r>
          </w:p>
        </w:tc>
      </w:tr>
      <w:tr w:rsidR="00297E46" w:rsidRPr="003E7EE5" w14:paraId="7D8EBD6F" w14:textId="77777777" w:rsidTr="00561EE0">
        <w:tc>
          <w:tcPr>
            <w:tcW w:w="3686" w:type="dxa"/>
          </w:tcPr>
          <w:p w14:paraId="51721ABE" w14:textId="08B5A742"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GMS </w:t>
            </w:r>
            <w:r w:rsidR="00470A3D">
              <w:rPr>
                <w:color w:val="000000" w:themeColor="text1"/>
                <w:sz w:val="20"/>
                <w:szCs w:val="20"/>
              </w:rPr>
              <w:t>×</w:t>
            </w:r>
            <w:r w:rsidRPr="003E7EE5">
              <w:rPr>
                <w:color w:val="000000" w:themeColor="text1"/>
                <w:sz w:val="20"/>
                <w:szCs w:val="20"/>
              </w:rPr>
              <w:t xml:space="preserve"> GMR </w:t>
            </w:r>
            <w:r w:rsidRPr="003E7EE5">
              <w:rPr>
                <w:color w:val="000000" w:themeColor="text1"/>
                <w:sz w:val="20"/>
                <w:szCs w:val="20"/>
              </w:rPr>
              <w:sym w:font="Wingdings" w:char="F0E0"/>
            </w:r>
            <w:r w:rsidRPr="003E7EE5">
              <w:rPr>
                <w:color w:val="000000" w:themeColor="text1"/>
                <w:sz w:val="20"/>
                <w:szCs w:val="20"/>
              </w:rPr>
              <w:t xml:space="preserve"> FR</w:t>
            </w:r>
          </w:p>
        </w:tc>
        <w:tc>
          <w:tcPr>
            <w:tcW w:w="283" w:type="dxa"/>
          </w:tcPr>
          <w:p w14:paraId="2178CA8F" w14:textId="77777777" w:rsidR="00297E46" w:rsidRPr="003E7EE5" w:rsidRDefault="00297E46" w:rsidP="0017312F">
            <w:pPr>
              <w:tabs>
                <w:tab w:val="left" w:pos="284"/>
              </w:tabs>
              <w:jc w:val="center"/>
              <w:rPr>
                <w:color w:val="000000" w:themeColor="text1"/>
                <w:sz w:val="20"/>
                <w:szCs w:val="20"/>
              </w:rPr>
            </w:pPr>
          </w:p>
        </w:tc>
        <w:tc>
          <w:tcPr>
            <w:tcW w:w="1276" w:type="dxa"/>
            <w:vAlign w:val="center"/>
          </w:tcPr>
          <w:p w14:paraId="31FF9A21"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0.159</w:t>
            </w:r>
          </w:p>
        </w:tc>
        <w:tc>
          <w:tcPr>
            <w:tcW w:w="284" w:type="dxa"/>
            <w:vAlign w:val="center"/>
          </w:tcPr>
          <w:p w14:paraId="35C8B716" w14:textId="77777777" w:rsidR="00297E46" w:rsidRPr="003E7EE5" w:rsidRDefault="00297E46" w:rsidP="0017312F">
            <w:pPr>
              <w:tabs>
                <w:tab w:val="left" w:pos="284"/>
              </w:tabs>
              <w:rPr>
                <w:color w:val="000000" w:themeColor="text1"/>
                <w:sz w:val="20"/>
                <w:szCs w:val="20"/>
              </w:rPr>
            </w:pPr>
          </w:p>
        </w:tc>
        <w:tc>
          <w:tcPr>
            <w:tcW w:w="1134" w:type="dxa"/>
            <w:vAlign w:val="center"/>
          </w:tcPr>
          <w:p w14:paraId="70248B53"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2.226*</w:t>
            </w:r>
          </w:p>
        </w:tc>
        <w:tc>
          <w:tcPr>
            <w:tcW w:w="1275" w:type="dxa"/>
          </w:tcPr>
          <w:p w14:paraId="4501E22B" w14:textId="77777777" w:rsidR="00297E46" w:rsidRPr="003E7EE5" w:rsidRDefault="00297E46" w:rsidP="0017312F">
            <w:pPr>
              <w:tabs>
                <w:tab w:val="left" w:pos="284"/>
              </w:tabs>
              <w:rPr>
                <w:sz w:val="20"/>
                <w:szCs w:val="20"/>
              </w:rPr>
            </w:pPr>
            <w:r w:rsidRPr="003E7EE5">
              <w:rPr>
                <w:sz w:val="20"/>
                <w:szCs w:val="20"/>
              </w:rPr>
              <w:t>H6b (+)</w:t>
            </w:r>
          </w:p>
        </w:tc>
        <w:tc>
          <w:tcPr>
            <w:tcW w:w="1082" w:type="dxa"/>
          </w:tcPr>
          <w:p w14:paraId="744E5E90" w14:textId="77777777" w:rsidR="00297E46" w:rsidRPr="003E7EE5" w:rsidRDefault="00297E46" w:rsidP="0017312F">
            <w:pPr>
              <w:tabs>
                <w:tab w:val="left" w:pos="284"/>
              </w:tabs>
              <w:jc w:val="center"/>
              <w:rPr>
                <w:color w:val="000000" w:themeColor="text1"/>
                <w:sz w:val="20"/>
                <w:szCs w:val="20"/>
              </w:rPr>
            </w:pPr>
            <w:r w:rsidRPr="003E7EE5">
              <w:rPr>
                <w:color w:val="000000" w:themeColor="text1"/>
                <w:sz w:val="20"/>
                <w:szCs w:val="20"/>
              </w:rPr>
              <w:t>Support</w:t>
            </w:r>
          </w:p>
        </w:tc>
      </w:tr>
      <w:tr w:rsidR="00297E46" w:rsidRPr="003E7EE5" w14:paraId="6D6C8D8E" w14:textId="77777777" w:rsidTr="00561EE0">
        <w:trPr>
          <w:trHeight w:val="265"/>
        </w:trPr>
        <w:tc>
          <w:tcPr>
            <w:tcW w:w="3686" w:type="dxa"/>
          </w:tcPr>
          <w:p w14:paraId="680646BB" w14:textId="77777777"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GMR </w:t>
            </w:r>
            <w:r w:rsidRPr="003E7EE5">
              <w:rPr>
                <w:color w:val="000000" w:themeColor="text1"/>
                <w:sz w:val="20"/>
                <w:szCs w:val="20"/>
              </w:rPr>
              <w:sym w:font="Wingdings" w:char="F0E0"/>
            </w:r>
            <w:r w:rsidRPr="003E7EE5">
              <w:rPr>
                <w:color w:val="000000" w:themeColor="text1"/>
                <w:sz w:val="20"/>
                <w:szCs w:val="20"/>
              </w:rPr>
              <w:t xml:space="preserve"> OR</w:t>
            </w:r>
          </w:p>
        </w:tc>
        <w:tc>
          <w:tcPr>
            <w:tcW w:w="283" w:type="dxa"/>
          </w:tcPr>
          <w:p w14:paraId="53D45411" w14:textId="77777777" w:rsidR="00297E46" w:rsidRPr="003E7EE5" w:rsidRDefault="00297E46" w:rsidP="0017312F">
            <w:pPr>
              <w:tabs>
                <w:tab w:val="left" w:pos="284"/>
              </w:tabs>
              <w:jc w:val="center"/>
              <w:rPr>
                <w:color w:val="000000" w:themeColor="text1"/>
                <w:sz w:val="20"/>
                <w:szCs w:val="20"/>
              </w:rPr>
            </w:pPr>
          </w:p>
        </w:tc>
        <w:tc>
          <w:tcPr>
            <w:tcW w:w="1276" w:type="dxa"/>
          </w:tcPr>
          <w:p w14:paraId="13A9EBBE"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0.738</w:t>
            </w:r>
          </w:p>
        </w:tc>
        <w:tc>
          <w:tcPr>
            <w:tcW w:w="284" w:type="dxa"/>
          </w:tcPr>
          <w:p w14:paraId="78C58A26" w14:textId="77777777" w:rsidR="00297E46" w:rsidRPr="003E7EE5" w:rsidRDefault="00297E46" w:rsidP="0017312F">
            <w:pPr>
              <w:tabs>
                <w:tab w:val="left" w:pos="284"/>
              </w:tabs>
              <w:jc w:val="center"/>
              <w:rPr>
                <w:color w:val="000000" w:themeColor="text1"/>
                <w:sz w:val="20"/>
                <w:szCs w:val="20"/>
              </w:rPr>
            </w:pPr>
          </w:p>
        </w:tc>
        <w:tc>
          <w:tcPr>
            <w:tcW w:w="1134" w:type="dxa"/>
          </w:tcPr>
          <w:p w14:paraId="4D51C180"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6.521***</w:t>
            </w:r>
          </w:p>
        </w:tc>
        <w:tc>
          <w:tcPr>
            <w:tcW w:w="1275" w:type="dxa"/>
          </w:tcPr>
          <w:p w14:paraId="54792257" w14:textId="77777777" w:rsidR="00297E46" w:rsidRPr="003E7EE5" w:rsidRDefault="00297E46" w:rsidP="0017312F">
            <w:pPr>
              <w:tabs>
                <w:tab w:val="left" w:pos="284"/>
              </w:tabs>
              <w:jc w:val="center"/>
              <w:rPr>
                <w:color w:val="000000" w:themeColor="text1"/>
                <w:sz w:val="20"/>
                <w:szCs w:val="20"/>
              </w:rPr>
            </w:pPr>
          </w:p>
        </w:tc>
        <w:tc>
          <w:tcPr>
            <w:tcW w:w="1082" w:type="dxa"/>
          </w:tcPr>
          <w:p w14:paraId="46275173" w14:textId="77777777" w:rsidR="00297E46" w:rsidRPr="003E7EE5" w:rsidRDefault="00297E46" w:rsidP="0017312F">
            <w:pPr>
              <w:tabs>
                <w:tab w:val="left" w:pos="284"/>
              </w:tabs>
              <w:jc w:val="center"/>
              <w:rPr>
                <w:color w:val="000000" w:themeColor="text1"/>
                <w:sz w:val="20"/>
                <w:szCs w:val="20"/>
              </w:rPr>
            </w:pPr>
          </w:p>
        </w:tc>
      </w:tr>
      <w:tr w:rsidR="00297E46" w:rsidRPr="003E7EE5" w14:paraId="6D93A482" w14:textId="77777777" w:rsidTr="00561EE0">
        <w:trPr>
          <w:trHeight w:val="419"/>
        </w:trPr>
        <w:tc>
          <w:tcPr>
            <w:tcW w:w="3686" w:type="dxa"/>
          </w:tcPr>
          <w:p w14:paraId="787F6630" w14:textId="77777777"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GMR </w:t>
            </w:r>
            <w:r w:rsidRPr="003E7EE5">
              <w:rPr>
                <w:color w:val="000000" w:themeColor="text1"/>
                <w:sz w:val="20"/>
                <w:szCs w:val="20"/>
              </w:rPr>
              <w:sym w:font="Wingdings" w:char="F0E0"/>
            </w:r>
            <w:r w:rsidRPr="003E7EE5">
              <w:rPr>
                <w:color w:val="000000" w:themeColor="text1"/>
                <w:sz w:val="20"/>
                <w:szCs w:val="20"/>
              </w:rPr>
              <w:t xml:space="preserve"> FR</w:t>
            </w:r>
          </w:p>
          <w:p w14:paraId="4A8024F7" w14:textId="77777777" w:rsidR="00297E46" w:rsidRPr="003E7EE5" w:rsidRDefault="00297E46" w:rsidP="0017312F">
            <w:pPr>
              <w:tabs>
                <w:tab w:val="left" w:pos="284"/>
              </w:tabs>
              <w:jc w:val="both"/>
              <w:rPr>
                <w:color w:val="000000" w:themeColor="text1"/>
                <w:sz w:val="20"/>
                <w:szCs w:val="20"/>
              </w:rPr>
            </w:pPr>
          </w:p>
        </w:tc>
        <w:tc>
          <w:tcPr>
            <w:tcW w:w="283" w:type="dxa"/>
          </w:tcPr>
          <w:p w14:paraId="3116F65E" w14:textId="77777777" w:rsidR="00297E46" w:rsidRPr="003E7EE5" w:rsidRDefault="00297E46" w:rsidP="0017312F">
            <w:pPr>
              <w:tabs>
                <w:tab w:val="left" w:pos="284"/>
              </w:tabs>
              <w:jc w:val="center"/>
              <w:rPr>
                <w:color w:val="000000" w:themeColor="text1"/>
                <w:sz w:val="20"/>
                <w:szCs w:val="20"/>
              </w:rPr>
            </w:pPr>
          </w:p>
        </w:tc>
        <w:tc>
          <w:tcPr>
            <w:tcW w:w="1276" w:type="dxa"/>
          </w:tcPr>
          <w:p w14:paraId="58F6376F"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0.761</w:t>
            </w:r>
          </w:p>
        </w:tc>
        <w:tc>
          <w:tcPr>
            <w:tcW w:w="284" w:type="dxa"/>
          </w:tcPr>
          <w:p w14:paraId="78B97B82" w14:textId="77777777" w:rsidR="00297E46" w:rsidRPr="003E7EE5" w:rsidRDefault="00297E46" w:rsidP="0017312F">
            <w:pPr>
              <w:tabs>
                <w:tab w:val="left" w:pos="284"/>
              </w:tabs>
              <w:jc w:val="center"/>
              <w:rPr>
                <w:color w:val="000000" w:themeColor="text1"/>
                <w:sz w:val="20"/>
                <w:szCs w:val="20"/>
              </w:rPr>
            </w:pPr>
          </w:p>
        </w:tc>
        <w:tc>
          <w:tcPr>
            <w:tcW w:w="1134" w:type="dxa"/>
          </w:tcPr>
          <w:p w14:paraId="7EC4106D"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7.116***</w:t>
            </w:r>
          </w:p>
          <w:p w14:paraId="42B71C82" w14:textId="77777777" w:rsidR="00297E46" w:rsidRPr="003E7EE5" w:rsidRDefault="00297E46" w:rsidP="0017312F">
            <w:pPr>
              <w:tabs>
                <w:tab w:val="left" w:pos="284"/>
              </w:tabs>
              <w:rPr>
                <w:color w:val="000000" w:themeColor="text1"/>
                <w:sz w:val="20"/>
                <w:szCs w:val="20"/>
              </w:rPr>
            </w:pPr>
          </w:p>
          <w:p w14:paraId="05CD8B42" w14:textId="77777777" w:rsidR="00297E46" w:rsidRPr="003E7EE5" w:rsidRDefault="00297E46" w:rsidP="0017312F">
            <w:pPr>
              <w:tabs>
                <w:tab w:val="left" w:pos="284"/>
              </w:tabs>
              <w:rPr>
                <w:color w:val="000000" w:themeColor="text1"/>
                <w:sz w:val="20"/>
                <w:szCs w:val="20"/>
              </w:rPr>
            </w:pPr>
          </w:p>
        </w:tc>
        <w:tc>
          <w:tcPr>
            <w:tcW w:w="1275" w:type="dxa"/>
          </w:tcPr>
          <w:p w14:paraId="39642943" w14:textId="77777777" w:rsidR="00297E46" w:rsidRPr="003E7EE5" w:rsidRDefault="00297E46" w:rsidP="0017312F">
            <w:pPr>
              <w:tabs>
                <w:tab w:val="left" w:pos="284"/>
              </w:tabs>
              <w:jc w:val="center"/>
              <w:rPr>
                <w:color w:val="000000" w:themeColor="text1"/>
                <w:sz w:val="20"/>
                <w:szCs w:val="20"/>
              </w:rPr>
            </w:pPr>
          </w:p>
        </w:tc>
        <w:tc>
          <w:tcPr>
            <w:tcW w:w="1082" w:type="dxa"/>
          </w:tcPr>
          <w:p w14:paraId="528FB15A" w14:textId="77777777" w:rsidR="00297E46" w:rsidRPr="003E7EE5" w:rsidRDefault="00297E46" w:rsidP="0017312F">
            <w:pPr>
              <w:tabs>
                <w:tab w:val="left" w:pos="284"/>
              </w:tabs>
              <w:jc w:val="center"/>
              <w:rPr>
                <w:color w:val="000000" w:themeColor="text1"/>
                <w:sz w:val="20"/>
                <w:szCs w:val="20"/>
              </w:rPr>
            </w:pPr>
          </w:p>
        </w:tc>
      </w:tr>
      <w:tr w:rsidR="00297E46" w:rsidRPr="003E7EE5" w14:paraId="134DA11D" w14:textId="77777777" w:rsidTr="00561EE0">
        <w:tc>
          <w:tcPr>
            <w:tcW w:w="3686" w:type="dxa"/>
          </w:tcPr>
          <w:p w14:paraId="541AEEC2" w14:textId="77777777" w:rsidR="00297E46" w:rsidRPr="003E7EE5" w:rsidRDefault="00297E46" w:rsidP="0017312F">
            <w:pPr>
              <w:tabs>
                <w:tab w:val="left" w:pos="284"/>
              </w:tabs>
              <w:jc w:val="both"/>
              <w:rPr>
                <w:i/>
                <w:color w:val="000000" w:themeColor="text1"/>
                <w:sz w:val="20"/>
                <w:szCs w:val="20"/>
              </w:rPr>
            </w:pPr>
            <w:r w:rsidRPr="003E7EE5">
              <w:rPr>
                <w:i/>
                <w:color w:val="000000" w:themeColor="text1"/>
                <w:sz w:val="20"/>
                <w:szCs w:val="20"/>
              </w:rPr>
              <w:t>Controls</w:t>
            </w:r>
          </w:p>
        </w:tc>
        <w:tc>
          <w:tcPr>
            <w:tcW w:w="283" w:type="dxa"/>
          </w:tcPr>
          <w:p w14:paraId="28467918" w14:textId="77777777" w:rsidR="00297E46" w:rsidRPr="003E7EE5" w:rsidRDefault="00297E46" w:rsidP="0017312F">
            <w:pPr>
              <w:tabs>
                <w:tab w:val="left" w:pos="284"/>
              </w:tabs>
              <w:jc w:val="center"/>
              <w:rPr>
                <w:color w:val="000000" w:themeColor="text1"/>
                <w:sz w:val="20"/>
                <w:szCs w:val="20"/>
              </w:rPr>
            </w:pPr>
          </w:p>
        </w:tc>
        <w:tc>
          <w:tcPr>
            <w:tcW w:w="1276" w:type="dxa"/>
          </w:tcPr>
          <w:p w14:paraId="32A067C9" w14:textId="77777777" w:rsidR="00297E46" w:rsidRPr="003E7EE5" w:rsidRDefault="00297E46" w:rsidP="0017312F">
            <w:pPr>
              <w:tabs>
                <w:tab w:val="left" w:pos="284"/>
              </w:tabs>
              <w:rPr>
                <w:color w:val="000000" w:themeColor="text1"/>
                <w:sz w:val="20"/>
                <w:szCs w:val="20"/>
              </w:rPr>
            </w:pPr>
          </w:p>
        </w:tc>
        <w:tc>
          <w:tcPr>
            <w:tcW w:w="284" w:type="dxa"/>
          </w:tcPr>
          <w:p w14:paraId="4EBA4A3C" w14:textId="77777777" w:rsidR="00297E46" w:rsidRPr="003E7EE5" w:rsidRDefault="00297E46" w:rsidP="0017312F">
            <w:pPr>
              <w:tabs>
                <w:tab w:val="left" w:pos="284"/>
              </w:tabs>
              <w:jc w:val="center"/>
              <w:rPr>
                <w:color w:val="000000" w:themeColor="text1"/>
                <w:sz w:val="20"/>
                <w:szCs w:val="20"/>
              </w:rPr>
            </w:pPr>
          </w:p>
        </w:tc>
        <w:tc>
          <w:tcPr>
            <w:tcW w:w="1134" w:type="dxa"/>
          </w:tcPr>
          <w:p w14:paraId="5BBEACD2" w14:textId="77777777" w:rsidR="00297E46" w:rsidRPr="003E7EE5" w:rsidRDefault="00297E46" w:rsidP="0017312F">
            <w:pPr>
              <w:tabs>
                <w:tab w:val="left" w:pos="284"/>
              </w:tabs>
              <w:rPr>
                <w:color w:val="000000" w:themeColor="text1"/>
                <w:sz w:val="20"/>
                <w:szCs w:val="20"/>
              </w:rPr>
            </w:pPr>
          </w:p>
        </w:tc>
        <w:tc>
          <w:tcPr>
            <w:tcW w:w="1275" w:type="dxa"/>
          </w:tcPr>
          <w:p w14:paraId="3CF8EA00" w14:textId="77777777" w:rsidR="00297E46" w:rsidRPr="003E7EE5" w:rsidRDefault="00297E46" w:rsidP="0017312F">
            <w:pPr>
              <w:tabs>
                <w:tab w:val="left" w:pos="284"/>
              </w:tabs>
              <w:jc w:val="center"/>
              <w:rPr>
                <w:color w:val="000000" w:themeColor="text1"/>
                <w:sz w:val="20"/>
                <w:szCs w:val="20"/>
              </w:rPr>
            </w:pPr>
          </w:p>
        </w:tc>
        <w:tc>
          <w:tcPr>
            <w:tcW w:w="1082" w:type="dxa"/>
          </w:tcPr>
          <w:p w14:paraId="3435E98D" w14:textId="77777777" w:rsidR="00297E46" w:rsidRPr="003E7EE5" w:rsidRDefault="00297E46" w:rsidP="0017312F">
            <w:pPr>
              <w:tabs>
                <w:tab w:val="left" w:pos="284"/>
              </w:tabs>
              <w:jc w:val="center"/>
              <w:rPr>
                <w:color w:val="000000" w:themeColor="text1"/>
                <w:sz w:val="20"/>
                <w:szCs w:val="20"/>
              </w:rPr>
            </w:pPr>
          </w:p>
        </w:tc>
      </w:tr>
      <w:tr w:rsidR="00297E46" w:rsidRPr="003E7EE5" w14:paraId="7B8E7FA7" w14:textId="77777777" w:rsidTr="00561EE0">
        <w:tc>
          <w:tcPr>
            <w:tcW w:w="3686" w:type="dxa"/>
          </w:tcPr>
          <w:p w14:paraId="242A95AD" w14:textId="5B572EE7" w:rsidR="00297E46" w:rsidRPr="003E7EE5" w:rsidRDefault="00297E46" w:rsidP="0017312F">
            <w:pPr>
              <w:tabs>
                <w:tab w:val="left" w:pos="284"/>
              </w:tabs>
              <w:jc w:val="both"/>
              <w:rPr>
                <w:i/>
                <w:color w:val="000000" w:themeColor="text1"/>
                <w:sz w:val="20"/>
                <w:szCs w:val="20"/>
              </w:rPr>
            </w:pPr>
            <w:r w:rsidRPr="003E7EE5">
              <w:rPr>
                <w:color w:val="000000" w:themeColor="text1"/>
                <w:sz w:val="20"/>
                <w:szCs w:val="20"/>
              </w:rPr>
              <w:t xml:space="preserve">Firm </w:t>
            </w:r>
            <w:r w:rsidR="00470A3D">
              <w:rPr>
                <w:color w:val="000000" w:themeColor="text1"/>
                <w:sz w:val="20"/>
                <w:szCs w:val="20"/>
              </w:rPr>
              <w:t>s</w:t>
            </w:r>
            <w:r w:rsidRPr="003E7EE5">
              <w:rPr>
                <w:color w:val="000000" w:themeColor="text1"/>
                <w:sz w:val="20"/>
                <w:szCs w:val="20"/>
              </w:rPr>
              <w:t xml:space="preserve">ize </w:t>
            </w:r>
            <w:r w:rsidRPr="003E7EE5">
              <w:rPr>
                <w:color w:val="000000" w:themeColor="text1"/>
                <w:sz w:val="20"/>
                <w:szCs w:val="20"/>
              </w:rPr>
              <w:sym w:font="Wingdings" w:char="F0E0"/>
            </w:r>
            <w:r w:rsidRPr="003E7EE5">
              <w:rPr>
                <w:color w:val="000000" w:themeColor="text1"/>
                <w:sz w:val="20"/>
                <w:szCs w:val="20"/>
              </w:rPr>
              <w:t xml:space="preserve"> OR</w:t>
            </w:r>
          </w:p>
        </w:tc>
        <w:tc>
          <w:tcPr>
            <w:tcW w:w="283" w:type="dxa"/>
          </w:tcPr>
          <w:p w14:paraId="10BCD3E9" w14:textId="77777777" w:rsidR="00297E46" w:rsidRPr="003E7EE5" w:rsidRDefault="00297E46" w:rsidP="0017312F">
            <w:pPr>
              <w:tabs>
                <w:tab w:val="left" w:pos="284"/>
              </w:tabs>
              <w:jc w:val="center"/>
              <w:rPr>
                <w:color w:val="000000" w:themeColor="text1"/>
                <w:sz w:val="20"/>
                <w:szCs w:val="20"/>
              </w:rPr>
            </w:pPr>
          </w:p>
        </w:tc>
        <w:tc>
          <w:tcPr>
            <w:tcW w:w="1276" w:type="dxa"/>
          </w:tcPr>
          <w:p w14:paraId="371A3EC1"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0.135</w:t>
            </w:r>
          </w:p>
        </w:tc>
        <w:tc>
          <w:tcPr>
            <w:tcW w:w="284" w:type="dxa"/>
          </w:tcPr>
          <w:p w14:paraId="04E632EE" w14:textId="77777777" w:rsidR="00297E46" w:rsidRPr="003E7EE5" w:rsidRDefault="00297E46" w:rsidP="0017312F">
            <w:pPr>
              <w:tabs>
                <w:tab w:val="left" w:pos="284"/>
              </w:tabs>
              <w:jc w:val="center"/>
              <w:rPr>
                <w:color w:val="000000" w:themeColor="text1"/>
                <w:sz w:val="20"/>
                <w:szCs w:val="20"/>
              </w:rPr>
            </w:pPr>
          </w:p>
        </w:tc>
        <w:tc>
          <w:tcPr>
            <w:tcW w:w="1134" w:type="dxa"/>
          </w:tcPr>
          <w:p w14:paraId="0E3C8C83"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2.005*</w:t>
            </w:r>
          </w:p>
        </w:tc>
        <w:tc>
          <w:tcPr>
            <w:tcW w:w="1275" w:type="dxa"/>
          </w:tcPr>
          <w:p w14:paraId="43E72BF8" w14:textId="77777777" w:rsidR="00297E46" w:rsidRPr="003E7EE5" w:rsidRDefault="00297E46" w:rsidP="0017312F">
            <w:pPr>
              <w:tabs>
                <w:tab w:val="left" w:pos="284"/>
              </w:tabs>
              <w:jc w:val="center"/>
              <w:rPr>
                <w:color w:val="000000" w:themeColor="text1"/>
                <w:sz w:val="20"/>
                <w:szCs w:val="20"/>
              </w:rPr>
            </w:pPr>
          </w:p>
        </w:tc>
        <w:tc>
          <w:tcPr>
            <w:tcW w:w="1082" w:type="dxa"/>
          </w:tcPr>
          <w:p w14:paraId="168EB3A5" w14:textId="77777777" w:rsidR="00297E46" w:rsidRPr="003E7EE5" w:rsidRDefault="00297E46" w:rsidP="0017312F">
            <w:pPr>
              <w:tabs>
                <w:tab w:val="left" w:pos="284"/>
              </w:tabs>
              <w:jc w:val="center"/>
              <w:rPr>
                <w:color w:val="000000" w:themeColor="text1"/>
                <w:sz w:val="20"/>
                <w:szCs w:val="20"/>
              </w:rPr>
            </w:pPr>
          </w:p>
        </w:tc>
      </w:tr>
      <w:tr w:rsidR="00297E46" w:rsidRPr="003E7EE5" w14:paraId="7B10A37B" w14:textId="77777777" w:rsidTr="00561EE0">
        <w:tc>
          <w:tcPr>
            <w:tcW w:w="3686" w:type="dxa"/>
          </w:tcPr>
          <w:p w14:paraId="24C42B25" w14:textId="6F4A0853"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Firm </w:t>
            </w:r>
            <w:r w:rsidR="00470A3D">
              <w:rPr>
                <w:color w:val="000000" w:themeColor="text1"/>
                <w:sz w:val="20"/>
                <w:szCs w:val="20"/>
              </w:rPr>
              <w:t>s</w:t>
            </w:r>
            <w:r w:rsidRPr="003E7EE5">
              <w:rPr>
                <w:color w:val="000000" w:themeColor="text1"/>
                <w:sz w:val="20"/>
                <w:szCs w:val="20"/>
              </w:rPr>
              <w:t xml:space="preserve">ize </w:t>
            </w:r>
            <w:r w:rsidRPr="003E7EE5">
              <w:rPr>
                <w:color w:val="000000" w:themeColor="text1"/>
                <w:sz w:val="20"/>
                <w:szCs w:val="20"/>
              </w:rPr>
              <w:sym w:font="Wingdings" w:char="F0E0"/>
            </w:r>
            <w:r w:rsidRPr="003E7EE5">
              <w:rPr>
                <w:color w:val="000000" w:themeColor="text1"/>
                <w:sz w:val="20"/>
                <w:szCs w:val="20"/>
              </w:rPr>
              <w:t xml:space="preserve"> FR</w:t>
            </w:r>
          </w:p>
        </w:tc>
        <w:tc>
          <w:tcPr>
            <w:tcW w:w="283" w:type="dxa"/>
          </w:tcPr>
          <w:p w14:paraId="14B7FF7D" w14:textId="77777777" w:rsidR="00297E46" w:rsidRPr="003E7EE5" w:rsidRDefault="00297E46" w:rsidP="0017312F">
            <w:pPr>
              <w:tabs>
                <w:tab w:val="left" w:pos="284"/>
              </w:tabs>
              <w:rPr>
                <w:color w:val="000000" w:themeColor="text1"/>
                <w:sz w:val="20"/>
                <w:szCs w:val="20"/>
              </w:rPr>
            </w:pPr>
          </w:p>
        </w:tc>
        <w:tc>
          <w:tcPr>
            <w:tcW w:w="1276" w:type="dxa"/>
          </w:tcPr>
          <w:p w14:paraId="71D1181A" w14:textId="77777777" w:rsidR="00297E46" w:rsidRPr="003E7EE5" w:rsidRDefault="00297E46" w:rsidP="0017312F">
            <w:pPr>
              <w:tabs>
                <w:tab w:val="left" w:pos="0"/>
              </w:tabs>
              <w:rPr>
                <w:color w:val="000000" w:themeColor="text1"/>
                <w:sz w:val="20"/>
                <w:szCs w:val="20"/>
              </w:rPr>
            </w:pPr>
            <w:r w:rsidRPr="003E7EE5">
              <w:rPr>
                <w:color w:val="000000" w:themeColor="text1"/>
                <w:sz w:val="20"/>
                <w:szCs w:val="20"/>
              </w:rPr>
              <w:t>0.333</w:t>
            </w:r>
          </w:p>
        </w:tc>
        <w:tc>
          <w:tcPr>
            <w:tcW w:w="284" w:type="dxa"/>
          </w:tcPr>
          <w:p w14:paraId="7D969866" w14:textId="77777777" w:rsidR="00297E46" w:rsidRPr="003E7EE5" w:rsidRDefault="00297E46" w:rsidP="0017312F">
            <w:pPr>
              <w:tabs>
                <w:tab w:val="left" w:pos="284"/>
              </w:tabs>
              <w:jc w:val="center"/>
              <w:rPr>
                <w:color w:val="000000" w:themeColor="text1"/>
                <w:sz w:val="20"/>
                <w:szCs w:val="20"/>
              </w:rPr>
            </w:pPr>
          </w:p>
        </w:tc>
        <w:tc>
          <w:tcPr>
            <w:tcW w:w="1134" w:type="dxa"/>
          </w:tcPr>
          <w:p w14:paraId="1561841B"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4.947***</w:t>
            </w:r>
          </w:p>
        </w:tc>
        <w:tc>
          <w:tcPr>
            <w:tcW w:w="1275" w:type="dxa"/>
          </w:tcPr>
          <w:p w14:paraId="5915CDCF" w14:textId="77777777" w:rsidR="00297E46" w:rsidRPr="003E7EE5" w:rsidRDefault="00297E46" w:rsidP="0017312F">
            <w:pPr>
              <w:tabs>
                <w:tab w:val="left" w:pos="284"/>
              </w:tabs>
              <w:jc w:val="center"/>
              <w:rPr>
                <w:color w:val="000000" w:themeColor="text1"/>
                <w:sz w:val="20"/>
                <w:szCs w:val="20"/>
              </w:rPr>
            </w:pPr>
          </w:p>
        </w:tc>
        <w:tc>
          <w:tcPr>
            <w:tcW w:w="1082" w:type="dxa"/>
          </w:tcPr>
          <w:p w14:paraId="34855B69" w14:textId="77777777" w:rsidR="00297E46" w:rsidRPr="003E7EE5" w:rsidRDefault="00297E46" w:rsidP="0017312F">
            <w:pPr>
              <w:tabs>
                <w:tab w:val="left" w:pos="284"/>
              </w:tabs>
              <w:jc w:val="center"/>
              <w:rPr>
                <w:color w:val="000000" w:themeColor="text1"/>
                <w:sz w:val="20"/>
                <w:szCs w:val="20"/>
              </w:rPr>
            </w:pPr>
          </w:p>
        </w:tc>
      </w:tr>
      <w:tr w:rsidR="00297E46" w:rsidRPr="003E7EE5" w14:paraId="4D3ACA43" w14:textId="77777777" w:rsidTr="00561EE0">
        <w:trPr>
          <w:trHeight w:val="241"/>
        </w:trPr>
        <w:tc>
          <w:tcPr>
            <w:tcW w:w="3686" w:type="dxa"/>
          </w:tcPr>
          <w:p w14:paraId="485CABCE" w14:textId="393D2109"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Firm </w:t>
            </w:r>
            <w:r w:rsidR="00470A3D">
              <w:rPr>
                <w:color w:val="000000" w:themeColor="text1"/>
                <w:sz w:val="20"/>
                <w:szCs w:val="20"/>
              </w:rPr>
              <w:t>a</w:t>
            </w:r>
            <w:r w:rsidRPr="003E7EE5">
              <w:rPr>
                <w:color w:val="000000" w:themeColor="text1"/>
                <w:sz w:val="20"/>
                <w:szCs w:val="20"/>
              </w:rPr>
              <w:t xml:space="preserve">ge </w:t>
            </w:r>
            <w:r w:rsidRPr="003E7EE5">
              <w:rPr>
                <w:color w:val="000000" w:themeColor="text1"/>
                <w:sz w:val="20"/>
                <w:szCs w:val="20"/>
              </w:rPr>
              <w:sym w:font="Wingdings" w:char="F0E0"/>
            </w:r>
            <w:r w:rsidRPr="003E7EE5">
              <w:rPr>
                <w:color w:val="000000" w:themeColor="text1"/>
                <w:sz w:val="20"/>
                <w:szCs w:val="20"/>
              </w:rPr>
              <w:t xml:space="preserve"> OR</w:t>
            </w:r>
          </w:p>
        </w:tc>
        <w:tc>
          <w:tcPr>
            <w:tcW w:w="283" w:type="dxa"/>
          </w:tcPr>
          <w:p w14:paraId="2637DD12" w14:textId="77777777" w:rsidR="00297E46" w:rsidRPr="003E7EE5" w:rsidRDefault="00297E46" w:rsidP="0017312F">
            <w:pPr>
              <w:tabs>
                <w:tab w:val="left" w:pos="284"/>
              </w:tabs>
              <w:jc w:val="center"/>
              <w:rPr>
                <w:color w:val="000000" w:themeColor="text1"/>
                <w:sz w:val="20"/>
                <w:szCs w:val="20"/>
              </w:rPr>
            </w:pPr>
          </w:p>
        </w:tc>
        <w:tc>
          <w:tcPr>
            <w:tcW w:w="1276" w:type="dxa"/>
          </w:tcPr>
          <w:p w14:paraId="4828D035"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0.124</w:t>
            </w:r>
          </w:p>
        </w:tc>
        <w:tc>
          <w:tcPr>
            <w:tcW w:w="284" w:type="dxa"/>
          </w:tcPr>
          <w:p w14:paraId="60C864D5" w14:textId="77777777" w:rsidR="00297E46" w:rsidRPr="003E7EE5" w:rsidRDefault="00297E46" w:rsidP="0017312F">
            <w:pPr>
              <w:tabs>
                <w:tab w:val="left" w:pos="284"/>
              </w:tabs>
              <w:jc w:val="center"/>
              <w:rPr>
                <w:color w:val="000000" w:themeColor="text1"/>
                <w:sz w:val="20"/>
                <w:szCs w:val="20"/>
              </w:rPr>
            </w:pPr>
          </w:p>
        </w:tc>
        <w:tc>
          <w:tcPr>
            <w:tcW w:w="1134" w:type="dxa"/>
          </w:tcPr>
          <w:p w14:paraId="02D12895"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1.908</w:t>
            </w:r>
          </w:p>
        </w:tc>
        <w:tc>
          <w:tcPr>
            <w:tcW w:w="1275" w:type="dxa"/>
          </w:tcPr>
          <w:p w14:paraId="2D0E9081" w14:textId="77777777" w:rsidR="00297E46" w:rsidRPr="003E7EE5" w:rsidRDefault="00297E46" w:rsidP="0017312F">
            <w:pPr>
              <w:tabs>
                <w:tab w:val="left" w:pos="284"/>
              </w:tabs>
              <w:jc w:val="center"/>
              <w:rPr>
                <w:color w:val="000000" w:themeColor="text1"/>
                <w:sz w:val="20"/>
                <w:szCs w:val="20"/>
              </w:rPr>
            </w:pPr>
          </w:p>
        </w:tc>
        <w:tc>
          <w:tcPr>
            <w:tcW w:w="1082" w:type="dxa"/>
          </w:tcPr>
          <w:p w14:paraId="22CA7D6F" w14:textId="77777777" w:rsidR="00297E46" w:rsidRPr="003E7EE5" w:rsidRDefault="00297E46" w:rsidP="0017312F">
            <w:pPr>
              <w:tabs>
                <w:tab w:val="left" w:pos="284"/>
              </w:tabs>
              <w:jc w:val="center"/>
              <w:rPr>
                <w:color w:val="000000" w:themeColor="text1"/>
                <w:sz w:val="20"/>
                <w:szCs w:val="20"/>
              </w:rPr>
            </w:pPr>
          </w:p>
        </w:tc>
      </w:tr>
      <w:tr w:rsidR="00297E46" w:rsidRPr="003E7EE5" w14:paraId="48C4296C" w14:textId="77777777" w:rsidTr="00561EE0">
        <w:tc>
          <w:tcPr>
            <w:tcW w:w="3686" w:type="dxa"/>
          </w:tcPr>
          <w:p w14:paraId="636E5C5B" w14:textId="3B4FDD8B"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Firm </w:t>
            </w:r>
            <w:r w:rsidR="00470A3D">
              <w:rPr>
                <w:color w:val="000000" w:themeColor="text1"/>
                <w:sz w:val="20"/>
                <w:szCs w:val="20"/>
              </w:rPr>
              <w:t>a</w:t>
            </w:r>
            <w:r w:rsidRPr="003E7EE5">
              <w:rPr>
                <w:color w:val="000000" w:themeColor="text1"/>
                <w:sz w:val="20"/>
                <w:szCs w:val="20"/>
              </w:rPr>
              <w:t xml:space="preserve">ge </w:t>
            </w:r>
            <w:r w:rsidRPr="003E7EE5">
              <w:rPr>
                <w:color w:val="000000" w:themeColor="text1"/>
                <w:sz w:val="20"/>
                <w:szCs w:val="20"/>
              </w:rPr>
              <w:sym w:font="Wingdings" w:char="F0E0"/>
            </w:r>
            <w:r w:rsidRPr="003E7EE5">
              <w:rPr>
                <w:color w:val="000000" w:themeColor="text1"/>
                <w:sz w:val="20"/>
                <w:szCs w:val="20"/>
              </w:rPr>
              <w:t xml:space="preserve"> FR</w:t>
            </w:r>
          </w:p>
        </w:tc>
        <w:tc>
          <w:tcPr>
            <w:tcW w:w="283" w:type="dxa"/>
          </w:tcPr>
          <w:p w14:paraId="1BD9FE1B" w14:textId="77777777" w:rsidR="00297E46" w:rsidRPr="003E7EE5" w:rsidRDefault="00297E46" w:rsidP="0017312F">
            <w:pPr>
              <w:tabs>
                <w:tab w:val="left" w:pos="284"/>
              </w:tabs>
              <w:jc w:val="center"/>
              <w:rPr>
                <w:color w:val="000000" w:themeColor="text1"/>
                <w:sz w:val="20"/>
                <w:szCs w:val="20"/>
              </w:rPr>
            </w:pPr>
          </w:p>
        </w:tc>
        <w:tc>
          <w:tcPr>
            <w:tcW w:w="1276" w:type="dxa"/>
          </w:tcPr>
          <w:p w14:paraId="14F60CA1"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-0.029</w:t>
            </w:r>
          </w:p>
        </w:tc>
        <w:tc>
          <w:tcPr>
            <w:tcW w:w="284" w:type="dxa"/>
          </w:tcPr>
          <w:p w14:paraId="3E4F4685" w14:textId="77777777" w:rsidR="00297E46" w:rsidRPr="003E7EE5" w:rsidRDefault="00297E46" w:rsidP="0017312F">
            <w:pPr>
              <w:tabs>
                <w:tab w:val="left" w:pos="284"/>
              </w:tabs>
              <w:jc w:val="center"/>
              <w:rPr>
                <w:color w:val="000000" w:themeColor="text1"/>
                <w:sz w:val="20"/>
                <w:szCs w:val="20"/>
              </w:rPr>
            </w:pPr>
          </w:p>
        </w:tc>
        <w:tc>
          <w:tcPr>
            <w:tcW w:w="1134" w:type="dxa"/>
          </w:tcPr>
          <w:p w14:paraId="0251217B"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-0.451</w:t>
            </w:r>
          </w:p>
        </w:tc>
        <w:tc>
          <w:tcPr>
            <w:tcW w:w="1275" w:type="dxa"/>
          </w:tcPr>
          <w:p w14:paraId="7D7E11E5" w14:textId="77777777" w:rsidR="00297E46" w:rsidRPr="003E7EE5" w:rsidRDefault="00297E46" w:rsidP="0017312F">
            <w:pPr>
              <w:tabs>
                <w:tab w:val="left" w:pos="284"/>
              </w:tabs>
              <w:jc w:val="center"/>
              <w:rPr>
                <w:color w:val="000000" w:themeColor="text1"/>
                <w:sz w:val="20"/>
                <w:szCs w:val="20"/>
              </w:rPr>
            </w:pPr>
          </w:p>
        </w:tc>
        <w:tc>
          <w:tcPr>
            <w:tcW w:w="1082" w:type="dxa"/>
          </w:tcPr>
          <w:p w14:paraId="68817075" w14:textId="77777777" w:rsidR="00297E46" w:rsidRPr="003E7EE5" w:rsidRDefault="00297E46" w:rsidP="0017312F">
            <w:pPr>
              <w:tabs>
                <w:tab w:val="left" w:pos="284"/>
              </w:tabs>
              <w:jc w:val="center"/>
              <w:rPr>
                <w:color w:val="000000" w:themeColor="text1"/>
                <w:sz w:val="20"/>
                <w:szCs w:val="20"/>
              </w:rPr>
            </w:pPr>
          </w:p>
        </w:tc>
      </w:tr>
      <w:tr w:rsidR="00297E46" w:rsidRPr="003E7EE5" w14:paraId="68F98C12" w14:textId="77777777" w:rsidTr="00561EE0">
        <w:tc>
          <w:tcPr>
            <w:tcW w:w="3686" w:type="dxa"/>
          </w:tcPr>
          <w:p w14:paraId="2875E3CF" w14:textId="77777777" w:rsidR="00297E46" w:rsidRPr="003E7EE5" w:rsidRDefault="00297E46" w:rsidP="0017312F">
            <w:pPr>
              <w:tabs>
                <w:tab w:val="left" w:pos="284"/>
              </w:tabs>
              <w:ind w:left="177" w:hanging="143"/>
              <w:jc w:val="both"/>
              <w:rPr>
                <w:color w:val="000000" w:themeColor="text1"/>
                <w:sz w:val="20"/>
                <w:szCs w:val="20"/>
              </w:rPr>
            </w:pPr>
            <w:r w:rsidRPr="003E7EE5">
              <w:rPr>
                <w:color w:val="000000" w:themeColor="text1"/>
                <w:sz w:val="20"/>
                <w:szCs w:val="20"/>
              </w:rPr>
              <w:t xml:space="preserve">Sector </w:t>
            </w:r>
          </w:p>
          <w:p w14:paraId="4DB1524B" w14:textId="614C6CCF" w:rsidR="00297E46" w:rsidRPr="003E7EE5" w:rsidRDefault="00297E46" w:rsidP="0017312F">
            <w:pPr>
              <w:tabs>
                <w:tab w:val="left" w:pos="284"/>
              </w:tabs>
              <w:ind w:left="177" w:hanging="143"/>
              <w:jc w:val="both"/>
              <w:rPr>
                <w:color w:val="000000" w:themeColor="text1"/>
                <w:sz w:val="20"/>
                <w:szCs w:val="20"/>
              </w:rPr>
            </w:pPr>
            <w:r w:rsidRPr="003E7EE5">
              <w:rPr>
                <w:color w:val="000000" w:themeColor="text1"/>
                <w:sz w:val="18"/>
                <w:szCs w:val="20"/>
              </w:rPr>
              <w:t xml:space="preserve">(reference: </w:t>
            </w:r>
            <w:r w:rsidR="00470A3D">
              <w:rPr>
                <w:color w:val="000000" w:themeColor="text1"/>
                <w:sz w:val="18"/>
                <w:szCs w:val="20"/>
              </w:rPr>
              <w:t>c</w:t>
            </w:r>
            <w:r w:rsidRPr="003E7EE5">
              <w:rPr>
                <w:color w:val="000000" w:themeColor="text1"/>
                <w:sz w:val="18"/>
                <w:szCs w:val="20"/>
              </w:rPr>
              <w:t>onstruction-</w:t>
            </w:r>
            <w:r w:rsidR="00470A3D">
              <w:rPr>
                <w:color w:val="000000" w:themeColor="text1"/>
                <w:sz w:val="18"/>
                <w:szCs w:val="20"/>
              </w:rPr>
              <w:t>r</w:t>
            </w:r>
            <w:r w:rsidRPr="003E7EE5">
              <w:rPr>
                <w:color w:val="000000" w:themeColor="text1"/>
                <w:sz w:val="18"/>
                <w:szCs w:val="20"/>
              </w:rPr>
              <w:t>emaking)</w:t>
            </w:r>
          </w:p>
        </w:tc>
        <w:tc>
          <w:tcPr>
            <w:tcW w:w="283" w:type="dxa"/>
          </w:tcPr>
          <w:p w14:paraId="26AED5C6" w14:textId="77777777" w:rsidR="00297E46" w:rsidRPr="003E7EE5" w:rsidRDefault="00297E46" w:rsidP="0017312F">
            <w:pPr>
              <w:tabs>
                <w:tab w:val="left" w:pos="284"/>
              </w:tabs>
              <w:jc w:val="center"/>
              <w:rPr>
                <w:color w:val="000000" w:themeColor="text1"/>
                <w:sz w:val="20"/>
                <w:szCs w:val="20"/>
              </w:rPr>
            </w:pPr>
          </w:p>
        </w:tc>
        <w:tc>
          <w:tcPr>
            <w:tcW w:w="1276" w:type="dxa"/>
          </w:tcPr>
          <w:p w14:paraId="1C4BCE32" w14:textId="77777777" w:rsidR="00297E46" w:rsidRPr="003E7EE5" w:rsidRDefault="00297E46" w:rsidP="0017312F">
            <w:pPr>
              <w:tabs>
                <w:tab w:val="left" w:pos="284"/>
              </w:tabs>
              <w:rPr>
                <w:color w:val="000000" w:themeColor="text1"/>
                <w:sz w:val="20"/>
                <w:szCs w:val="20"/>
              </w:rPr>
            </w:pPr>
          </w:p>
        </w:tc>
        <w:tc>
          <w:tcPr>
            <w:tcW w:w="284" w:type="dxa"/>
          </w:tcPr>
          <w:p w14:paraId="23320FA9" w14:textId="77777777" w:rsidR="00297E46" w:rsidRPr="003E7EE5" w:rsidRDefault="00297E46" w:rsidP="0017312F">
            <w:pPr>
              <w:tabs>
                <w:tab w:val="left" w:pos="284"/>
              </w:tabs>
              <w:jc w:val="center"/>
              <w:rPr>
                <w:color w:val="000000" w:themeColor="text1"/>
                <w:sz w:val="20"/>
                <w:szCs w:val="20"/>
              </w:rPr>
            </w:pPr>
          </w:p>
        </w:tc>
        <w:tc>
          <w:tcPr>
            <w:tcW w:w="1134" w:type="dxa"/>
          </w:tcPr>
          <w:p w14:paraId="528F8269" w14:textId="77777777" w:rsidR="00297E46" w:rsidRPr="003E7EE5" w:rsidRDefault="00297E46" w:rsidP="0017312F">
            <w:pPr>
              <w:tabs>
                <w:tab w:val="left" w:pos="284"/>
              </w:tabs>
              <w:rPr>
                <w:color w:val="000000" w:themeColor="text1"/>
                <w:sz w:val="20"/>
                <w:szCs w:val="20"/>
              </w:rPr>
            </w:pPr>
          </w:p>
        </w:tc>
        <w:tc>
          <w:tcPr>
            <w:tcW w:w="1275" w:type="dxa"/>
          </w:tcPr>
          <w:p w14:paraId="668AE2F0" w14:textId="77777777" w:rsidR="00297E46" w:rsidRPr="003E7EE5" w:rsidRDefault="00297E46" w:rsidP="0017312F">
            <w:pPr>
              <w:tabs>
                <w:tab w:val="left" w:pos="284"/>
              </w:tabs>
              <w:jc w:val="center"/>
              <w:rPr>
                <w:color w:val="000000" w:themeColor="text1"/>
                <w:sz w:val="20"/>
                <w:szCs w:val="20"/>
              </w:rPr>
            </w:pPr>
          </w:p>
        </w:tc>
        <w:tc>
          <w:tcPr>
            <w:tcW w:w="1082" w:type="dxa"/>
          </w:tcPr>
          <w:p w14:paraId="7931077F" w14:textId="77777777" w:rsidR="00297E46" w:rsidRPr="003E7EE5" w:rsidRDefault="00297E46" w:rsidP="0017312F">
            <w:pPr>
              <w:tabs>
                <w:tab w:val="left" w:pos="284"/>
              </w:tabs>
              <w:jc w:val="center"/>
              <w:rPr>
                <w:color w:val="000000" w:themeColor="text1"/>
                <w:sz w:val="20"/>
                <w:szCs w:val="20"/>
              </w:rPr>
            </w:pPr>
          </w:p>
        </w:tc>
      </w:tr>
      <w:tr w:rsidR="00297E46" w:rsidRPr="003E7EE5" w14:paraId="26A504C5" w14:textId="77777777" w:rsidTr="00561EE0">
        <w:tc>
          <w:tcPr>
            <w:tcW w:w="3686" w:type="dxa"/>
          </w:tcPr>
          <w:p w14:paraId="487F6EF9" w14:textId="77777777" w:rsidR="00297E46" w:rsidRPr="003E7EE5" w:rsidRDefault="00297E46" w:rsidP="0017312F">
            <w:pPr>
              <w:tabs>
                <w:tab w:val="left" w:pos="284"/>
              </w:tabs>
              <w:jc w:val="both"/>
              <w:rPr>
                <w:color w:val="000000" w:themeColor="text1"/>
                <w:sz w:val="20"/>
                <w:szCs w:val="20"/>
              </w:rPr>
            </w:pPr>
            <w:r w:rsidRPr="003E7EE5">
              <w:rPr>
                <w:color w:val="000000" w:themeColor="text1"/>
                <w:sz w:val="20"/>
                <w:szCs w:val="20"/>
              </w:rPr>
              <w:t xml:space="preserve">FMCG </w:t>
            </w:r>
            <w:r w:rsidRPr="003E7EE5">
              <w:rPr>
                <w:color w:val="000000" w:themeColor="text1"/>
                <w:sz w:val="20"/>
                <w:szCs w:val="20"/>
              </w:rPr>
              <w:sym w:font="Wingdings" w:char="F0E0"/>
            </w:r>
            <w:r w:rsidRPr="003E7EE5">
              <w:rPr>
                <w:color w:val="000000" w:themeColor="text1"/>
                <w:sz w:val="20"/>
                <w:szCs w:val="20"/>
              </w:rPr>
              <w:t xml:space="preserve"> OR</w:t>
            </w:r>
          </w:p>
        </w:tc>
        <w:tc>
          <w:tcPr>
            <w:tcW w:w="283" w:type="dxa"/>
          </w:tcPr>
          <w:p w14:paraId="5BD11787" w14:textId="77777777" w:rsidR="00297E46" w:rsidRPr="003E7EE5" w:rsidRDefault="00297E46" w:rsidP="0017312F">
            <w:pPr>
              <w:tabs>
                <w:tab w:val="left" w:pos="284"/>
              </w:tabs>
              <w:jc w:val="center"/>
              <w:rPr>
                <w:color w:val="000000" w:themeColor="text1"/>
                <w:sz w:val="20"/>
                <w:szCs w:val="20"/>
              </w:rPr>
            </w:pPr>
          </w:p>
        </w:tc>
        <w:tc>
          <w:tcPr>
            <w:tcW w:w="1276" w:type="dxa"/>
          </w:tcPr>
          <w:p w14:paraId="7F808469"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0.019</w:t>
            </w:r>
          </w:p>
        </w:tc>
        <w:tc>
          <w:tcPr>
            <w:tcW w:w="284" w:type="dxa"/>
          </w:tcPr>
          <w:p w14:paraId="00649F58" w14:textId="77777777" w:rsidR="00297E46" w:rsidRPr="003E7EE5" w:rsidRDefault="00297E46" w:rsidP="0017312F">
            <w:pPr>
              <w:tabs>
                <w:tab w:val="left" w:pos="284"/>
              </w:tabs>
              <w:jc w:val="center"/>
              <w:rPr>
                <w:color w:val="000000" w:themeColor="text1"/>
                <w:sz w:val="20"/>
                <w:szCs w:val="20"/>
              </w:rPr>
            </w:pPr>
          </w:p>
        </w:tc>
        <w:tc>
          <w:tcPr>
            <w:tcW w:w="1134" w:type="dxa"/>
          </w:tcPr>
          <w:p w14:paraId="2F41955D"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0.219</w:t>
            </w:r>
          </w:p>
        </w:tc>
        <w:tc>
          <w:tcPr>
            <w:tcW w:w="1275" w:type="dxa"/>
          </w:tcPr>
          <w:p w14:paraId="020BD294" w14:textId="77777777" w:rsidR="00297E46" w:rsidRPr="003E7EE5" w:rsidRDefault="00297E46" w:rsidP="0017312F">
            <w:pPr>
              <w:tabs>
                <w:tab w:val="left" w:pos="284"/>
              </w:tabs>
              <w:jc w:val="center"/>
              <w:rPr>
                <w:color w:val="000000" w:themeColor="text1"/>
                <w:sz w:val="20"/>
                <w:szCs w:val="20"/>
              </w:rPr>
            </w:pPr>
          </w:p>
        </w:tc>
        <w:tc>
          <w:tcPr>
            <w:tcW w:w="1082" w:type="dxa"/>
          </w:tcPr>
          <w:p w14:paraId="1A9A25B3" w14:textId="77777777" w:rsidR="00297E46" w:rsidRPr="003E7EE5" w:rsidRDefault="00297E46" w:rsidP="0017312F">
            <w:pPr>
              <w:tabs>
                <w:tab w:val="left" w:pos="284"/>
              </w:tabs>
              <w:jc w:val="center"/>
              <w:rPr>
                <w:color w:val="000000" w:themeColor="text1"/>
                <w:sz w:val="20"/>
                <w:szCs w:val="20"/>
              </w:rPr>
            </w:pPr>
          </w:p>
        </w:tc>
      </w:tr>
      <w:tr w:rsidR="00297E46" w:rsidRPr="003E7EE5" w14:paraId="737F8629" w14:textId="77777777" w:rsidTr="00561EE0">
        <w:tc>
          <w:tcPr>
            <w:tcW w:w="3686" w:type="dxa"/>
          </w:tcPr>
          <w:p w14:paraId="23B4C1A6" w14:textId="77777777" w:rsidR="00297E46" w:rsidRPr="003E7EE5" w:rsidRDefault="00297E46" w:rsidP="0017312F">
            <w:pPr>
              <w:tabs>
                <w:tab w:val="left" w:pos="284"/>
              </w:tabs>
              <w:ind w:hanging="143"/>
              <w:jc w:val="both"/>
              <w:rPr>
                <w:color w:val="000000" w:themeColor="text1"/>
                <w:sz w:val="20"/>
                <w:szCs w:val="20"/>
              </w:rPr>
            </w:pPr>
            <w:r w:rsidRPr="003E7EE5">
              <w:rPr>
                <w:color w:val="000000" w:themeColor="text1"/>
                <w:sz w:val="20"/>
                <w:szCs w:val="20"/>
              </w:rPr>
              <w:t xml:space="preserve">   FMCG </w:t>
            </w:r>
            <w:r w:rsidRPr="003E7EE5">
              <w:rPr>
                <w:color w:val="000000" w:themeColor="text1"/>
                <w:sz w:val="20"/>
                <w:szCs w:val="20"/>
              </w:rPr>
              <w:sym w:font="Wingdings" w:char="F0E0"/>
            </w:r>
            <w:r w:rsidRPr="003E7EE5">
              <w:rPr>
                <w:color w:val="000000" w:themeColor="text1"/>
                <w:sz w:val="20"/>
                <w:szCs w:val="20"/>
              </w:rPr>
              <w:t xml:space="preserve"> FR</w:t>
            </w:r>
          </w:p>
        </w:tc>
        <w:tc>
          <w:tcPr>
            <w:tcW w:w="283" w:type="dxa"/>
          </w:tcPr>
          <w:p w14:paraId="6875CD1A" w14:textId="77777777" w:rsidR="00297E46" w:rsidRPr="003E7EE5" w:rsidRDefault="00297E46" w:rsidP="0017312F">
            <w:pPr>
              <w:tabs>
                <w:tab w:val="left" w:pos="284"/>
              </w:tabs>
              <w:jc w:val="center"/>
              <w:rPr>
                <w:color w:val="000000" w:themeColor="text1"/>
                <w:sz w:val="20"/>
                <w:szCs w:val="20"/>
              </w:rPr>
            </w:pPr>
          </w:p>
        </w:tc>
        <w:tc>
          <w:tcPr>
            <w:tcW w:w="1276" w:type="dxa"/>
          </w:tcPr>
          <w:p w14:paraId="0A4A4972"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-0.036</w:t>
            </w:r>
          </w:p>
        </w:tc>
        <w:tc>
          <w:tcPr>
            <w:tcW w:w="284" w:type="dxa"/>
          </w:tcPr>
          <w:p w14:paraId="5EF05C93" w14:textId="77777777" w:rsidR="00297E46" w:rsidRPr="003E7EE5" w:rsidRDefault="00297E46" w:rsidP="0017312F">
            <w:pPr>
              <w:tabs>
                <w:tab w:val="left" w:pos="284"/>
              </w:tabs>
              <w:jc w:val="center"/>
              <w:rPr>
                <w:color w:val="000000" w:themeColor="text1"/>
                <w:sz w:val="20"/>
                <w:szCs w:val="20"/>
              </w:rPr>
            </w:pPr>
          </w:p>
        </w:tc>
        <w:tc>
          <w:tcPr>
            <w:tcW w:w="1134" w:type="dxa"/>
          </w:tcPr>
          <w:p w14:paraId="461C5C27"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-0.411</w:t>
            </w:r>
          </w:p>
        </w:tc>
        <w:tc>
          <w:tcPr>
            <w:tcW w:w="1275" w:type="dxa"/>
          </w:tcPr>
          <w:p w14:paraId="49081B76" w14:textId="77777777" w:rsidR="00297E46" w:rsidRPr="003E7EE5" w:rsidRDefault="00297E46" w:rsidP="0017312F">
            <w:pPr>
              <w:tabs>
                <w:tab w:val="left" w:pos="284"/>
              </w:tabs>
              <w:jc w:val="center"/>
              <w:rPr>
                <w:color w:val="000000" w:themeColor="text1"/>
                <w:sz w:val="20"/>
                <w:szCs w:val="20"/>
              </w:rPr>
            </w:pPr>
          </w:p>
        </w:tc>
        <w:tc>
          <w:tcPr>
            <w:tcW w:w="1082" w:type="dxa"/>
          </w:tcPr>
          <w:p w14:paraId="571248CB" w14:textId="77777777" w:rsidR="00297E46" w:rsidRPr="003E7EE5" w:rsidRDefault="00297E46" w:rsidP="0017312F">
            <w:pPr>
              <w:tabs>
                <w:tab w:val="left" w:pos="284"/>
              </w:tabs>
              <w:jc w:val="center"/>
              <w:rPr>
                <w:color w:val="000000" w:themeColor="text1"/>
                <w:sz w:val="20"/>
                <w:szCs w:val="20"/>
              </w:rPr>
            </w:pPr>
          </w:p>
        </w:tc>
      </w:tr>
      <w:tr w:rsidR="00297E46" w:rsidRPr="003E7EE5" w14:paraId="4E6170AA" w14:textId="77777777" w:rsidTr="00561EE0">
        <w:tc>
          <w:tcPr>
            <w:tcW w:w="3686" w:type="dxa"/>
          </w:tcPr>
          <w:p w14:paraId="7E4ABABE" w14:textId="77777777" w:rsidR="00297E46" w:rsidRPr="003E7EE5" w:rsidRDefault="00297E46" w:rsidP="0017312F">
            <w:pPr>
              <w:tabs>
                <w:tab w:val="left" w:pos="284"/>
              </w:tabs>
              <w:ind w:hanging="143"/>
              <w:jc w:val="both"/>
              <w:rPr>
                <w:color w:val="000000" w:themeColor="text1"/>
                <w:sz w:val="20"/>
                <w:szCs w:val="20"/>
              </w:rPr>
            </w:pPr>
            <w:r w:rsidRPr="003E7EE5">
              <w:rPr>
                <w:color w:val="000000" w:themeColor="text1"/>
                <w:sz w:val="20"/>
                <w:szCs w:val="20"/>
              </w:rPr>
              <w:t xml:space="preserve">   Services </w:t>
            </w:r>
            <w:r w:rsidRPr="003E7EE5">
              <w:rPr>
                <w:color w:val="000000" w:themeColor="text1"/>
                <w:sz w:val="20"/>
                <w:szCs w:val="20"/>
              </w:rPr>
              <w:sym w:font="Wingdings" w:char="F0E0"/>
            </w:r>
            <w:r w:rsidRPr="003E7EE5">
              <w:rPr>
                <w:color w:val="000000" w:themeColor="text1"/>
                <w:sz w:val="20"/>
                <w:szCs w:val="20"/>
              </w:rPr>
              <w:t xml:space="preserve"> OR</w:t>
            </w:r>
          </w:p>
        </w:tc>
        <w:tc>
          <w:tcPr>
            <w:tcW w:w="283" w:type="dxa"/>
          </w:tcPr>
          <w:p w14:paraId="13EB01F0" w14:textId="77777777" w:rsidR="00297E46" w:rsidRPr="003E7EE5" w:rsidRDefault="00297E46" w:rsidP="0017312F">
            <w:pPr>
              <w:tabs>
                <w:tab w:val="left" w:pos="284"/>
              </w:tabs>
              <w:jc w:val="center"/>
              <w:rPr>
                <w:color w:val="000000" w:themeColor="text1"/>
                <w:sz w:val="20"/>
                <w:szCs w:val="20"/>
              </w:rPr>
            </w:pPr>
          </w:p>
        </w:tc>
        <w:tc>
          <w:tcPr>
            <w:tcW w:w="1276" w:type="dxa"/>
          </w:tcPr>
          <w:p w14:paraId="39B611DB"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-0.078</w:t>
            </w:r>
          </w:p>
        </w:tc>
        <w:tc>
          <w:tcPr>
            <w:tcW w:w="284" w:type="dxa"/>
          </w:tcPr>
          <w:p w14:paraId="18D7C4D8" w14:textId="77777777" w:rsidR="00297E46" w:rsidRPr="003E7EE5" w:rsidRDefault="00297E46" w:rsidP="0017312F">
            <w:pPr>
              <w:tabs>
                <w:tab w:val="left" w:pos="284"/>
              </w:tabs>
              <w:jc w:val="center"/>
              <w:rPr>
                <w:color w:val="000000" w:themeColor="text1"/>
                <w:sz w:val="20"/>
                <w:szCs w:val="20"/>
              </w:rPr>
            </w:pPr>
          </w:p>
        </w:tc>
        <w:tc>
          <w:tcPr>
            <w:tcW w:w="1134" w:type="dxa"/>
          </w:tcPr>
          <w:p w14:paraId="28A7547B"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-0.891</w:t>
            </w:r>
          </w:p>
        </w:tc>
        <w:tc>
          <w:tcPr>
            <w:tcW w:w="1275" w:type="dxa"/>
          </w:tcPr>
          <w:p w14:paraId="3660CD7F" w14:textId="77777777" w:rsidR="00297E46" w:rsidRPr="003E7EE5" w:rsidRDefault="00297E46" w:rsidP="0017312F">
            <w:pPr>
              <w:tabs>
                <w:tab w:val="left" w:pos="284"/>
              </w:tabs>
              <w:jc w:val="center"/>
              <w:rPr>
                <w:color w:val="000000" w:themeColor="text1"/>
                <w:sz w:val="20"/>
                <w:szCs w:val="20"/>
              </w:rPr>
            </w:pPr>
          </w:p>
        </w:tc>
        <w:tc>
          <w:tcPr>
            <w:tcW w:w="1082" w:type="dxa"/>
          </w:tcPr>
          <w:p w14:paraId="3AB860AC" w14:textId="77777777" w:rsidR="00297E46" w:rsidRPr="003E7EE5" w:rsidRDefault="00297E46" w:rsidP="0017312F">
            <w:pPr>
              <w:tabs>
                <w:tab w:val="left" w:pos="284"/>
              </w:tabs>
              <w:jc w:val="center"/>
              <w:rPr>
                <w:color w:val="000000" w:themeColor="text1"/>
                <w:sz w:val="20"/>
                <w:szCs w:val="20"/>
              </w:rPr>
            </w:pPr>
          </w:p>
        </w:tc>
      </w:tr>
      <w:tr w:rsidR="00297E46" w:rsidRPr="003E7EE5" w14:paraId="084801EF" w14:textId="77777777" w:rsidTr="00561EE0">
        <w:tc>
          <w:tcPr>
            <w:tcW w:w="3686" w:type="dxa"/>
          </w:tcPr>
          <w:p w14:paraId="0B2BFCDB" w14:textId="77777777" w:rsidR="00297E46" w:rsidRPr="003E7EE5" w:rsidRDefault="00297E46" w:rsidP="0017312F">
            <w:pPr>
              <w:tabs>
                <w:tab w:val="left" w:pos="284"/>
              </w:tabs>
              <w:ind w:hanging="143"/>
              <w:jc w:val="both"/>
              <w:rPr>
                <w:color w:val="000000" w:themeColor="text1"/>
                <w:sz w:val="20"/>
                <w:szCs w:val="20"/>
              </w:rPr>
            </w:pPr>
            <w:r w:rsidRPr="003E7EE5">
              <w:rPr>
                <w:color w:val="000000" w:themeColor="text1"/>
                <w:sz w:val="20"/>
                <w:szCs w:val="20"/>
              </w:rPr>
              <w:t xml:space="preserve">   Services </w:t>
            </w:r>
            <w:r w:rsidRPr="003E7EE5">
              <w:rPr>
                <w:color w:val="000000" w:themeColor="text1"/>
                <w:sz w:val="20"/>
                <w:szCs w:val="20"/>
              </w:rPr>
              <w:sym w:font="Wingdings" w:char="F0E0"/>
            </w:r>
            <w:r w:rsidRPr="003E7EE5">
              <w:rPr>
                <w:color w:val="000000" w:themeColor="text1"/>
                <w:sz w:val="20"/>
                <w:szCs w:val="20"/>
              </w:rPr>
              <w:t xml:space="preserve"> FR</w:t>
            </w:r>
          </w:p>
        </w:tc>
        <w:tc>
          <w:tcPr>
            <w:tcW w:w="283" w:type="dxa"/>
          </w:tcPr>
          <w:p w14:paraId="319021E5" w14:textId="77777777" w:rsidR="00297E46" w:rsidRPr="003E7EE5" w:rsidRDefault="00297E46" w:rsidP="0017312F">
            <w:pPr>
              <w:tabs>
                <w:tab w:val="left" w:pos="284"/>
              </w:tabs>
              <w:jc w:val="center"/>
              <w:rPr>
                <w:color w:val="000000" w:themeColor="text1"/>
                <w:sz w:val="20"/>
                <w:szCs w:val="20"/>
              </w:rPr>
            </w:pPr>
          </w:p>
        </w:tc>
        <w:tc>
          <w:tcPr>
            <w:tcW w:w="1276" w:type="dxa"/>
          </w:tcPr>
          <w:p w14:paraId="01711AD9"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-0.017</w:t>
            </w:r>
          </w:p>
        </w:tc>
        <w:tc>
          <w:tcPr>
            <w:tcW w:w="284" w:type="dxa"/>
          </w:tcPr>
          <w:p w14:paraId="6B1FA356" w14:textId="77777777" w:rsidR="00297E46" w:rsidRPr="003E7EE5" w:rsidRDefault="00297E46" w:rsidP="0017312F">
            <w:pPr>
              <w:tabs>
                <w:tab w:val="left" w:pos="284"/>
              </w:tabs>
              <w:jc w:val="center"/>
              <w:rPr>
                <w:color w:val="000000" w:themeColor="text1"/>
                <w:sz w:val="20"/>
                <w:szCs w:val="20"/>
              </w:rPr>
            </w:pPr>
          </w:p>
        </w:tc>
        <w:tc>
          <w:tcPr>
            <w:tcW w:w="1134" w:type="dxa"/>
          </w:tcPr>
          <w:p w14:paraId="37CA1666"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-0.192</w:t>
            </w:r>
          </w:p>
        </w:tc>
        <w:tc>
          <w:tcPr>
            <w:tcW w:w="1275" w:type="dxa"/>
          </w:tcPr>
          <w:p w14:paraId="5ECA2BAF" w14:textId="77777777" w:rsidR="00297E46" w:rsidRPr="003E7EE5" w:rsidRDefault="00297E46" w:rsidP="0017312F">
            <w:pPr>
              <w:tabs>
                <w:tab w:val="left" w:pos="284"/>
              </w:tabs>
              <w:jc w:val="center"/>
              <w:rPr>
                <w:color w:val="000000" w:themeColor="text1"/>
                <w:sz w:val="20"/>
                <w:szCs w:val="20"/>
              </w:rPr>
            </w:pPr>
          </w:p>
        </w:tc>
        <w:tc>
          <w:tcPr>
            <w:tcW w:w="1082" w:type="dxa"/>
          </w:tcPr>
          <w:p w14:paraId="0CFAB03E" w14:textId="77777777" w:rsidR="00297E46" w:rsidRPr="003E7EE5" w:rsidRDefault="00297E46" w:rsidP="0017312F">
            <w:pPr>
              <w:tabs>
                <w:tab w:val="left" w:pos="284"/>
              </w:tabs>
              <w:jc w:val="center"/>
              <w:rPr>
                <w:color w:val="000000" w:themeColor="text1"/>
                <w:sz w:val="20"/>
                <w:szCs w:val="20"/>
              </w:rPr>
            </w:pPr>
          </w:p>
        </w:tc>
      </w:tr>
      <w:tr w:rsidR="00297E46" w:rsidRPr="003E7EE5" w14:paraId="629E38CB" w14:textId="77777777" w:rsidTr="00561EE0">
        <w:tc>
          <w:tcPr>
            <w:tcW w:w="3686" w:type="dxa"/>
          </w:tcPr>
          <w:p w14:paraId="4D7EE545" w14:textId="4BF72AC6" w:rsidR="00297E46" w:rsidRPr="003E7EE5" w:rsidRDefault="00297E46" w:rsidP="0017312F">
            <w:pPr>
              <w:tabs>
                <w:tab w:val="left" w:pos="284"/>
              </w:tabs>
              <w:ind w:hanging="143"/>
              <w:jc w:val="both"/>
              <w:rPr>
                <w:color w:val="000000" w:themeColor="text1"/>
                <w:sz w:val="20"/>
                <w:szCs w:val="20"/>
              </w:rPr>
            </w:pPr>
            <w:r w:rsidRPr="003E7EE5">
              <w:rPr>
                <w:color w:val="000000" w:themeColor="text1"/>
                <w:sz w:val="20"/>
                <w:szCs w:val="20"/>
              </w:rPr>
              <w:t xml:space="preserve">   Industrial </w:t>
            </w:r>
            <w:r w:rsidR="00470A3D">
              <w:rPr>
                <w:color w:val="000000" w:themeColor="text1"/>
                <w:sz w:val="20"/>
                <w:szCs w:val="20"/>
              </w:rPr>
              <w:t>p</w:t>
            </w:r>
            <w:r w:rsidRPr="003E7EE5">
              <w:rPr>
                <w:color w:val="000000" w:themeColor="text1"/>
                <w:sz w:val="20"/>
                <w:szCs w:val="20"/>
              </w:rPr>
              <w:t xml:space="preserve">roducts </w:t>
            </w:r>
            <w:r w:rsidRPr="003E7EE5">
              <w:rPr>
                <w:color w:val="000000" w:themeColor="text1"/>
                <w:sz w:val="20"/>
                <w:szCs w:val="20"/>
              </w:rPr>
              <w:sym w:font="Wingdings" w:char="F0E0"/>
            </w:r>
            <w:r w:rsidRPr="003E7EE5">
              <w:rPr>
                <w:color w:val="000000" w:themeColor="text1"/>
                <w:sz w:val="20"/>
                <w:szCs w:val="20"/>
              </w:rPr>
              <w:t xml:space="preserve"> OR</w:t>
            </w:r>
          </w:p>
        </w:tc>
        <w:tc>
          <w:tcPr>
            <w:tcW w:w="283" w:type="dxa"/>
          </w:tcPr>
          <w:p w14:paraId="182E71CB" w14:textId="77777777" w:rsidR="00297E46" w:rsidRPr="003E7EE5" w:rsidRDefault="00297E46" w:rsidP="0017312F">
            <w:pPr>
              <w:tabs>
                <w:tab w:val="left" w:pos="284"/>
              </w:tabs>
              <w:jc w:val="center"/>
              <w:rPr>
                <w:color w:val="000000" w:themeColor="text1"/>
                <w:sz w:val="20"/>
                <w:szCs w:val="20"/>
              </w:rPr>
            </w:pPr>
          </w:p>
        </w:tc>
        <w:tc>
          <w:tcPr>
            <w:tcW w:w="1276" w:type="dxa"/>
          </w:tcPr>
          <w:p w14:paraId="48D03789"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0.039</w:t>
            </w:r>
          </w:p>
        </w:tc>
        <w:tc>
          <w:tcPr>
            <w:tcW w:w="284" w:type="dxa"/>
          </w:tcPr>
          <w:p w14:paraId="76EF64D9" w14:textId="77777777" w:rsidR="00297E46" w:rsidRPr="003E7EE5" w:rsidRDefault="00297E46" w:rsidP="0017312F">
            <w:pPr>
              <w:tabs>
                <w:tab w:val="left" w:pos="284"/>
              </w:tabs>
              <w:jc w:val="center"/>
              <w:rPr>
                <w:color w:val="000000" w:themeColor="text1"/>
                <w:sz w:val="20"/>
                <w:szCs w:val="20"/>
              </w:rPr>
            </w:pPr>
          </w:p>
        </w:tc>
        <w:tc>
          <w:tcPr>
            <w:tcW w:w="1134" w:type="dxa"/>
          </w:tcPr>
          <w:p w14:paraId="58FCD01E"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0.462</w:t>
            </w:r>
          </w:p>
        </w:tc>
        <w:tc>
          <w:tcPr>
            <w:tcW w:w="1275" w:type="dxa"/>
          </w:tcPr>
          <w:p w14:paraId="75C8EF54" w14:textId="77777777" w:rsidR="00297E46" w:rsidRPr="003E7EE5" w:rsidRDefault="00297E46" w:rsidP="0017312F">
            <w:pPr>
              <w:tabs>
                <w:tab w:val="left" w:pos="284"/>
              </w:tabs>
              <w:jc w:val="center"/>
              <w:rPr>
                <w:color w:val="000000" w:themeColor="text1"/>
                <w:sz w:val="20"/>
                <w:szCs w:val="20"/>
              </w:rPr>
            </w:pPr>
          </w:p>
        </w:tc>
        <w:tc>
          <w:tcPr>
            <w:tcW w:w="1082" w:type="dxa"/>
          </w:tcPr>
          <w:p w14:paraId="389260F4" w14:textId="77777777" w:rsidR="00297E46" w:rsidRPr="003E7EE5" w:rsidRDefault="00297E46" w:rsidP="0017312F">
            <w:pPr>
              <w:tabs>
                <w:tab w:val="left" w:pos="284"/>
              </w:tabs>
              <w:jc w:val="center"/>
              <w:rPr>
                <w:color w:val="000000" w:themeColor="text1"/>
                <w:sz w:val="20"/>
                <w:szCs w:val="20"/>
              </w:rPr>
            </w:pPr>
          </w:p>
        </w:tc>
      </w:tr>
      <w:tr w:rsidR="00297E46" w:rsidRPr="003E7EE5" w14:paraId="259885A4" w14:textId="77777777" w:rsidTr="00561EE0">
        <w:tc>
          <w:tcPr>
            <w:tcW w:w="3686" w:type="dxa"/>
          </w:tcPr>
          <w:p w14:paraId="6AF5C0E0" w14:textId="6430DC26" w:rsidR="00297E46" w:rsidRPr="003E7EE5" w:rsidRDefault="00297E46" w:rsidP="0017312F">
            <w:pPr>
              <w:tabs>
                <w:tab w:val="left" w:pos="284"/>
              </w:tabs>
              <w:ind w:hanging="143"/>
              <w:jc w:val="both"/>
              <w:rPr>
                <w:color w:val="000000" w:themeColor="text1"/>
                <w:sz w:val="20"/>
                <w:szCs w:val="20"/>
              </w:rPr>
            </w:pPr>
            <w:r w:rsidRPr="003E7EE5">
              <w:rPr>
                <w:color w:val="000000" w:themeColor="text1"/>
                <w:sz w:val="20"/>
                <w:szCs w:val="20"/>
              </w:rPr>
              <w:t xml:space="preserve">   Industrial </w:t>
            </w:r>
            <w:r w:rsidR="00470A3D">
              <w:rPr>
                <w:color w:val="000000" w:themeColor="text1"/>
                <w:sz w:val="20"/>
                <w:szCs w:val="20"/>
              </w:rPr>
              <w:t>p</w:t>
            </w:r>
            <w:r w:rsidRPr="003E7EE5">
              <w:rPr>
                <w:color w:val="000000" w:themeColor="text1"/>
                <w:sz w:val="20"/>
                <w:szCs w:val="20"/>
              </w:rPr>
              <w:t xml:space="preserve">roducts </w:t>
            </w:r>
            <w:r w:rsidRPr="003E7EE5">
              <w:rPr>
                <w:color w:val="000000" w:themeColor="text1"/>
                <w:sz w:val="20"/>
                <w:szCs w:val="20"/>
              </w:rPr>
              <w:sym w:font="Wingdings" w:char="F0E0"/>
            </w:r>
            <w:r w:rsidRPr="003E7EE5">
              <w:rPr>
                <w:color w:val="000000" w:themeColor="text1"/>
                <w:sz w:val="20"/>
                <w:szCs w:val="20"/>
              </w:rPr>
              <w:t xml:space="preserve"> FR</w:t>
            </w:r>
          </w:p>
        </w:tc>
        <w:tc>
          <w:tcPr>
            <w:tcW w:w="283" w:type="dxa"/>
          </w:tcPr>
          <w:p w14:paraId="70F53840" w14:textId="77777777" w:rsidR="00297E46" w:rsidRPr="003E7EE5" w:rsidRDefault="00297E46" w:rsidP="0017312F">
            <w:pPr>
              <w:tabs>
                <w:tab w:val="left" w:pos="284"/>
              </w:tabs>
              <w:jc w:val="center"/>
              <w:rPr>
                <w:color w:val="000000" w:themeColor="text1"/>
                <w:sz w:val="20"/>
                <w:szCs w:val="20"/>
              </w:rPr>
            </w:pPr>
          </w:p>
        </w:tc>
        <w:tc>
          <w:tcPr>
            <w:tcW w:w="1276" w:type="dxa"/>
          </w:tcPr>
          <w:p w14:paraId="0A7BD83A"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-0.074</w:t>
            </w:r>
          </w:p>
        </w:tc>
        <w:tc>
          <w:tcPr>
            <w:tcW w:w="284" w:type="dxa"/>
          </w:tcPr>
          <w:p w14:paraId="4C22EEFA" w14:textId="77777777" w:rsidR="00297E46" w:rsidRPr="003E7EE5" w:rsidRDefault="00297E46" w:rsidP="0017312F">
            <w:pPr>
              <w:tabs>
                <w:tab w:val="left" w:pos="284"/>
              </w:tabs>
              <w:jc w:val="center"/>
              <w:rPr>
                <w:color w:val="000000" w:themeColor="text1"/>
                <w:sz w:val="20"/>
                <w:szCs w:val="20"/>
              </w:rPr>
            </w:pPr>
          </w:p>
        </w:tc>
        <w:tc>
          <w:tcPr>
            <w:tcW w:w="1134" w:type="dxa"/>
          </w:tcPr>
          <w:p w14:paraId="7336D8B7"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-0.889</w:t>
            </w:r>
          </w:p>
        </w:tc>
        <w:tc>
          <w:tcPr>
            <w:tcW w:w="1275" w:type="dxa"/>
          </w:tcPr>
          <w:p w14:paraId="1A24D3E7" w14:textId="77777777" w:rsidR="00297E46" w:rsidRPr="003E7EE5" w:rsidRDefault="00297E46" w:rsidP="0017312F">
            <w:pPr>
              <w:tabs>
                <w:tab w:val="left" w:pos="284"/>
              </w:tabs>
              <w:jc w:val="center"/>
              <w:rPr>
                <w:color w:val="000000" w:themeColor="text1"/>
                <w:sz w:val="20"/>
                <w:szCs w:val="20"/>
              </w:rPr>
            </w:pPr>
          </w:p>
        </w:tc>
        <w:tc>
          <w:tcPr>
            <w:tcW w:w="1082" w:type="dxa"/>
          </w:tcPr>
          <w:p w14:paraId="11E1FC4B" w14:textId="77777777" w:rsidR="00297E46" w:rsidRPr="003E7EE5" w:rsidRDefault="00297E46" w:rsidP="0017312F">
            <w:pPr>
              <w:tabs>
                <w:tab w:val="left" w:pos="284"/>
              </w:tabs>
              <w:jc w:val="center"/>
              <w:rPr>
                <w:color w:val="000000" w:themeColor="text1"/>
                <w:sz w:val="20"/>
                <w:szCs w:val="20"/>
              </w:rPr>
            </w:pPr>
          </w:p>
        </w:tc>
      </w:tr>
      <w:tr w:rsidR="00297E46" w:rsidRPr="003E7EE5" w14:paraId="52AD1EB6" w14:textId="77777777" w:rsidTr="00561EE0">
        <w:tc>
          <w:tcPr>
            <w:tcW w:w="3686" w:type="dxa"/>
          </w:tcPr>
          <w:p w14:paraId="674BA77D" w14:textId="417A7F10" w:rsidR="00297E46" w:rsidRPr="003E7EE5" w:rsidRDefault="00297E46" w:rsidP="0017312F">
            <w:pPr>
              <w:tabs>
                <w:tab w:val="left" w:pos="284"/>
              </w:tabs>
              <w:ind w:hanging="143"/>
              <w:jc w:val="both"/>
              <w:rPr>
                <w:color w:val="000000" w:themeColor="text1"/>
                <w:sz w:val="20"/>
                <w:szCs w:val="20"/>
              </w:rPr>
            </w:pPr>
            <w:r w:rsidRPr="003E7EE5">
              <w:rPr>
                <w:color w:val="000000" w:themeColor="text1"/>
                <w:sz w:val="20"/>
                <w:szCs w:val="20"/>
              </w:rPr>
              <w:t xml:space="preserve">   Wholesaler/</w:t>
            </w:r>
            <w:r w:rsidR="00470A3D">
              <w:rPr>
                <w:color w:val="000000" w:themeColor="text1"/>
                <w:sz w:val="20"/>
                <w:szCs w:val="20"/>
              </w:rPr>
              <w:t>r</w:t>
            </w:r>
            <w:r w:rsidRPr="003E7EE5">
              <w:rPr>
                <w:color w:val="000000" w:themeColor="text1"/>
                <w:sz w:val="20"/>
                <w:szCs w:val="20"/>
              </w:rPr>
              <w:t xml:space="preserve">etailer </w:t>
            </w:r>
            <w:r w:rsidRPr="003E7EE5">
              <w:rPr>
                <w:color w:val="000000" w:themeColor="text1"/>
                <w:sz w:val="20"/>
                <w:szCs w:val="20"/>
              </w:rPr>
              <w:sym w:font="Wingdings" w:char="F0E0"/>
            </w:r>
            <w:r w:rsidR="00470A3D">
              <w:rPr>
                <w:color w:val="000000" w:themeColor="text1"/>
                <w:sz w:val="20"/>
                <w:szCs w:val="20"/>
              </w:rPr>
              <w:t xml:space="preserve"> </w:t>
            </w:r>
            <w:r w:rsidRPr="003E7EE5">
              <w:rPr>
                <w:color w:val="000000" w:themeColor="text1"/>
                <w:sz w:val="20"/>
                <w:szCs w:val="20"/>
              </w:rPr>
              <w:t>OR</w:t>
            </w:r>
          </w:p>
        </w:tc>
        <w:tc>
          <w:tcPr>
            <w:tcW w:w="283" w:type="dxa"/>
          </w:tcPr>
          <w:p w14:paraId="5C65481E" w14:textId="77777777" w:rsidR="00297E46" w:rsidRPr="003E7EE5" w:rsidRDefault="00297E46" w:rsidP="0017312F">
            <w:pPr>
              <w:tabs>
                <w:tab w:val="left" w:pos="284"/>
              </w:tabs>
              <w:jc w:val="center"/>
              <w:rPr>
                <w:color w:val="000000" w:themeColor="text1"/>
                <w:sz w:val="20"/>
                <w:szCs w:val="20"/>
              </w:rPr>
            </w:pPr>
          </w:p>
        </w:tc>
        <w:tc>
          <w:tcPr>
            <w:tcW w:w="1276" w:type="dxa"/>
          </w:tcPr>
          <w:p w14:paraId="348C7B58"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0.050</w:t>
            </w:r>
          </w:p>
        </w:tc>
        <w:tc>
          <w:tcPr>
            <w:tcW w:w="284" w:type="dxa"/>
          </w:tcPr>
          <w:p w14:paraId="0C64ADA6" w14:textId="77777777" w:rsidR="00297E46" w:rsidRPr="003E7EE5" w:rsidRDefault="00297E46" w:rsidP="0017312F">
            <w:pPr>
              <w:tabs>
                <w:tab w:val="left" w:pos="284"/>
              </w:tabs>
              <w:jc w:val="center"/>
              <w:rPr>
                <w:color w:val="000000" w:themeColor="text1"/>
                <w:sz w:val="20"/>
                <w:szCs w:val="20"/>
              </w:rPr>
            </w:pPr>
          </w:p>
        </w:tc>
        <w:tc>
          <w:tcPr>
            <w:tcW w:w="1134" w:type="dxa"/>
          </w:tcPr>
          <w:p w14:paraId="0D666225"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0.636</w:t>
            </w:r>
          </w:p>
        </w:tc>
        <w:tc>
          <w:tcPr>
            <w:tcW w:w="1275" w:type="dxa"/>
          </w:tcPr>
          <w:p w14:paraId="2BCFD8B2" w14:textId="77777777" w:rsidR="00297E46" w:rsidRPr="003E7EE5" w:rsidRDefault="00297E46" w:rsidP="0017312F">
            <w:pPr>
              <w:tabs>
                <w:tab w:val="left" w:pos="284"/>
              </w:tabs>
              <w:jc w:val="center"/>
              <w:rPr>
                <w:color w:val="000000" w:themeColor="text1"/>
                <w:sz w:val="20"/>
                <w:szCs w:val="20"/>
              </w:rPr>
            </w:pPr>
          </w:p>
        </w:tc>
        <w:tc>
          <w:tcPr>
            <w:tcW w:w="1082" w:type="dxa"/>
          </w:tcPr>
          <w:p w14:paraId="5FB8E16E" w14:textId="77777777" w:rsidR="00297E46" w:rsidRPr="003E7EE5" w:rsidRDefault="00297E46" w:rsidP="0017312F">
            <w:pPr>
              <w:tabs>
                <w:tab w:val="left" w:pos="284"/>
              </w:tabs>
              <w:jc w:val="center"/>
              <w:rPr>
                <w:color w:val="000000" w:themeColor="text1"/>
                <w:sz w:val="20"/>
                <w:szCs w:val="20"/>
              </w:rPr>
            </w:pPr>
          </w:p>
        </w:tc>
      </w:tr>
      <w:tr w:rsidR="00297E46" w:rsidRPr="003E7EE5" w14:paraId="72B84947" w14:textId="77777777" w:rsidTr="00561EE0">
        <w:tc>
          <w:tcPr>
            <w:tcW w:w="3686" w:type="dxa"/>
          </w:tcPr>
          <w:p w14:paraId="56801F95" w14:textId="136959D0" w:rsidR="00297E46" w:rsidRPr="003E7EE5" w:rsidRDefault="00297E46" w:rsidP="0017312F">
            <w:pPr>
              <w:tabs>
                <w:tab w:val="left" w:pos="284"/>
              </w:tabs>
              <w:ind w:hanging="143"/>
              <w:jc w:val="both"/>
              <w:rPr>
                <w:color w:val="000000" w:themeColor="text1"/>
                <w:sz w:val="20"/>
                <w:szCs w:val="20"/>
              </w:rPr>
            </w:pPr>
            <w:r w:rsidRPr="003E7EE5">
              <w:rPr>
                <w:color w:val="000000" w:themeColor="text1"/>
                <w:sz w:val="20"/>
                <w:szCs w:val="20"/>
              </w:rPr>
              <w:t xml:space="preserve">   Wholesaler/</w:t>
            </w:r>
            <w:r w:rsidR="00470A3D">
              <w:rPr>
                <w:color w:val="000000" w:themeColor="text1"/>
                <w:sz w:val="20"/>
                <w:szCs w:val="20"/>
              </w:rPr>
              <w:t>r</w:t>
            </w:r>
            <w:r w:rsidRPr="003E7EE5">
              <w:rPr>
                <w:color w:val="000000" w:themeColor="text1"/>
                <w:sz w:val="20"/>
                <w:szCs w:val="20"/>
              </w:rPr>
              <w:t xml:space="preserve">etailer </w:t>
            </w:r>
            <w:r w:rsidRPr="003E7EE5">
              <w:rPr>
                <w:color w:val="000000" w:themeColor="text1"/>
                <w:sz w:val="20"/>
                <w:szCs w:val="20"/>
              </w:rPr>
              <w:sym w:font="Wingdings" w:char="F0E0"/>
            </w:r>
            <w:r w:rsidR="00470A3D">
              <w:rPr>
                <w:color w:val="000000" w:themeColor="text1"/>
                <w:sz w:val="20"/>
                <w:szCs w:val="20"/>
              </w:rPr>
              <w:t xml:space="preserve"> </w:t>
            </w:r>
            <w:r w:rsidRPr="003E7EE5">
              <w:rPr>
                <w:color w:val="000000" w:themeColor="text1"/>
                <w:sz w:val="20"/>
                <w:szCs w:val="20"/>
              </w:rPr>
              <w:t>FR</w:t>
            </w:r>
          </w:p>
        </w:tc>
        <w:tc>
          <w:tcPr>
            <w:tcW w:w="283" w:type="dxa"/>
          </w:tcPr>
          <w:p w14:paraId="0C486D73" w14:textId="77777777" w:rsidR="00297E46" w:rsidRPr="003E7EE5" w:rsidRDefault="00297E46" w:rsidP="0017312F">
            <w:pPr>
              <w:tabs>
                <w:tab w:val="left" w:pos="284"/>
              </w:tabs>
              <w:jc w:val="center"/>
              <w:rPr>
                <w:color w:val="000000" w:themeColor="text1"/>
                <w:sz w:val="20"/>
                <w:szCs w:val="20"/>
              </w:rPr>
            </w:pPr>
          </w:p>
        </w:tc>
        <w:tc>
          <w:tcPr>
            <w:tcW w:w="1276" w:type="dxa"/>
          </w:tcPr>
          <w:p w14:paraId="519B91D8"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-0.036</w:t>
            </w:r>
          </w:p>
        </w:tc>
        <w:tc>
          <w:tcPr>
            <w:tcW w:w="284" w:type="dxa"/>
          </w:tcPr>
          <w:p w14:paraId="5836E6BB" w14:textId="77777777" w:rsidR="00297E46" w:rsidRPr="003E7EE5" w:rsidRDefault="00297E46" w:rsidP="0017312F">
            <w:pPr>
              <w:tabs>
                <w:tab w:val="left" w:pos="284"/>
              </w:tabs>
              <w:jc w:val="center"/>
              <w:rPr>
                <w:color w:val="000000" w:themeColor="text1"/>
                <w:sz w:val="20"/>
                <w:szCs w:val="20"/>
              </w:rPr>
            </w:pPr>
          </w:p>
        </w:tc>
        <w:tc>
          <w:tcPr>
            <w:tcW w:w="1134" w:type="dxa"/>
          </w:tcPr>
          <w:p w14:paraId="4D3E76EA" w14:textId="77777777" w:rsidR="00297E46" w:rsidRPr="003E7EE5" w:rsidRDefault="00297E46" w:rsidP="0017312F">
            <w:pPr>
              <w:tabs>
                <w:tab w:val="left" w:pos="284"/>
              </w:tabs>
              <w:rPr>
                <w:color w:val="000000" w:themeColor="text1"/>
                <w:sz w:val="20"/>
                <w:szCs w:val="20"/>
              </w:rPr>
            </w:pPr>
            <w:r w:rsidRPr="003E7EE5">
              <w:rPr>
                <w:color w:val="000000" w:themeColor="text1"/>
                <w:sz w:val="20"/>
                <w:szCs w:val="20"/>
              </w:rPr>
              <w:t>-0.448</w:t>
            </w:r>
          </w:p>
        </w:tc>
        <w:tc>
          <w:tcPr>
            <w:tcW w:w="1275" w:type="dxa"/>
          </w:tcPr>
          <w:p w14:paraId="7064C6D2" w14:textId="77777777" w:rsidR="00297E46" w:rsidRPr="003E7EE5" w:rsidRDefault="00297E46" w:rsidP="0017312F">
            <w:pPr>
              <w:tabs>
                <w:tab w:val="left" w:pos="284"/>
              </w:tabs>
              <w:jc w:val="center"/>
              <w:rPr>
                <w:color w:val="000000" w:themeColor="text1"/>
                <w:sz w:val="20"/>
                <w:szCs w:val="20"/>
              </w:rPr>
            </w:pPr>
          </w:p>
        </w:tc>
        <w:tc>
          <w:tcPr>
            <w:tcW w:w="1082" w:type="dxa"/>
          </w:tcPr>
          <w:p w14:paraId="652C61FE" w14:textId="77777777" w:rsidR="00297E46" w:rsidRPr="003E7EE5" w:rsidRDefault="00297E46" w:rsidP="0017312F">
            <w:pPr>
              <w:tabs>
                <w:tab w:val="left" w:pos="284"/>
              </w:tabs>
              <w:jc w:val="center"/>
              <w:rPr>
                <w:color w:val="000000" w:themeColor="text1"/>
                <w:sz w:val="20"/>
                <w:szCs w:val="20"/>
              </w:rPr>
            </w:pPr>
          </w:p>
        </w:tc>
      </w:tr>
      <w:tr w:rsidR="00297E46" w:rsidRPr="003E7EE5" w14:paraId="37E23F1F" w14:textId="77777777" w:rsidTr="00561EE0">
        <w:tc>
          <w:tcPr>
            <w:tcW w:w="3686" w:type="dxa"/>
          </w:tcPr>
          <w:p w14:paraId="22E01A3D" w14:textId="77777777" w:rsidR="00297E46" w:rsidRPr="003E7EE5" w:rsidRDefault="00297E46" w:rsidP="0017312F">
            <w:pPr>
              <w:tabs>
                <w:tab w:val="left" w:pos="284"/>
              </w:tabs>
              <w:jc w:val="both"/>
              <w:rPr>
                <w:color w:val="000000" w:themeColor="text1"/>
                <w:sz w:val="20"/>
                <w:szCs w:val="20"/>
              </w:rPr>
            </w:pPr>
          </w:p>
        </w:tc>
        <w:tc>
          <w:tcPr>
            <w:tcW w:w="1559" w:type="dxa"/>
            <w:gridSpan w:val="2"/>
          </w:tcPr>
          <w:p w14:paraId="0A5B49F0" w14:textId="77777777" w:rsidR="00297E46" w:rsidRPr="003E7EE5" w:rsidRDefault="00297E46" w:rsidP="0017312F">
            <w:pPr>
              <w:tabs>
                <w:tab w:val="left" w:pos="284"/>
              </w:tabs>
              <w:jc w:val="center"/>
              <w:rPr>
                <w:color w:val="000000" w:themeColor="text1"/>
                <w:sz w:val="20"/>
                <w:szCs w:val="20"/>
              </w:rPr>
            </w:pPr>
          </w:p>
        </w:tc>
        <w:tc>
          <w:tcPr>
            <w:tcW w:w="1418" w:type="dxa"/>
            <w:gridSpan w:val="2"/>
          </w:tcPr>
          <w:p w14:paraId="6B30435E" w14:textId="77777777" w:rsidR="00297E46" w:rsidRPr="003E7EE5" w:rsidRDefault="00297E46" w:rsidP="0017312F">
            <w:pPr>
              <w:tabs>
                <w:tab w:val="left" w:pos="284"/>
              </w:tabs>
              <w:jc w:val="center"/>
              <w:rPr>
                <w:color w:val="000000" w:themeColor="text1"/>
                <w:sz w:val="20"/>
                <w:szCs w:val="20"/>
              </w:rPr>
            </w:pPr>
          </w:p>
        </w:tc>
        <w:tc>
          <w:tcPr>
            <w:tcW w:w="1275" w:type="dxa"/>
          </w:tcPr>
          <w:p w14:paraId="35955C6B" w14:textId="77777777" w:rsidR="00297E46" w:rsidRPr="003E7EE5" w:rsidRDefault="00297E46" w:rsidP="0017312F">
            <w:pPr>
              <w:tabs>
                <w:tab w:val="left" w:pos="284"/>
              </w:tabs>
              <w:jc w:val="center"/>
              <w:rPr>
                <w:color w:val="000000" w:themeColor="text1"/>
                <w:sz w:val="20"/>
                <w:szCs w:val="20"/>
              </w:rPr>
            </w:pPr>
          </w:p>
        </w:tc>
        <w:tc>
          <w:tcPr>
            <w:tcW w:w="1082" w:type="dxa"/>
          </w:tcPr>
          <w:p w14:paraId="3E0744AC" w14:textId="77777777" w:rsidR="00297E46" w:rsidRPr="003E7EE5" w:rsidRDefault="00297E46" w:rsidP="0017312F">
            <w:pPr>
              <w:tabs>
                <w:tab w:val="left" w:pos="284"/>
              </w:tabs>
              <w:jc w:val="center"/>
              <w:rPr>
                <w:color w:val="000000" w:themeColor="text1"/>
                <w:sz w:val="20"/>
                <w:szCs w:val="20"/>
              </w:rPr>
            </w:pPr>
          </w:p>
        </w:tc>
      </w:tr>
      <w:tr w:rsidR="00297E46" w:rsidRPr="003E7EE5" w14:paraId="7E860FFC" w14:textId="77777777" w:rsidTr="000858C0">
        <w:tc>
          <w:tcPr>
            <w:tcW w:w="9020" w:type="dxa"/>
            <w:gridSpan w:val="7"/>
          </w:tcPr>
          <w:p w14:paraId="7D9C4A6C" w14:textId="77777777" w:rsidR="00297E46" w:rsidRPr="003E7EE5" w:rsidRDefault="00297E46" w:rsidP="0017312F">
            <w:pPr>
              <w:tabs>
                <w:tab w:val="left" w:pos="284"/>
              </w:tabs>
              <w:jc w:val="both"/>
              <w:rPr>
                <w:i/>
                <w:color w:val="000000" w:themeColor="text1"/>
                <w:sz w:val="20"/>
                <w:szCs w:val="20"/>
              </w:rPr>
            </w:pPr>
            <w:r w:rsidRPr="003E7EE5">
              <w:rPr>
                <w:i/>
                <w:color w:val="000000" w:themeColor="text1"/>
                <w:sz w:val="20"/>
                <w:szCs w:val="20"/>
              </w:rPr>
              <w:t>Model fit</w:t>
            </w:r>
          </w:p>
          <w:p w14:paraId="6FDFF9FB" w14:textId="2AC6A8F0" w:rsidR="00297E46" w:rsidRPr="003E7EE5" w:rsidRDefault="00297E46" w:rsidP="0017312F">
            <w:pPr>
              <w:tabs>
                <w:tab w:val="left" w:pos="284"/>
              </w:tabs>
              <w:spacing w:after="120"/>
              <w:jc w:val="both"/>
              <w:rPr>
                <w:color w:val="000000" w:themeColor="text1"/>
                <w:sz w:val="20"/>
                <w:szCs w:val="20"/>
              </w:rPr>
            </w:pPr>
            <w:r w:rsidRPr="003E7EE5">
              <w:rPr>
                <w:sz w:val="20"/>
                <w:szCs w:val="20"/>
              </w:rPr>
              <w:t>χ</w:t>
            </w:r>
            <w:r w:rsidRPr="003E7EE5">
              <w:rPr>
                <w:sz w:val="20"/>
                <w:szCs w:val="20"/>
                <w:vertAlign w:val="superscript"/>
              </w:rPr>
              <w:t>2</w:t>
            </w:r>
            <w:r w:rsidRPr="003E7EE5">
              <w:rPr>
                <w:position w:val="10"/>
                <w:sz w:val="20"/>
                <w:szCs w:val="20"/>
              </w:rPr>
              <w:t xml:space="preserve"> </w:t>
            </w:r>
            <w:r w:rsidRPr="003E7EE5">
              <w:rPr>
                <w:sz w:val="20"/>
                <w:szCs w:val="20"/>
              </w:rPr>
              <w:t xml:space="preserve">= 935.557, </w:t>
            </w:r>
            <w:r w:rsidRPr="005E1791">
              <w:rPr>
                <w:i/>
                <w:iCs/>
                <w:sz w:val="20"/>
                <w:szCs w:val="20"/>
              </w:rPr>
              <w:t>df</w:t>
            </w:r>
            <w:r w:rsidRPr="003E7EE5">
              <w:rPr>
                <w:sz w:val="20"/>
                <w:szCs w:val="20"/>
              </w:rPr>
              <w:t xml:space="preserve"> = 417</w:t>
            </w:r>
            <w:r w:rsidR="00470A3D">
              <w:rPr>
                <w:sz w:val="20"/>
                <w:szCs w:val="20"/>
              </w:rPr>
              <w:t>;</w:t>
            </w:r>
            <w:r w:rsidRPr="003E7EE5">
              <w:rPr>
                <w:sz w:val="20"/>
                <w:szCs w:val="20"/>
              </w:rPr>
              <w:t xml:space="preserve"> RMSEA = 0.072</w:t>
            </w:r>
            <w:r w:rsidR="00470A3D">
              <w:rPr>
                <w:sz w:val="20"/>
                <w:szCs w:val="20"/>
              </w:rPr>
              <w:t>;</w:t>
            </w:r>
            <w:r w:rsidRPr="003E7EE5">
              <w:rPr>
                <w:sz w:val="20"/>
                <w:szCs w:val="20"/>
              </w:rPr>
              <w:t xml:space="preserve"> CFI = 0.893</w:t>
            </w:r>
            <w:r w:rsidR="00470A3D">
              <w:rPr>
                <w:sz w:val="20"/>
                <w:szCs w:val="20"/>
              </w:rPr>
              <w:t>;</w:t>
            </w:r>
            <w:r w:rsidRPr="003E7EE5">
              <w:rPr>
                <w:sz w:val="20"/>
                <w:szCs w:val="20"/>
              </w:rPr>
              <w:t xml:space="preserve"> SRMR</w:t>
            </w:r>
            <w:r w:rsidR="00470A3D">
              <w:rPr>
                <w:sz w:val="20"/>
                <w:szCs w:val="20"/>
              </w:rPr>
              <w:t xml:space="preserve"> </w:t>
            </w:r>
            <w:r w:rsidRPr="003E7EE5">
              <w:rPr>
                <w:sz w:val="20"/>
                <w:szCs w:val="20"/>
              </w:rPr>
              <w:t>= 0.069</w:t>
            </w:r>
          </w:p>
        </w:tc>
      </w:tr>
    </w:tbl>
    <w:p w14:paraId="782035D9" w14:textId="224BC480" w:rsidR="00297E46" w:rsidRPr="003E7EE5" w:rsidRDefault="00297E46" w:rsidP="00297E46">
      <w:pPr>
        <w:tabs>
          <w:tab w:val="left" w:pos="284"/>
        </w:tabs>
        <w:jc w:val="both"/>
        <w:rPr>
          <w:sz w:val="18"/>
          <w:szCs w:val="18"/>
        </w:rPr>
      </w:pPr>
      <w:r w:rsidRPr="003E7EE5">
        <w:rPr>
          <w:sz w:val="18"/>
          <w:szCs w:val="18"/>
        </w:rPr>
        <w:t>Notes: The significance of the indirect effect was estimated with bootstrapping 95% confidence interval</w:t>
      </w:r>
      <w:r w:rsidR="00470A3D">
        <w:rPr>
          <w:sz w:val="18"/>
          <w:szCs w:val="18"/>
        </w:rPr>
        <w:t>s</w:t>
      </w:r>
      <w:r w:rsidRPr="003E7EE5">
        <w:rPr>
          <w:sz w:val="18"/>
          <w:szCs w:val="18"/>
        </w:rPr>
        <w:t xml:space="preserve"> based on 5000 bootstrap samples (Hayes, 2009; Preacher and Hayes, 2004). </w:t>
      </w:r>
      <w:r w:rsidR="00C11EB9">
        <w:rPr>
          <w:sz w:val="18"/>
          <w:szCs w:val="18"/>
        </w:rPr>
        <w:t xml:space="preserve">CS = </w:t>
      </w:r>
      <w:r w:rsidR="00C11EB9" w:rsidRPr="00C11EB9">
        <w:rPr>
          <w:sz w:val="18"/>
          <w:szCs w:val="18"/>
        </w:rPr>
        <w:t>corporate sustainability</w:t>
      </w:r>
      <w:r w:rsidR="00470A3D">
        <w:rPr>
          <w:sz w:val="18"/>
          <w:szCs w:val="18"/>
        </w:rPr>
        <w:t>.</w:t>
      </w:r>
    </w:p>
    <w:p w14:paraId="06BEB70D" w14:textId="4A77C854" w:rsidR="00297E46" w:rsidRPr="003E7EE5" w:rsidRDefault="00297E46" w:rsidP="00297E46">
      <w:pPr>
        <w:widowControl w:val="0"/>
        <w:autoSpaceDE w:val="0"/>
        <w:autoSpaceDN w:val="0"/>
        <w:adjustRightInd w:val="0"/>
        <w:rPr>
          <w:i/>
          <w:position w:val="8"/>
          <w:sz w:val="18"/>
          <w:szCs w:val="18"/>
        </w:rPr>
      </w:pPr>
      <w:r w:rsidRPr="003E7EE5">
        <w:rPr>
          <w:i/>
          <w:position w:val="8"/>
          <w:sz w:val="18"/>
          <w:szCs w:val="18"/>
        </w:rPr>
        <w:t xml:space="preserve">***p </w:t>
      </w:r>
      <w:r w:rsidRPr="005E1791">
        <w:rPr>
          <w:iCs/>
          <w:position w:val="8"/>
          <w:sz w:val="18"/>
          <w:szCs w:val="18"/>
        </w:rPr>
        <w:t>&lt; 0.001</w:t>
      </w:r>
      <w:r w:rsidR="00470A3D">
        <w:rPr>
          <w:iCs/>
          <w:position w:val="8"/>
          <w:sz w:val="18"/>
          <w:szCs w:val="18"/>
        </w:rPr>
        <w:t>;</w:t>
      </w:r>
      <w:r w:rsidRPr="005E1791">
        <w:rPr>
          <w:iCs/>
          <w:position w:val="8"/>
          <w:sz w:val="18"/>
          <w:szCs w:val="18"/>
        </w:rPr>
        <w:t xml:space="preserve"> **</w:t>
      </w:r>
      <w:r w:rsidRPr="00470A3D">
        <w:rPr>
          <w:i/>
          <w:position w:val="8"/>
          <w:sz w:val="18"/>
          <w:szCs w:val="18"/>
        </w:rPr>
        <w:t>p</w:t>
      </w:r>
      <w:r w:rsidRPr="005E1791">
        <w:rPr>
          <w:iCs/>
          <w:position w:val="8"/>
          <w:sz w:val="18"/>
          <w:szCs w:val="18"/>
        </w:rPr>
        <w:t xml:space="preserve"> &lt;</w:t>
      </w:r>
      <w:r w:rsidR="00470A3D">
        <w:rPr>
          <w:iCs/>
          <w:position w:val="8"/>
          <w:sz w:val="18"/>
          <w:szCs w:val="18"/>
        </w:rPr>
        <w:t xml:space="preserve"> </w:t>
      </w:r>
      <w:r w:rsidRPr="005E1791">
        <w:rPr>
          <w:iCs/>
          <w:position w:val="8"/>
          <w:sz w:val="18"/>
          <w:szCs w:val="18"/>
        </w:rPr>
        <w:t>0.01</w:t>
      </w:r>
      <w:r w:rsidR="00470A3D">
        <w:rPr>
          <w:iCs/>
          <w:position w:val="8"/>
          <w:sz w:val="18"/>
          <w:szCs w:val="18"/>
        </w:rPr>
        <w:t>;</w:t>
      </w:r>
      <w:r w:rsidRPr="005E1791">
        <w:rPr>
          <w:iCs/>
          <w:position w:val="8"/>
          <w:sz w:val="18"/>
          <w:szCs w:val="18"/>
        </w:rPr>
        <w:t xml:space="preserve"> *</w:t>
      </w:r>
      <w:r w:rsidRPr="00470A3D">
        <w:rPr>
          <w:i/>
          <w:position w:val="8"/>
          <w:sz w:val="18"/>
          <w:szCs w:val="18"/>
        </w:rPr>
        <w:t>p</w:t>
      </w:r>
      <w:r w:rsidRPr="005E1791">
        <w:rPr>
          <w:iCs/>
          <w:position w:val="8"/>
          <w:sz w:val="18"/>
          <w:szCs w:val="18"/>
        </w:rPr>
        <w:t xml:space="preserve"> &lt;</w:t>
      </w:r>
      <w:r w:rsidR="00470A3D">
        <w:rPr>
          <w:iCs/>
          <w:position w:val="8"/>
          <w:sz w:val="18"/>
          <w:szCs w:val="18"/>
        </w:rPr>
        <w:t xml:space="preserve"> </w:t>
      </w:r>
      <w:r w:rsidRPr="005E1791">
        <w:rPr>
          <w:iCs/>
          <w:position w:val="8"/>
          <w:sz w:val="18"/>
          <w:szCs w:val="18"/>
        </w:rPr>
        <w:t>0.05</w:t>
      </w:r>
      <w:r w:rsidR="00470A3D">
        <w:rPr>
          <w:iCs/>
          <w:position w:val="8"/>
          <w:sz w:val="18"/>
          <w:szCs w:val="18"/>
        </w:rPr>
        <w:t>.</w:t>
      </w:r>
    </w:p>
    <w:p w14:paraId="77E4BE86" w14:textId="77777777" w:rsidR="00297E46" w:rsidRPr="003E7EE5" w:rsidRDefault="00297E46" w:rsidP="00297E46">
      <w:pPr>
        <w:tabs>
          <w:tab w:val="left" w:pos="284"/>
        </w:tabs>
        <w:jc w:val="both"/>
        <w:rPr>
          <w:i/>
          <w:color w:val="000000" w:themeColor="text1"/>
        </w:rPr>
      </w:pPr>
    </w:p>
    <w:p w14:paraId="76779340" w14:textId="77777777" w:rsidR="00297E46" w:rsidRPr="003E7EE5" w:rsidRDefault="00297E46" w:rsidP="00297E46">
      <w:pPr>
        <w:tabs>
          <w:tab w:val="left" w:pos="284"/>
        </w:tabs>
        <w:jc w:val="both"/>
        <w:rPr>
          <w:i/>
          <w:color w:val="000000" w:themeColor="text1"/>
        </w:rPr>
      </w:pPr>
    </w:p>
    <w:p w14:paraId="32E11732" w14:textId="77777777" w:rsidR="009D69B7" w:rsidRPr="003E7EE5" w:rsidRDefault="009D69B7" w:rsidP="00297E46">
      <w:pPr>
        <w:tabs>
          <w:tab w:val="left" w:pos="284"/>
        </w:tabs>
        <w:jc w:val="both"/>
        <w:rPr>
          <w:i/>
          <w:color w:val="000000" w:themeColor="text1"/>
        </w:rPr>
      </w:pPr>
    </w:p>
    <w:p w14:paraId="3E319650" w14:textId="77777777" w:rsidR="009D69B7" w:rsidRPr="003E7EE5" w:rsidRDefault="009D69B7" w:rsidP="00297E46">
      <w:pPr>
        <w:tabs>
          <w:tab w:val="left" w:pos="284"/>
        </w:tabs>
        <w:jc w:val="both"/>
        <w:rPr>
          <w:i/>
          <w:color w:val="000000" w:themeColor="text1"/>
        </w:rPr>
      </w:pPr>
    </w:p>
    <w:p w14:paraId="45A21467" w14:textId="77777777" w:rsidR="00297E46" w:rsidRPr="003E7EE5" w:rsidRDefault="00297E46" w:rsidP="00297E46">
      <w:pPr>
        <w:tabs>
          <w:tab w:val="left" w:pos="284"/>
        </w:tabs>
        <w:jc w:val="both"/>
        <w:rPr>
          <w:i/>
          <w:color w:val="000000" w:themeColor="text1"/>
        </w:rPr>
      </w:pPr>
    </w:p>
    <w:p w14:paraId="5D8132E1" w14:textId="32E3B743" w:rsidR="00297E46" w:rsidRPr="005E1791" w:rsidRDefault="00297E46" w:rsidP="00297E46">
      <w:pPr>
        <w:tabs>
          <w:tab w:val="left" w:pos="284"/>
        </w:tabs>
        <w:jc w:val="both"/>
        <w:rPr>
          <w:iCs/>
          <w:color w:val="000000" w:themeColor="text1"/>
        </w:rPr>
      </w:pPr>
      <w:r w:rsidRPr="005E1791">
        <w:rPr>
          <w:iCs/>
          <w:color w:val="000000" w:themeColor="text1"/>
        </w:rPr>
        <w:lastRenderedPageBreak/>
        <w:t>Fig</w:t>
      </w:r>
      <w:r w:rsidR="00470A3D" w:rsidRPr="005E1791">
        <w:rPr>
          <w:iCs/>
          <w:color w:val="000000" w:themeColor="text1"/>
        </w:rPr>
        <w:t>ure</w:t>
      </w:r>
      <w:r w:rsidRPr="005E1791">
        <w:rPr>
          <w:iCs/>
          <w:color w:val="000000" w:themeColor="text1"/>
        </w:rPr>
        <w:t xml:space="preserve"> 2</w:t>
      </w:r>
      <w:r w:rsidR="00566E35" w:rsidRPr="005E1791">
        <w:rPr>
          <w:iCs/>
          <w:color w:val="000000" w:themeColor="text1"/>
        </w:rPr>
        <w:t>.</w:t>
      </w:r>
      <w:r w:rsidRPr="005E1791">
        <w:rPr>
          <w:iCs/>
          <w:color w:val="000000" w:themeColor="text1"/>
          <w:sz w:val="36"/>
        </w:rPr>
        <w:t xml:space="preserve"> </w:t>
      </w:r>
      <w:r w:rsidRPr="005E1791">
        <w:rPr>
          <w:iCs/>
          <w:color w:val="000000" w:themeColor="text1"/>
        </w:rPr>
        <w:t xml:space="preserve">Moderating </w:t>
      </w:r>
      <w:r w:rsidR="00470A3D" w:rsidRPr="005E1791">
        <w:rPr>
          <w:iCs/>
          <w:color w:val="000000" w:themeColor="text1"/>
        </w:rPr>
        <w:t>i</w:t>
      </w:r>
      <w:r w:rsidRPr="005E1791">
        <w:rPr>
          <w:iCs/>
          <w:color w:val="000000" w:themeColor="text1"/>
        </w:rPr>
        <w:t xml:space="preserve">nfluences of </w:t>
      </w:r>
      <w:r w:rsidR="00C11EB9" w:rsidRPr="005E1791">
        <w:rPr>
          <w:iCs/>
          <w:color w:val="000000" w:themeColor="text1"/>
        </w:rPr>
        <w:t>GMR</w:t>
      </w:r>
      <w:r w:rsidRPr="005E1791">
        <w:rPr>
          <w:iCs/>
          <w:color w:val="000000" w:themeColor="text1"/>
        </w:rPr>
        <w:t xml:space="preserve">s on the </w:t>
      </w:r>
      <w:r w:rsidR="00470A3D" w:rsidRPr="005E1791">
        <w:rPr>
          <w:iCs/>
          <w:color w:val="000000" w:themeColor="text1"/>
        </w:rPr>
        <w:t>r</w:t>
      </w:r>
      <w:r w:rsidRPr="005E1791">
        <w:rPr>
          <w:iCs/>
          <w:color w:val="000000" w:themeColor="text1"/>
        </w:rPr>
        <w:t xml:space="preserve">elationships between GMS and </w:t>
      </w:r>
      <w:r w:rsidR="00470A3D" w:rsidRPr="005E1791">
        <w:rPr>
          <w:iCs/>
          <w:color w:val="000000" w:themeColor="text1"/>
        </w:rPr>
        <w:t>r</w:t>
      </w:r>
      <w:r w:rsidRPr="005E1791">
        <w:rPr>
          <w:iCs/>
          <w:color w:val="000000" w:themeColor="text1"/>
        </w:rPr>
        <w:t>esilience (</w:t>
      </w:r>
      <w:r w:rsidR="00470A3D" w:rsidRPr="005E1791">
        <w:rPr>
          <w:iCs/>
          <w:color w:val="000000" w:themeColor="text1"/>
        </w:rPr>
        <w:t>f</w:t>
      </w:r>
      <w:r w:rsidRPr="005E1791">
        <w:rPr>
          <w:iCs/>
          <w:color w:val="000000" w:themeColor="text1"/>
        </w:rPr>
        <w:t xml:space="preserve">inancial and </w:t>
      </w:r>
      <w:r w:rsidR="00470A3D" w:rsidRPr="005E1791">
        <w:rPr>
          <w:iCs/>
          <w:color w:val="000000" w:themeColor="text1"/>
        </w:rPr>
        <w:t>o</w:t>
      </w:r>
      <w:r w:rsidRPr="005E1791">
        <w:rPr>
          <w:iCs/>
          <w:color w:val="000000" w:themeColor="text1"/>
        </w:rPr>
        <w:t>perational)</w:t>
      </w:r>
    </w:p>
    <w:p w14:paraId="4089D4AE" w14:textId="77777777" w:rsidR="00297E46" w:rsidRPr="003E7EE5" w:rsidRDefault="00297E46" w:rsidP="00297E46">
      <w:pPr>
        <w:tabs>
          <w:tab w:val="left" w:pos="284"/>
        </w:tabs>
        <w:jc w:val="both"/>
        <w:rPr>
          <w:i/>
          <w:color w:val="538135" w:themeColor="accent6" w:themeShade="BF"/>
          <w:sz w:val="20"/>
        </w:rPr>
      </w:pPr>
    </w:p>
    <w:p w14:paraId="02B0E31E" w14:textId="77777777" w:rsidR="00297E46" w:rsidRPr="003E7EE5" w:rsidRDefault="00297E46" w:rsidP="00297E46">
      <w:pPr>
        <w:jc w:val="center"/>
        <w:rPr>
          <w:noProof/>
        </w:rPr>
      </w:pPr>
    </w:p>
    <w:p w14:paraId="1341581F" w14:textId="3E73F5D6" w:rsidR="00EB16A4" w:rsidRPr="003E7EE5" w:rsidRDefault="00297E46" w:rsidP="00EB16A4">
      <w:pPr>
        <w:jc w:val="center"/>
        <w:rPr>
          <w:b/>
          <w:sz w:val="22"/>
          <w:szCs w:val="22"/>
        </w:rPr>
      </w:pPr>
      <w:r w:rsidRPr="003E7EE5">
        <w:rPr>
          <w:noProof/>
          <w:lang w:eastAsia="en-GB"/>
        </w:rPr>
        <w:drawing>
          <wp:anchor distT="0" distB="0" distL="114300" distR="114300" simplePos="0" relativeHeight="251660288" behindDoc="0" locked="0" layoutInCell="1" allowOverlap="1" wp14:anchorId="26810ADE" wp14:editId="3F8A9E52">
            <wp:simplePos x="0" y="0"/>
            <wp:positionH relativeFrom="column">
              <wp:posOffset>2983230</wp:posOffset>
            </wp:positionH>
            <wp:positionV relativeFrom="paragraph">
              <wp:posOffset>289560</wp:posOffset>
            </wp:positionV>
            <wp:extent cx="3229610" cy="2583815"/>
            <wp:effectExtent l="0" t="0" r="8890" b="6985"/>
            <wp:wrapSquare wrapText="bothSides"/>
            <wp:docPr id="4" name="Εικόνα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7" descr="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9610" cy="2583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7EE5">
        <w:rPr>
          <w:noProof/>
          <w:lang w:eastAsia="en-GB"/>
        </w:rPr>
        <w:drawing>
          <wp:anchor distT="0" distB="0" distL="114300" distR="114300" simplePos="0" relativeHeight="251659264" behindDoc="0" locked="0" layoutInCell="1" allowOverlap="1" wp14:anchorId="43E8880E" wp14:editId="4AB859E0">
            <wp:simplePos x="0" y="0"/>
            <wp:positionH relativeFrom="column">
              <wp:posOffset>-215265</wp:posOffset>
            </wp:positionH>
            <wp:positionV relativeFrom="paragraph">
              <wp:posOffset>294005</wp:posOffset>
            </wp:positionV>
            <wp:extent cx="3228975" cy="2584450"/>
            <wp:effectExtent l="0" t="0" r="9525" b="6350"/>
            <wp:wrapSquare wrapText="bothSides"/>
            <wp:docPr id="5" name="Εικόνα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Chart, scatte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8975" cy="258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7EE5">
        <w:rPr>
          <w:noProof/>
        </w:rPr>
        <w:t xml:space="preserve"> </w:t>
      </w:r>
      <w:r w:rsidRPr="003E7EE5">
        <w:rPr>
          <w:b/>
          <w:sz w:val="22"/>
          <w:szCs w:val="22"/>
        </w:rPr>
        <w:t xml:space="preserve">A. Regression </w:t>
      </w:r>
      <w:r w:rsidR="00470A3D">
        <w:rPr>
          <w:b/>
          <w:sz w:val="22"/>
          <w:szCs w:val="22"/>
        </w:rPr>
        <w:t>l</w:t>
      </w:r>
      <w:r w:rsidRPr="003E7EE5">
        <w:rPr>
          <w:b/>
          <w:sz w:val="22"/>
          <w:szCs w:val="22"/>
        </w:rPr>
        <w:t>ines with Johnson</w:t>
      </w:r>
      <w:r w:rsidR="00470A3D">
        <w:rPr>
          <w:b/>
          <w:sz w:val="22"/>
          <w:szCs w:val="22"/>
        </w:rPr>
        <w:t>–</w:t>
      </w:r>
      <w:proofErr w:type="spellStart"/>
      <w:r w:rsidRPr="003E7EE5">
        <w:rPr>
          <w:b/>
          <w:sz w:val="22"/>
          <w:szCs w:val="22"/>
        </w:rPr>
        <w:t>Neyman</w:t>
      </w:r>
      <w:proofErr w:type="spellEnd"/>
      <w:r w:rsidRPr="003E7EE5">
        <w:rPr>
          <w:b/>
          <w:sz w:val="22"/>
          <w:szCs w:val="22"/>
        </w:rPr>
        <w:t xml:space="preserve"> </w:t>
      </w:r>
      <w:r w:rsidR="00470A3D">
        <w:rPr>
          <w:b/>
          <w:sz w:val="22"/>
          <w:szCs w:val="22"/>
        </w:rPr>
        <w:t>p</w:t>
      </w:r>
      <w:r w:rsidRPr="003E7EE5">
        <w:rPr>
          <w:b/>
          <w:sz w:val="22"/>
          <w:szCs w:val="22"/>
        </w:rPr>
        <w:t>oin</w:t>
      </w:r>
      <w:r w:rsidR="00EB16A4" w:rsidRPr="003E7EE5">
        <w:rPr>
          <w:b/>
          <w:sz w:val="22"/>
          <w:szCs w:val="22"/>
        </w:rPr>
        <w:t>t</w:t>
      </w:r>
    </w:p>
    <w:p w14:paraId="5381D755" w14:textId="77777777" w:rsidR="00EB16A4" w:rsidRPr="003E7EE5" w:rsidRDefault="00EB16A4" w:rsidP="00EB16A4">
      <w:pPr>
        <w:jc w:val="center"/>
        <w:rPr>
          <w:b/>
          <w:sz w:val="22"/>
          <w:szCs w:val="22"/>
        </w:rPr>
      </w:pPr>
    </w:p>
    <w:p w14:paraId="0F42796C" w14:textId="43C432EE" w:rsidR="00297E46" w:rsidRPr="003E7EE5" w:rsidRDefault="00EB16A4" w:rsidP="00EB16A4">
      <w:pPr>
        <w:jc w:val="center"/>
        <w:rPr>
          <w:b/>
          <w:sz w:val="22"/>
          <w:szCs w:val="22"/>
        </w:rPr>
      </w:pPr>
      <w:r w:rsidRPr="003E7EE5">
        <w:rPr>
          <w:b/>
          <w:sz w:val="22"/>
          <w:szCs w:val="22"/>
        </w:rPr>
        <w:t xml:space="preserve">        </w:t>
      </w:r>
      <w:r w:rsidR="00297E46" w:rsidRPr="003E7EE5">
        <w:rPr>
          <w:b/>
          <w:sz w:val="22"/>
          <w:szCs w:val="22"/>
        </w:rPr>
        <w:t xml:space="preserve">B. Estimated </w:t>
      </w:r>
      <w:r w:rsidR="00470A3D">
        <w:rPr>
          <w:b/>
          <w:sz w:val="22"/>
          <w:szCs w:val="22"/>
        </w:rPr>
        <w:t>e</w:t>
      </w:r>
      <w:r w:rsidR="00297E46" w:rsidRPr="003E7EE5">
        <w:rPr>
          <w:b/>
          <w:sz w:val="22"/>
          <w:szCs w:val="22"/>
        </w:rPr>
        <w:t xml:space="preserve">ffects with </w:t>
      </w:r>
      <w:r w:rsidR="00470A3D">
        <w:rPr>
          <w:b/>
          <w:sz w:val="22"/>
          <w:szCs w:val="22"/>
        </w:rPr>
        <w:t>c</w:t>
      </w:r>
      <w:r w:rsidR="00297E46" w:rsidRPr="003E7EE5">
        <w:rPr>
          <w:b/>
          <w:sz w:val="22"/>
          <w:szCs w:val="22"/>
        </w:rPr>
        <w:t xml:space="preserve">onfidence </w:t>
      </w:r>
      <w:r w:rsidR="00470A3D">
        <w:rPr>
          <w:b/>
          <w:sz w:val="22"/>
          <w:szCs w:val="22"/>
        </w:rPr>
        <w:t>b</w:t>
      </w:r>
      <w:r w:rsidR="00297E46" w:rsidRPr="003E7EE5">
        <w:rPr>
          <w:b/>
          <w:sz w:val="22"/>
          <w:szCs w:val="22"/>
        </w:rPr>
        <w:t>ands</w:t>
      </w:r>
    </w:p>
    <w:p w14:paraId="0438EA25" w14:textId="77777777" w:rsidR="00297E46" w:rsidRPr="003E7EE5" w:rsidRDefault="00297E46" w:rsidP="00297E46">
      <w:pPr>
        <w:rPr>
          <w:i/>
          <w:color w:val="000000" w:themeColor="text1"/>
        </w:rPr>
      </w:pPr>
      <w:r w:rsidRPr="003E7EE5">
        <w:rPr>
          <w:noProof/>
          <w:lang w:eastAsia="en-GB"/>
        </w:rPr>
        <w:drawing>
          <wp:anchor distT="0" distB="0" distL="114300" distR="114300" simplePos="0" relativeHeight="251661312" behindDoc="0" locked="0" layoutInCell="1" allowOverlap="1" wp14:anchorId="1D5CC995" wp14:editId="0BAE1F7D">
            <wp:simplePos x="0" y="0"/>
            <wp:positionH relativeFrom="column">
              <wp:posOffset>-146050</wp:posOffset>
            </wp:positionH>
            <wp:positionV relativeFrom="paragraph">
              <wp:posOffset>296545</wp:posOffset>
            </wp:positionV>
            <wp:extent cx="3054350" cy="2541905"/>
            <wp:effectExtent l="0" t="0" r="0" b="0"/>
            <wp:wrapSquare wrapText="bothSides"/>
            <wp:docPr id="9" name="Εικόνα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Chart, line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4350" cy="2541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7EE5">
        <w:rPr>
          <w:noProof/>
          <w:lang w:eastAsia="en-GB"/>
        </w:rPr>
        <w:drawing>
          <wp:anchor distT="0" distB="0" distL="114300" distR="114300" simplePos="0" relativeHeight="251662336" behindDoc="0" locked="0" layoutInCell="1" allowOverlap="1" wp14:anchorId="31FAC764" wp14:editId="7CC01E04">
            <wp:simplePos x="0" y="0"/>
            <wp:positionH relativeFrom="column">
              <wp:posOffset>3057525</wp:posOffset>
            </wp:positionH>
            <wp:positionV relativeFrom="paragraph">
              <wp:posOffset>300990</wp:posOffset>
            </wp:positionV>
            <wp:extent cx="3172460" cy="2639695"/>
            <wp:effectExtent l="0" t="0" r="8890" b="8255"/>
            <wp:wrapSquare wrapText="bothSides"/>
            <wp:docPr id="8" name="Εικόνα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10" descr="Chart, line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2460" cy="2639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2A1ED" w14:textId="77777777" w:rsidR="00297E46" w:rsidRPr="003E7EE5" w:rsidRDefault="00297E46" w:rsidP="00297E46">
      <w:pPr>
        <w:rPr>
          <w:i/>
          <w:color w:val="000000" w:themeColor="text1"/>
        </w:rPr>
      </w:pPr>
    </w:p>
    <w:p w14:paraId="7A0ABFB7" w14:textId="77777777" w:rsidR="00297E46" w:rsidRPr="003E7EE5" w:rsidRDefault="00297E46" w:rsidP="00297E46">
      <w:pPr>
        <w:rPr>
          <w:i/>
          <w:color w:val="000000" w:themeColor="text1"/>
        </w:rPr>
      </w:pPr>
    </w:p>
    <w:p w14:paraId="5902343D" w14:textId="77777777" w:rsidR="00EB16A4" w:rsidRPr="003E7EE5" w:rsidRDefault="00EB16A4" w:rsidP="00297E46">
      <w:pPr>
        <w:rPr>
          <w:i/>
          <w:color w:val="000000" w:themeColor="text1"/>
        </w:rPr>
      </w:pPr>
    </w:p>
    <w:p w14:paraId="05CE60D0" w14:textId="77777777" w:rsidR="00EB16A4" w:rsidRPr="003E7EE5" w:rsidRDefault="00EB16A4" w:rsidP="00297E46">
      <w:pPr>
        <w:rPr>
          <w:i/>
          <w:color w:val="000000" w:themeColor="text1"/>
        </w:rPr>
      </w:pPr>
    </w:p>
    <w:p w14:paraId="08CDF6A3" w14:textId="77777777" w:rsidR="00EB16A4" w:rsidRPr="003E7EE5" w:rsidRDefault="00EB16A4" w:rsidP="00297E46">
      <w:pPr>
        <w:rPr>
          <w:i/>
          <w:color w:val="000000" w:themeColor="text1"/>
        </w:rPr>
      </w:pPr>
    </w:p>
    <w:p w14:paraId="7C452324" w14:textId="77777777" w:rsidR="00EB16A4" w:rsidRPr="003E7EE5" w:rsidRDefault="00EB16A4" w:rsidP="00297E46">
      <w:pPr>
        <w:rPr>
          <w:i/>
          <w:color w:val="000000" w:themeColor="text1"/>
        </w:rPr>
      </w:pPr>
    </w:p>
    <w:p w14:paraId="67877505" w14:textId="77777777" w:rsidR="00EB16A4" w:rsidRPr="003E7EE5" w:rsidRDefault="00EB16A4" w:rsidP="00297E46">
      <w:pPr>
        <w:rPr>
          <w:i/>
          <w:color w:val="000000" w:themeColor="text1"/>
        </w:rPr>
      </w:pPr>
    </w:p>
    <w:p w14:paraId="0C543081" w14:textId="77777777" w:rsidR="00EB16A4" w:rsidRPr="003E7EE5" w:rsidRDefault="00EB16A4" w:rsidP="00297E46">
      <w:pPr>
        <w:rPr>
          <w:i/>
          <w:color w:val="000000" w:themeColor="text1"/>
        </w:rPr>
      </w:pPr>
    </w:p>
    <w:p w14:paraId="5DD8035E" w14:textId="77777777" w:rsidR="00EB16A4" w:rsidRPr="003E7EE5" w:rsidRDefault="00EB16A4" w:rsidP="00297E46">
      <w:pPr>
        <w:rPr>
          <w:i/>
          <w:color w:val="000000" w:themeColor="text1"/>
        </w:rPr>
      </w:pPr>
    </w:p>
    <w:p w14:paraId="5DBC163D" w14:textId="77777777" w:rsidR="00EB16A4" w:rsidRPr="003E7EE5" w:rsidRDefault="00EB16A4" w:rsidP="00297E46">
      <w:pPr>
        <w:rPr>
          <w:i/>
          <w:color w:val="000000" w:themeColor="text1"/>
        </w:rPr>
      </w:pPr>
    </w:p>
    <w:p w14:paraId="16A0670B" w14:textId="77777777" w:rsidR="00EB16A4" w:rsidRPr="003E7EE5" w:rsidRDefault="00EB16A4" w:rsidP="00297E46">
      <w:pPr>
        <w:rPr>
          <w:i/>
          <w:color w:val="000000" w:themeColor="text1"/>
        </w:rPr>
      </w:pPr>
    </w:p>
    <w:p w14:paraId="05BB2643" w14:textId="77777777" w:rsidR="00B31EE8" w:rsidRPr="003E7EE5" w:rsidRDefault="00B31EE8" w:rsidP="00297E46">
      <w:pPr>
        <w:rPr>
          <w:i/>
          <w:color w:val="000000" w:themeColor="text1"/>
        </w:rPr>
      </w:pPr>
    </w:p>
    <w:p w14:paraId="571CC6DD" w14:textId="77777777" w:rsidR="00B31EE8" w:rsidRPr="003E7EE5" w:rsidRDefault="00B31EE8" w:rsidP="00297E46">
      <w:pPr>
        <w:rPr>
          <w:i/>
          <w:color w:val="000000" w:themeColor="text1"/>
        </w:rPr>
      </w:pPr>
    </w:p>
    <w:p w14:paraId="5CDA4B68" w14:textId="58E2A0D0" w:rsidR="00EB16A4" w:rsidRPr="005E1791" w:rsidRDefault="00EB16A4" w:rsidP="00EB16A4">
      <w:pPr>
        <w:tabs>
          <w:tab w:val="left" w:pos="284"/>
        </w:tabs>
        <w:rPr>
          <w:b/>
          <w:bCs/>
          <w:iCs/>
          <w:color w:val="FF0000"/>
        </w:rPr>
      </w:pPr>
      <w:r w:rsidRPr="005E1791">
        <w:rPr>
          <w:iCs/>
          <w:color w:val="000000" w:themeColor="text1"/>
        </w:rPr>
        <w:t>Fig</w:t>
      </w:r>
      <w:r w:rsidR="00470A3D" w:rsidRPr="005E1791">
        <w:rPr>
          <w:iCs/>
          <w:color w:val="000000" w:themeColor="text1"/>
        </w:rPr>
        <w:t>ure</w:t>
      </w:r>
      <w:r w:rsidRPr="005E1791">
        <w:rPr>
          <w:iCs/>
          <w:color w:val="000000" w:themeColor="text1"/>
        </w:rPr>
        <w:t xml:space="preserve"> 3.</w:t>
      </w:r>
      <w:r w:rsidRPr="005E1791">
        <w:rPr>
          <w:iCs/>
          <w:color w:val="000000" w:themeColor="text1"/>
          <w:sz w:val="36"/>
        </w:rPr>
        <w:t xml:space="preserve"> </w:t>
      </w:r>
      <w:r w:rsidRPr="005E1791">
        <w:rPr>
          <w:iCs/>
          <w:color w:val="000000" w:themeColor="text1"/>
        </w:rPr>
        <w:t>“Green” typology of companies</w:t>
      </w:r>
    </w:p>
    <w:p w14:paraId="3D8BC865" w14:textId="77777777" w:rsidR="00EB16A4" w:rsidRPr="003E7EE5" w:rsidRDefault="00EB16A4" w:rsidP="00EB16A4">
      <w:pPr>
        <w:tabs>
          <w:tab w:val="left" w:pos="284"/>
        </w:tabs>
        <w:jc w:val="both"/>
        <w:rPr>
          <w:b/>
          <w:bCs/>
          <w:i/>
          <w:color w:val="FF0000"/>
        </w:rPr>
      </w:pPr>
    </w:p>
    <w:tbl>
      <w:tblPr>
        <w:tblStyle w:val="TableGrid"/>
        <w:tblW w:w="0" w:type="auto"/>
        <w:tblLook w:val="04A0" w:firstRow="1" w:lastRow="0" w:firstColumn="1" w:lastColumn="0" w:noHBand="0" w:noVBand="1"/>
      </w:tblPr>
      <w:tblGrid>
        <w:gridCol w:w="1221"/>
        <w:gridCol w:w="1323"/>
        <w:gridCol w:w="2167"/>
        <w:gridCol w:w="2099"/>
        <w:gridCol w:w="2200"/>
      </w:tblGrid>
      <w:tr w:rsidR="00EB16A4" w:rsidRPr="003E7EE5" w14:paraId="79ECA274" w14:textId="77777777" w:rsidTr="0017312F">
        <w:tc>
          <w:tcPr>
            <w:tcW w:w="1310" w:type="dxa"/>
          </w:tcPr>
          <w:p w14:paraId="3693AEF2" w14:textId="77777777" w:rsidR="00EB16A4" w:rsidRPr="003E7EE5" w:rsidRDefault="00EB16A4" w:rsidP="0017312F">
            <w:pPr>
              <w:tabs>
                <w:tab w:val="left" w:pos="284"/>
              </w:tabs>
              <w:jc w:val="both"/>
              <w:rPr>
                <w:iCs/>
              </w:rPr>
            </w:pPr>
          </w:p>
        </w:tc>
        <w:tc>
          <w:tcPr>
            <w:tcW w:w="7700" w:type="dxa"/>
            <w:gridSpan w:val="4"/>
          </w:tcPr>
          <w:p w14:paraId="5AAB551A" w14:textId="094028ED" w:rsidR="00EB16A4" w:rsidRPr="003E7EE5" w:rsidRDefault="00C11EB9" w:rsidP="0017312F">
            <w:pPr>
              <w:tabs>
                <w:tab w:val="left" w:pos="284"/>
              </w:tabs>
              <w:jc w:val="center"/>
              <w:rPr>
                <w:b/>
                <w:bCs/>
                <w:iCs/>
              </w:rPr>
            </w:pPr>
            <w:r>
              <w:rPr>
                <w:b/>
                <w:bCs/>
                <w:iCs/>
              </w:rPr>
              <w:t>GMR</w:t>
            </w:r>
            <w:r w:rsidR="00EB16A4" w:rsidRPr="003E7EE5">
              <w:rPr>
                <w:b/>
                <w:bCs/>
                <w:iCs/>
              </w:rPr>
              <w:t>s</w:t>
            </w:r>
          </w:p>
        </w:tc>
      </w:tr>
      <w:tr w:rsidR="00EB16A4" w:rsidRPr="003E7EE5" w14:paraId="40147B18" w14:textId="77777777" w:rsidTr="0017312F">
        <w:tc>
          <w:tcPr>
            <w:tcW w:w="1310" w:type="dxa"/>
            <w:vMerge w:val="restart"/>
            <w:vAlign w:val="center"/>
          </w:tcPr>
          <w:p w14:paraId="06213E72" w14:textId="7D6ECC02" w:rsidR="00EB16A4" w:rsidRPr="003E7EE5" w:rsidRDefault="006D0D47" w:rsidP="0017312F">
            <w:pPr>
              <w:tabs>
                <w:tab w:val="left" w:pos="284"/>
              </w:tabs>
              <w:jc w:val="center"/>
              <w:rPr>
                <w:b/>
                <w:bCs/>
                <w:iCs/>
              </w:rPr>
            </w:pPr>
            <w:r w:rsidRPr="003E7EE5">
              <w:rPr>
                <w:b/>
                <w:bCs/>
                <w:iCs/>
              </w:rPr>
              <w:t>GMS</w:t>
            </w:r>
          </w:p>
        </w:tc>
        <w:tc>
          <w:tcPr>
            <w:tcW w:w="812" w:type="dxa"/>
          </w:tcPr>
          <w:p w14:paraId="44654A18" w14:textId="77777777" w:rsidR="00EB16A4" w:rsidRPr="003E7EE5" w:rsidRDefault="00EB16A4" w:rsidP="0017312F">
            <w:pPr>
              <w:tabs>
                <w:tab w:val="left" w:pos="284"/>
              </w:tabs>
              <w:jc w:val="both"/>
              <w:rPr>
                <w:iCs/>
              </w:rPr>
            </w:pPr>
          </w:p>
        </w:tc>
        <w:tc>
          <w:tcPr>
            <w:tcW w:w="2268" w:type="dxa"/>
          </w:tcPr>
          <w:p w14:paraId="7CD85AC6" w14:textId="77777777" w:rsidR="00EB16A4" w:rsidRPr="003E7EE5" w:rsidRDefault="00EB16A4" w:rsidP="0017312F">
            <w:pPr>
              <w:tabs>
                <w:tab w:val="left" w:pos="284"/>
              </w:tabs>
              <w:jc w:val="center"/>
              <w:rPr>
                <w:i/>
              </w:rPr>
            </w:pPr>
            <w:r w:rsidRPr="003E7EE5">
              <w:rPr>
                <w:i/>
              </w:rPr>
              <w:t>Increased</w:t>
            </w:r>
          </w:p>
        </w:tc>
        <w:tc>
          <w:tcPr>
            <w:tcW w:w="2268" w:type="dxa"/>
          </w:tcPr>
          <w:p w14:paraId="131F58E4" w14:textId="77777777" w:rsidR="00EB16A4" w:rsidRPr="003E7EE5" w:rsidRDefault="00EB16A4" w:rsidP="0017312F">
            <w:pPr>
              <w:tabs>
                <w:tab w:val="left" w:pos="284"/>
              </w:tabs>
              <w:jc w:val="center"/>
              <w:rPr>
                <w:i/>
              </w:rPr>
            </w:pPr>
            <w:r w:rsidRPr="003E7EE5">
              <w:rPr>
                <w:i/>
              </w:rPr>
              <w:t>Stable</w:t>
            </w:r>
          </w:p>
        </w:tc>
        <w:tc>
          <w:tcPr>
            <w:tcW w:w="2352" w:type="dxa"/>
          </w:tcPr>
          <w:p w14:paraId="34A1D927" w14:textId="77777777" w:rsidR="00EB16A4" w:rsidRPr="003E7EE5" w:rsidRDefault="00EB16A4" w:rsidP="0017312F">
            <w:pPr>
              <w:tabs>
                <w:tab w:val="left" w:pos="284"/>
              </w:tabs>
              <w:jc w:val="center"/>
              <w:rPr>
                <w:i/>
              </w:rPr>
            </w:pPr>
            <w:r w:rsidRPr="003E7EE5">
              <w:rPr>
                <w:i/>
              </w:rPr>
              <w:t>Decreased</w:t>
            </w:r>
          </w:p>
        </w:tc>
      </w:tr>
      <w:tr w:rsidR="00EB16A4" w:rsidRPr="003E7EE5" w14:paraId="5C3A6AC4" w14:textId="77777777" w:rsidTr="0017312F">
        <w:tc>
          <w:tcPr>
            <w:tcW w:w="1310" w:type="dxa"/>
            <w:vMerge/>
          </w:tcPr>
          <w:p w14:paraId="6CC31DF5" w14:textId="77777777" w:rsidR="00EB16A4" w:rsidRPr="003E7EE5" w:rsidRDefault="00EB16A4" w:rsidP="0017312F">
            <w:pPr>
              <w:tabs>
                <w:tab w:val="left" w:pos="284"/>
              </w:tabs>
              <w:jc w:val="both"/>
              <w:rPr>
                <w:iCs/>
              </w:rPr>
            </w:pPr>
          </w:p>
        </w:tc>
        <w:tc>
          <w:tcPr>
            <w:tcW w:w="812" w:type="dxa"/>
            <w:vAlign w:val="center"/>
          </w:tcPr>
          <w:p w14:paraId="146142D5" w14:textId="77777777" w:rsidR="00EB16A4" w:rsidRPr="003E7EE5" w:rsidRDefault="00EB16A4" w:rsidP="0017312F">
            <w:pPr>
              <w:tabs>
                <w:tab w:val="left" w:pos="284"/>
              </w:tabs>
              <w:jc w:val="center"/>
              <w:rPr>
                <w:i/>
              </w:rPr>
            </w:pPr>
            <w:r w:rsidRPr="003E7EE5">
              <w:rPr>
                <w:i/>
              </w:rPr>
              <w:t>Engaged</w:t>
            </w:r>
          </w:p>
        </w:tc>
        <w:tc>
          <w:tcPr>
            <w:tcW w:w="2268" w:type="dxa"/>
          </w:tcPr>
          <w:p w14:paraId="724D9E8C" w14:textId="77777777" w:rsidR="00EB16A4" w:rsidRPr="003E7EE5" w:rsidRDefault="00EB16A4" w:rsidP="0017312F">
            <w:pPr>
              <w:tabs>
                <w:tab w:val="left" w:pos="284"/>
              </w:tabs>
              <w:jc w:val="center"/>
              <w:rPr>
                <w:b/>
                <w:bCs/>
                <w:iCs/>
              </w:rPr>
            </w:pPr>
            <w:r w:rsidRPr="003E7EE5">
              <w:rPr>
                <w:b/>
                <w:bCs/>
                <w:iCs/>
              </w:rPr>
              <w:t>Strategic green investors</w:t>
            </w:r>
          </w:p>
          <w:p w14:paraId="26C85167" w14:textId="425199B3" w:rsidR="00EB16A4" w:rsidRPr="003E7EE5" w:rsidRDefault="00EB16A4" w:rsidP="0017312F">
            <w:pPr>
              <w:tabs>
                <w:tab w:val="left" w:pos="284"/>
              </w:tabs>
              <w:jc w:val="center"/>
              <w:rPr>
                <w:iCs/>
                <w:sz w:val="22"/>
                <w:szCs w:val="22"/>
              </w:rPr>
            </w:pPr>
            <w:r w:rsidRPr="003E7EE5">
              <w:rPr>
                <w:iCs/>
                <w:sz w:val="22"/>
                <w:szCs w:val="22"/>
              </w:rPr>
              <w:t>N</w:t>
            </w:r>
            <w:r w:rsidR="00470A3D">
              <w:rPr>
                <w:iCs/>
                <w:sz w:val="22"/>
                <w:szCs w:val="22"/>
              </w:rPr>
              <w:t xml:space="preserve"> </w:t>
            </w:r>
            <w:r w:rsidRPr="003E7EE5">
              <w:rPr>
                <w:iCs/>
                <w:sz w:val="22"/>
                <w:szCs w:val="22"/>
              </w:rPr>
              <w:t>=</w:t>
            </w:r>
            <w:r w:rsidR="00470A3D">
              <w:rPr>
                <w:iCs/>
                <w:sz w:val="22"/>
                <w:szCs w:val="22"/>
              </w:rPr>
              <w:t xml:space="preserve"> </w:t>
            </w:r>
            <w:r w:rsidRPr="003E7EE5">
              <w:rPr>
                <w:iCs/>
                <w:sz w:val="22"/>
                <w:szCs w:val="22"/>
              </w:rPr>
              <w:t>43</w:t>
            </w:r>
          </w:p>
          <w:p w14:paraId="6DE7AFA9" w14:textId="648E2824" w:rsidR="00EB16A4" w:rsidRPr="003E7EE5" w:rsidRDefault="00470A3D" w:rsidP="0017312F">
            <w:pPr>
              <w:tabs>
                <w:tab w:val="left" w:pos="284"/>
              </w:tabs>
              <w:jc w:val="center"/>
              <w:rPr>
                <w:i/>
                <w:iCs/>
              </w:rPr>
            </w:pPr>
            <w:r>
              <w:rPr>
                <w:i/>
                <w:iCs/>
                <w:sz w:val="22"/>
              </w:rPr>
              <w:t>H</w:t>
            </w:r>
            <w:r w:rsidR="00EB16A4" w:rsidRPr="003E7EE5">
              <w:rPr>
                <w:i/>
                <w:iCs/>
                <w:sz w:val="22"/>
              </w:rPr>
              <w:t>ighly engaged in green strategy and present high availability of resources for green marketing</w:t>
            </w:r>
            <w:r w:rsidR="00617A5D" w:rsidRPr="003E7EE5">
              <w:rPr>
                <w:i/>
                <w:iCs/>
                <w:sz w:val="22"/>
              </w:rPr>
              <w:t xml:space="preserve"> </w:t>
            </w:r>
            <w:r w:rsidR="00EB16A4" w:rsidRPr="003E7EE5">
              <w:rPr>
                <w:i/>
                <w:iCs/>
                <w:sz w:val="22"/>
              </w:rPr>
              <w:t>investment even during a recession</w:t>
            </w:r>
          </w:p>
        </w:tc>
        <w:tc>
          <w:tcPr>
            <w:tcW w:w="2268" w:type="dxa"/>
          </w:tcPr>
          <w:p w14:paraId="6C4ADF07" w14:textId="77777777" w:rsidR="00EB16A4" w:rsidRPr="003E7EE5" w:rsidRDefault="00EB16A4" w:rsidP="0017312F">
            <w:pPr>
              <w:tabs>
                <w:tab w:val="left" w:pos="284"/>
              </w:tabs>
              <w:jc w:val="center"/>
              <w:rPr>
                <w:b/>
                <w:bCs/>
                <w:iCs/>
              </w:rPr>
            </w:pPr>
            <w:r w:rsidRPr="003E7EE5">
              <w:rPr>
                <w:b/>
                <w:bCs/>
                <w:iCs/>
              </w:rPr>
              <w:t>Cautious green investors</w:t>
            </w:r>
          </w:p>
          <w:p w14:paraId="0F5AFA78" w14:textId="597D1CFB" w:rsidR="00EB16A4" w:rsidRPr="003E7EE5" w:rsidRDefault="00EB16A4" w:rsidP="0017312F">
            <w:pPr>
              <w:tabs>
                <w:tab w:val="left" w:pos="284"/>
              </w:tabs>
              <w:jc w:val="center"/>
              <w:rPr>
                <w:iCs/>
                <w:sz w:val="22"/>
                <w:szCs w:val="22"/>
              </w:rPr>
            </w:pPr>
            <w:r w:rsidRPr="003E7EE5">
              <w:rPr>
                <w:iCs/>
                <w:sz w:val="22"/>
                <w:szCs w:val="22"/>
              </w:rPr>
              <w:t>N</w:t>
            </w:r>
            <w:r w:rsidR="00470A3D">
              <w:rPr>
                <w:iCs/>
                <w:sz w:val="22"/>
                <w:szCs w:val="22"/>
              </w:rPr>
              <w:t xml:space="preserve"> </w:t>
            </w:r>
            <w:r w:rsidRPr="003E7EE5">
              <w:rPr>
                <w:iCs/>
                <w:sz w:val="22"/>
                <w:szCs w:val="22"/>
              </w:rPr>
              <w:t>=</w:t>
            </w:r>
            <w:r w:rsidR="00470A3D">
              <w:rPr>
                <w:iCs/>
                <w:sz w:val="22"/>
                <w:szCs w:val="22"/>
              </w:rPr>
              <w:t xml:space="preserve"> </w:t>
            </w:r>
            <w:r w:rsidRPr="003E7EE5">
              <w:rPr>
                <w:iCs/>
                <w:sz w:val="22"/>
                <w:szCs w:val="22"/>
              </w:rPr>
              <w:t>50</w:t>
            </w:r>
          </w:p>
          <w:p w14:paraId="304788DD" w14:textId="621EC73D" w:rsidR="00EB16A4" w:rsidRPr="003E7EE5" w:rsidRDefault="00470A3D" w:rsidP="0017312F">
            <w:pPr>
              <w:tabs>
                <w:tab w:val="left" w:pos="284"/>
              </w:tabs>
              <w:jc w:val="center"/>
              <w:rPr>
                <w:i/>
                <w:iCs/>
              </w:rPr>
            </w:pPr>
            <w:r>
              <w:rPr>
                <w:i/>
                <w:iCs/>
                <w:sz w:val="22"/>
              </w:rPr>
              <w:t>H</w:t>
            </w:r>
            <w:r w:rsidR="00EB16A4" w:rsidRPr="003E7EE5">
              <w:rPr>
                <w:i/>
                <w:iCs/>
                <w:sz w:val="22"/>
              </w:rPr>
              <w:t>ighly engaged in green strategy</w:t>
            </w:r>
            <w:r>
              <w:rPr>
                <w:i/>
                <w:iCs/>
                <w:sz w:val="22"/>
              </w:rPr>
              <w:t xml:space="preserve"> but</w:t>
            </w:r>
            <w:r w:rsidR="00EB16A4" w:rsidRPr="003E7EE5">
              <w:rPr>
                <w:i/>
                <w:iCs/>
                <w:sz w:val="22"/>
              </w:rPr>
              <w:t xml:space="preserve"> hesitate to increase investment in </w:t>
            </w:r>
            <w:r w:rsidR="00C11EB9">
              <w:rPr>
                <w:i/>
                <w:iCs/>
                <w:sz w:val="22"/>
              </w:rPr>
              <w:t>GMR</w:t>
            </w:r>
            <w:r w:rsidR="00EB16A4" w:rsidRPr="003E7EE5">
              <w:rPr>
                <w:i/>
                <w:iCs/>
                <w:sz w:val="22"/>
              </w:rPr>
              <w:t>s during the recession</w:t>
            </w:r>
          </w:p>
        </w:tc>
        <w:tc>
          <w:tcPr>
            <w:tcW w:w="2352" w:type="dxa"/>
          </w:tcPr>
          <w:p w14:paraId="435A53C3" w14:textId="77777777" w:rsidR="00EB16A4" w:rsidRPr="003E7EE5" w:rsidRDefault="00EB16A4" w:rsidP="0017312F">
            <w:pPr>
              <w:tabs>
                <w:tab w:val="left" w:pos="284"/>
              </w:tabs>
              <w:jc w:val="center"/>
              <w:rPr>
                <w:b/>
                <w:bCs/>
                <w:iCs/>
              </w:rPr>
            </w:pPr>
            <w:r w:rsidRPr="003E7EE5">
              <w:rPr>
                <w:b/>
                <w:bCs/>
                <w:iCs/>
              </w:rPr>
              <w:t xml:space="preserve">Green </w:t>
            </w:r>
            <w:proofErr w:type="spellStart"/>
            <w:r w:rsidRPr="003E7EE5">
              <w:rPr>
                <w:b/>
                <w:bCs/>
                <w:iCs/>
              </w:rPr>
              <w:t>disinvestors</w:t>
            </w:r>
            <w:proofErr w:type="spellEnd"/>
          </w:p>
          <w:p w14:paraId="7B4C32A2" w14:textId="5F82871F" w:rsidR="00EB16A4" w:rsidRPr="003E7EE5" w:rsidRDefault="00EB16A4" w:rsidP="0017312F">
            <w:pPr>
              <w:tabs>
                <w:tab w:val="left" w:pos="284"/>
              </w:tabs>
              <w:jc w:val="center"/>
              <w:rPr>
                <w:b/>
                <w:bCs/>
                <w:iCs/>
              </w:rPr>
            </w:pPr>
            <w:r w:rsidRPr="003E7EE5">
              <w:rPr>
                <w:iCs/>
                <w:sz w:val="22"/>
                <w:szCs w:val="22"/>
              </w:rPr>
              <w:t>N</w:t>
            </w:r>
            <w:r w:rsidR="00470A3D">
              <w:rPr>
                <w:iCs/>
                <w:sz w:val="22"/>
                <w:szCs w:val="22"/>
              </w:rPr>
              <w:t xml:space="preserve"> </w:t>
            </w:r>
            <w:r w:rsidRPr="003E7EE5">
              <w:rPr>
                <w:iCs/>
                <w:sz w:val="22"/>
                <w:szCs w:val="22"/>
              </w:rPr>
              <w:t>=</w:t>
            </w:r>
            <w:r w:rsidR="00470A3D">
              <w:rPr>
                <w:iCs/>
                <w:sz w:val="22"/>
                <w:szCs w:val="22"/>
              </w:rPr>
              <w:t xml:space="preserve"> </w:t>
            </w:r>
            <w:r w:rsidRPr="003E7EE5">
              <w:rPr>
                <w:iCs/>
                <w:sz w:val="22"/>
                <w:szCs w:val="22"/>
              </w:rPr>
              <w:t>36</w:t>
            </w:r>
          </w:p>
          <w:p w14:paraId="353F660A" w14:textId="6A9D7743" w:rsidR="00EB16A4" w:rsidRPr="003E7EE5" w:rsidRDefault="00470A3D" w:rsidP="0017312F">
            <w:pPr>
              <w:tabs>
                <w:tab w:val="left" w:pos="284"/>
              </w:tabs>
              <w:jc w:val="center"/>
              <w:rPr>
                <w:i/>
                <w:iCs/>
              </w:rPr>
            </w:pPr>
            <w:r>
              <w:rPr>
                <w:i/>
                <w:iCs/>
                <w:sz w:val="22"/>
              </w:rPr>
              <w:t>H</w:t>
            </w:r>
            <w:r w:rsidR="00EB16A4" w:rsidRPr="003E7EE5">
              <w:rPr>
                <w:i/>
                <w:iCs/>
                <w:sz w:val="22"/>
              </w:rPr>
              <w:t>ighly committed to this strategy</w:t>
            </w:r>
            <w:r>
              <w:rPr>
                <w:i/>
                <w:iCs/>
                <w:sz w:val="22"/>
              </w:rPr>
              <w:t xml:space="preserve"> but</w:t>
            </w:r>
            <w:r w:rsidR="00EB16A4" w:rsidRPr="003E7EE5">
              <w:rPr>
                <w:i/>
                <w:iCs/>
                <w:sz w:val="22"/>
              </w:rPr>
              <w:t xml:space="preserve"> divest resources </w:t>
            </w:r>
            <w:r>
              <w:rPr>
                <w:i/>
                <w:iCs/>
                <w:sz w:val="22"/>
              </w:rPr>
              <w:t>from</w:t>
            </w:r>
            <w:r w:rsidR="00EB16A4" w:rsidRPr="003E7EE5">
              <w:rPr>
                <w:i/>
                <w:iCs/>
                <w:sz w:val="22"/>
              </w:rPr>
              <w:t xml:space="preserve"> green investment activities during the crisis</w:t>
            </w:r>
          </w:p>
        </w:tc>
      </w:tr>
      <w:tr w:rsidR="00EB16A4" w:rsidRPr="003E7EE5" w14:paraId="7864CABB" w14:textId="77777777" w:rsidTr="0017312F">
        <w:tc>
          <w:tcPr>
            <w:tcW w:w="1310" w:type="dxa"/>
            <w:vMerge/>
          </w:tcPr>
          <w:p w14:paraId="481ED8F0" w14:textId="77777777" w:rsidR="00EB16A4" w:rsidRPr="003E7EE5" w:rsidRDefault="00EB16A4" w:rsidP="0017312F">
            <w:pPr>
              <w:tabs>
                <w:tab w:val="left" w:pos="284"/>
              </w:tabs>
              <w:jc w:val="both"/>
              <w:rPr>
                <w:iCs/>
              </w:rPr>
            </w:pPr>
          </w:p>
        </w:tc>
        <w:tc>
          <w:tcPr>
            <w:tcW w:w="812" w:type="dxa"/>
            <w:vAlign w:val="center"/>
          </w:tcPr>
          <w:p w14:paraId="62755311" w14:textId="77777777" w:rsidR="00EB16A4" w:rsidRPr="003E7EE5" w:rsidRDefault="00EB16A4" w:rsidP="0017312F">
            <w:pPr>
              <w:tabs>
                <w:tab w:val="left" w:pos="284"/>
              </w:tabs>
              <w:jc w:val="center"/>
              <w:rPr>
                <w:i/>
              </w:rPr>
            </w:pPr>
            <w:r w:rsidRPr="003E7EE5">
              <w:rPr>
                <w:i/>
              </w:rPr>
              <w:t>Unengaged</w:t>
            </w:r>
          </w:p>
        </w:tc>
        <w:tc>
          <w:tcPr>
            <w:tcW w:w="2268" w:type="dxa"/>
          </w:tcPr>
          <w:p w14:paraId="4A0091E3" w14:textId="77777777" w:rsidR="00EB16A4" w:rsidRPr="003E7EE5" w:rsidRDefault="00EB16A4" w:rsidP="0017312F">
            <w:pPr>
              <w:tabs>
                <w:tab w:val="left" w:pos="284"/>
              </w:tabs>
              <w:jc w:val="center"/>
              <w:rPr>
                <w:b/>
                <w:bCs/>
                <w:iCs/>
              </w:rPr>
            </w:pPr>
            <w:r w:rsidRPr="003E7EE5">
              <w:rPr>
                <w:b/>
                <w:bCs/>
                <w:iCs/>
              </w:rPr>
              <w:t>Opportunistic green investors</w:t>
            </w:r>
          </w:p>
          <w:p w14:paraId="12E97BB9" w14:textId="77EF27BD" w:rsidR="00EB16A4" w:rsidRPr="003E7EE5" w:rsidRDefault="00EB16A4" w:rsidP="0017312F">
            <w:pPr>
              <w:tabs>
                <w:tab w:val="left" w:pos="284"/>
              </w:tabs>
              <w:jc w:val="center"/>
              <w:rPr>
                <w:iCs/>
                <w:sz w:val="22"/>
                <w:szCs w:val="22"/>
              </w:rPr>
            </w:pPr>
            <w:r w:rsidRPr="003E7EE5">
              <w:rPr>
                <w:iCs/>
                <w:sz w:val="22"/>
                <w:szCs w:val="22"/>
              </w:rPr>
              <w:t>N</w:t>
            </w:r>
            <w:r w:rsidR="00470A3D">
              <w:rPr>
                <w:iCs/>
                <w:sz w:val="22"/>
                <w:szCs w:val="22"/>
              </w:rPr>
              <w:t xml:space="preserve"> </w:t>
            </w:r>
            <w:r w:rsidRPr="003E7EE5">
              <w:rPr>
                <w:iCs/>
                <w:sz w:val="22"/>
                <w:szCs w:val="22"/>
              </w:rPr>
              <w:t>=</w:t>
            </w:r>
            <w:r w:rsidR="00470A3D">
              <w:rPr>
                <w:iCs/>
                <w:sz w:val="22"/>
                <w:szCs w:val="22"/>
              </w:rPr>
              <w:t xml:space="preserve"> </w:t>
            </w:r>
            <w:r w:rsidRPr="003E7EE5">
              <w:rPr>
                <w:iCs/>
                <w:sz w:val="22"/>
                <w:szCs w:val="22"/>
              </w:rPr>
              <w:t>8</w:t>
            </w:r>
          </w:p>
          <w:p w14:paraId="223C1BE9" w14:textId="6C06F40B" w:rsidR="00EB16A4" w:rsidRPr="003E7EE5" w:rsidRDefault="00470A3D" w:rsidP="0017312F">
            <w:pPr>
              <w:tabs>
                <w:tab w:val="left" w:pos="284"/>
              </w:tabs>
              <w:jc w:val="center"/>
              <w:rPr>
                <w:i/>
                <w:iCs/>
              </w:rPr>
            </w:pPr>
            <w:r>
              <w:rPr>
                <w:i/>
                <w:iCs/>
                <w:sz w:val="22"/>
              </w:rPr>
              <w:t>U</w:t>
            </w:r>
            <w:r w:rsidR="00EB16A4" w:rsidRPr="003E7EE5">
              <w:rPr>
                <w:i/>
                <w:iCs/>
                <w:sz w:val="22"/>
              </w:rPr>
              <w:t xml:space="preserve">nengaged in </w:t>
            </w:r>
            <w:r>
              <w:rPr>
                <w:i/>
                <w:iCs/>
                <w:sz w:val="22"/>
              </w:rPr>
              <w:t>green</w:t>
            </w:r>
            <w:r w:rsidR="00EB16A4" w:rsidRPr="003E7EE5">
              <w:rPr>
                <w:i/>
                <w:iCs/>
                <w:sz w:val="22"/>
              </w:rPr>
              <w:t xml:space="preserve"> strategy</w:t>
            </w:r>
            <w:r>
              <w:rPr>
                <w:i/>
                <w:iCs/>
                <w:sz w:val="22"/>
              </w:rPr>
              <w:t xml:space="preserve"> but</w:t>
            </w:r>
            <w:r w:rsidR="00EB16A4" w:rsidRPr="003E7EE5">
              <w:rPr>
                <w:i/>
                <w:iCs/>
                <w:sz w:val="22"/>
              </w:rPr>
              <w:t xml:space="preserve"> highly invest in </w:t>
            </w:r>
            <w:r w:rsidR="00C11EB9">
              <w:rPr>
                <w:i/>
                <w:iCs/>
                <w:sz w:val="22"/>
              </w:rPr>
              <w:t>GMR</w:t>
            </w:r>
            <w:r w:rsidR="00EB16A4" w:rsidRPr="003E7EE5">
              <w:rPr>
                <w:i/>
                <w:iCs/>
                <w:sz w:val="22"/>
              </w:rPr>
              <w:t>s during a recession</w:t>
            </w:r>
          </w:p>
        </w:tc>
        <w:tc>
          <w:tcPr>
            <w:tcW w:w="2268" w:type="dxa"/>
          </w:tcPr>
          <w:p w14:paraId="770779DB" w14:textId="77777777" w:rsidR="00EB16A4" w:rsidRPr="003E7EE5" w:rsidRDefault="00EB16A4" w:rsidP="0017312F">
            <w:pPr>
              <w:tabs>
                <w:tab w:val="left" w:pos="284"/>
              </w:tabs>
              <w:jc w:val="center"/>
              <w:rPr>
                <w:b/>
                <w:bCs/>
                <w:iCs/>
              </w:rPr>
            </w:pPr>
            <w:r w:rsidRPr="003E7EE5">
              <w:rPr>
                <w:b/>
                <w:bCs/>
                <w:iCs/>
              </w:rPr>
              <w:t>Green reluctants</w:t>
            </w:r>
          </w:p>
          <w:p w14:paraId="74DAB9F2" w14:textId="240E7098" w:rsidR="00EB16A4" w:rsidRPr="003E7EE5" w:rsidRDefault="00EB16A4" w:rsidP="0017312F">
            <w:pPr>
              <w:tabs>
                <w:tab w:val="left" w:pos="284"/>
              </w:tabs>
              <w:jc w:val="center"/>
              <w:rPr>
                <w:iCs/>
                <w:sz w:val="22"/>
                <w:szCs w:val="22"/>
              </w:rPr>
            </w:pPr>
            <w:r w:rsidRPr="003E7EE5">
              <w:rPr>
                <w:iCs/>
                <w:sz w:val="22"/>
                <w:szCs w:val="22"/>
              </w:rPr>
              <w:t>N</w:t>
            </w:r>
            <w:r w:rsidR="00470A3D">
              <w:rPr>
                <w:iCs/>
                <w:sz w:val="22"/>
                <w:szCs w:val="22"/>
              </w:rPr>
              <w:t xml:space="preserve"> </w:t>
            </w:r>
            <w:r w:rsidRPr="003E7EE5">
              <w:rPr>
                <w:iCs/>
                <w:sz w:val="22"/>
                <w:szCs w:val="22"/>
              </w:rPr>
              <w:t>=</w:t>
            </w:r>
            <w:r w:rsidR="00470A3D">
              <w:rPr>
                <w:iCs/>
                <w:sz w:val="22"/>
                <w:szCs w:val="22"/>
              </w:rPr>
              <w:t xml:space="preserve"> </w:t>
            </w:r>
            <w:r w:rsidRPr="003E7EE5">
              <w:rPr>
                <w:iCs/>
                <w:sz w:val="22"/>
                <w:szCs w:val="22"/>
              </w:rPr>
              <w:t>37</w:t>
            </w:r>
          </w:p>
          <w:p w14:paraId="061C6EA1" w14:textId="79BD5136" w:rsidR="00EB16A4" w:rsidRPr="003E7EE5" w:rsidRDefault="00470A3D" w:rsidP="0017312F">
            <w:pPr>
              <w:tabs>
                <w:tab w:val="left" w:pos="284"/>
              </w:tabs>
              <w:jc w:val="center"/>
              <w:rPr>
                <w:i/>
                <w:iCs/>
              </w:rPr>
            </w:pPr>
            <w:r>
              <w:rPr>
                <w:i/>
                <w:iCs/>
                <w:sz w:val="22"/>
              </w:rPr>
              <w:t>P</w:t>
            </w:r>
            <w:r w:rsidR="00EB16A4" w:rsidRPr="003E7EE5">
              <w:rPr>
                <w:i/>
                <w:iCs/>
                <w:sz w:val="22"/>
              </w:rPr>
              <w:t xml:space="preserve">oorly engaged in </w:t>
            </w:r>
            <w:r>
              <w:rPr>
                <w:i/>
                <w:iCs/>
                <w:sz w:val="22"/>
              </w:rPr>
              <w:t>green</w:t>
            </w:r>
            <w:r w:rsidR="00EB16A4" w:rsidRPr="003E7EE5">
              <w:rPr>
                <w:i/>
                <w:iCs/>
                <w:sz w:val="22"/>
              </w:rPr>
              <w:t xml:space="preserve"> strategy but keep a stable availability level of resources for green investment during the recession</w:t>
            </w:r>
          </w:p>
        </w:tc>
        <w:tc>
          <w:tcPr>
            <w:tcW w:w="2352" w:type="dxa"/>
          </w:tcPr>
          <w:p w14:paraId="0BCCD7C1" w14:textId="77777777" w:rsidR="00EB16A4" w:rsidRPr="003E7EE5" w:rsidRDefault="00EB16A4" w:rsidP="0017312F">
            <w:pPr>
              <w:tabs>
                <w:tab w:val="left" w:pos="284"/>
              </w:tabs>
              <w:jc w:val="center"/>
              <w:rPr>
                <w:b/>
                <w:bCs/>
                <w:iCs/>
              </w:rPr>
            </w:pPr>
            <w:r w:rsidRPr="003E7EE5">
              <w:rPr>
                <w:b/>
                <w:bCs/>
                <w:iCs/>
              </w:rPr>
              <w:t>Green non-believers</w:t>
            </w:r>
          </w:p>
          <w:p w14:paraId="4C7DC29B" w14:textId="6267876C" w:rsidR="00EB16A4" w:rsidRPr="003E7EE5" w:rsidRDefault="00EB16A4" w:rsidP="0017312F">
            <w:pPr>
              <w:tabs>
                <w:tab w:val="left" w:pos="284"/>
              </w:tabs>
              <w:jc w:val="center"/>
              <w:rPr>
                <w:iCs/>
                <w:sz w:val="22"/>
                <w:szCs w:val="22"/>
              </w:rPr>
            </w:pPr>
            <w:r w:rsidRPr="003E7EE5">
              <w:rPr>
                <w:iCs/>
                <w:sz w:val="22"/>
                <w:szCs w:val="22"/>
              </w:rPr>
              <w:t>N</w:t>
            </w:r>
            <w:r w:rsidR="00470A3D">
              <w:rPr>
                <w:iCs/>
                <w:sz w:val="22"/>
                <w:szCs w:val="22"/>
              </w:rPr>
              <w:t xml:space="preserve"> </w:t>
            </w:r>
            <w:r w:rsidRPr="003E7EE5">
              <w:rPr>
                <w:iCs/>
                <w:sz w:val="22"/>
                <w:szCs w:val="22"/>
              </w:rPr>
              <w:t>=</w:t>
            </w:r>
            <w:r w:rsidR="00470A3D">
              <w:rPr>
                <w:iCs/>
                <w:sz w:val="22"/>
                <w:szCs w:val="22"/>
              </w:rPr>
              <w:t xml:space="preserve"> </w:t>
            </w:r>
            <w:r w:rsidRPr="003E7EE5">
              <w:rPr>
                <w:iCs/>
                <w:sz w:val="22"/>
                <w:szCs w:val="22"/>
              </w:rPr>
              <w:t>71</w:t>
            </w:r>
          </w:p>
          <w:p w14:paraId="0F9F96B1" w14:textId="261411DA" w:rsidR="00EB16A4" w:rsidRPr="003E7EE5" w:rsidRDefault="00EB16A4" w:rsidP="0017312F">
            <w:pPr>
              <w:tabs>
                <w:tab w:val="left" w:pos="284"/>
              </w:tabs>
              <w:jc w:val="center"/>
              <w:rPr>
                <w:i/>
                <w:iCs/>
              </w:rPr>
            </w:pPr>
            <w:r w:rsidRPr="003E7EE5">
              <w:rPr>
                <w:i/>
                <w:iCs/>
                <w:sz w:val="22"/>
              </w:rPr>
              <w:t xml:space="preserve">Unengaged in </w:t>
            </w:r>
            <w:r w:rsidR="00470A3D">
              <w:rPr>
                <w:i/>
                <w:iCs/>
                <w:sz w:val="22"/>
              </w:rPr>
              <w:t>green</w:t>
            </w:r>
            <w:r w:rsidRPr="003E7EE5">
              <w:rPr>
                <w:i/>
                <w:iCs/>
                <w:sz w:val="22"/>
              </w:rPr>
              <w:t xml:space="preserve"> strategy </w:t>
            </w:r>
            <w:r w:rsidR="00C57908">
              <w:rPr>
                <w:i/>
                <w:iCs/>
                <w:sz w:val="22"/>
              </w:rPr>
              <w:t>and</w:t>
            </w:r>
            <w:r w:rsidRPr="003E7EE5">
              <w:rPr>
                <w:i/>
                <w:iCs/>
                <w:sz w:val="22"/>
              </w:rPr>
              <w:t xml:space="preserve"> </w:t>
            </w:r>
            <w:r w:rsidR="00470A3D">
              <w:rPr>
                <w:i/>
                <w:iCs/>
                <w:sz w:val="22"/>
              </w:rPr>
              <w:t xml:space="preserve">do </w:t>
            </w:r>
            <w:r w:rsidRPr="003E7EE5">
              <w:rPr>
                <w:i/>
                <w:iCs/>
                <w:sz w:val="22"/>
              </w:rPr>
              <w:t xml:space="preserve">not invest in </w:t>
            </w:r>
            <w:r w:rsidR="00C11EB9">
              <w:rPr>
                <w:i/>
                <w:iCs/>
                <w:sz w:val="22"/>
              </w:rPr>
              <w:t>GMR</w:t>
            </w:r>
            <w:r w:rsidRPr="003E7EE5">
              <w:rPr>
                <w:i/>
                <w:iCs/>
                <w:sz w:val="22"/>
              </w:rPr>
              <w:t>s during a recession</w:t>
            </w:r>
          </w:p>
        </w:tc>
      </w:tr>
    </w:tbl>
    <w:p w14:paraId="44C5206F" w14:textId="77777777" w:rsidR="00EB16A4" w:rsidRPr="003E7EE5" w:rsidRDefault="00EB16A4" w:rsidP="00297E46">
      <w:pPr>
        <w:rPr>
          <w:i/>
          <w:color w:val="000000" w:themeColor="text1"/>
        </w:rPr>
      </w:pPr>
    </w:p>
    <w:p w14:paraId="3F23CB93" w14:textId="77777777" w:rsidR="00EB16A4" w:rsidRPr="003E7EE5" w:rsidRDefault="00EB16A4" w:rsidP="00297E46">
      <w:pPr>
        <w:rPr>
          <w:i/>
          <w:color w:val="000000" w:themeColor="text1"/>
        </w:rPr>
      </w:pPr>
    </w:p>
    <w:p w14:paraId="16D9B674" w14:textId="77777777" w:rsidR="00EB16A4" w:rsidRPr="003E7EE5" w:rsidRDefault="00EB16A4" w:rsidP="00297E46">
      <w:pPr>
        <w:rPr>
          <w:i/>
          <w:color w:val="000000" w:themeColor="text1"/>
        </w:rPr>
      </w:pPr>
    </w:p>
    <w:p w14:paraId="615033A6" w14:textId="77777777" w:rsidR="00EB16A4" w:rsidRPr="003E7EE5" w:rsidRDefault="00EB16A4" w:rsidP="00297E46">
      <w:pPr>
        <w:rPr>
          <w:i/>
          <w:color w:val="000000" w:themeColor="text1"/>
        </w:rPr>
      </w:pPr>
    </w:p>
    <w:p w14:paraId="142B09E1" w14:textId="132A5E77" w:rsidR="00297E46" w:rsidRPr="005E1791" w:rsidRDefault="00297E46" w:rsidP="00297E46">
      <w:pPr>
        <w:rPr>
          <w:iCs/>
          <w:color w:val="000000" w:themeColor="text1"/>
        </w:rPr>
      </w:pPr>
      <w:r w:rsidRPr="005E1791">
        <w:rPr>
          <w:iCs/>
          <w:color w:val="000000" w:themeColor="text1"/>
        </w:rPr>
        <w:t xml:space="preserve">Table </w:t>
      </w:r>
      <w:r w:rsidR="001073B7" w:rsidRPr="005E1791">
        <w:rPr>
          <w:iCs/>
          <w:color w:val="000000" w:themeColor="text1"/>
        </w:rPr>
        <w:t>5</w:t>
      </w:r>
      <w:r w:rsidR="00566E35" w:rsidRPr="005E1791">
        <w:rPr>
          <w:iCs/>
          <w:color w:val="000000" w:themeColor="text1"/>
        </w:rPr>
        <w:t>.</w:t>
      </w:r>
      <w:r w:rsidRPr="005E1791">
        <w:rPr>
          <w:iCs/>
          <w:color w:val="000000" w:themeColor="text1"/>
        </w:rPr>
        <w:t xml:space="preserve"> “Green” typology of companies based on cluster analysis. </w:t>
      </w:r>
    </w:p>
    <w:p w14:paraId="5226B409" w14:textId="77777777" w:rsidR="00297E46" w:rsidRPr="003E7EE5" w:rsidRDefault="00297E46" w:rsidP="00297E46">
      <w:pPr>
        <w:tabs>
          <w:tab w:val="left" w:pos="284"/>
        </w:tabs>
        <w:spacing w:after="60"/>
        <w:jc w:val="both"/>
        <w:outlineLvl w:val="0"/>
        <w:rPr>
          <w:color w:val="000000" w:themeColor="text1"/>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1426"/>
        <w:gridCol w:w="1365"/>
        <w:gridCol w:w="1356"/>
        <w:gridCol w:w="1537"/>
        <w:gridCol w:w="1164"/>
        <w:gridCol w:w="1357"/>
      </w:tblGrid>
      <w:tr w:rsidR="00297E46" w:rsidRPr="003E7EE5" w14:paraId="24229F04" w14:textId="77777777" w:rsidTr="00E40C7A">
        <w:tc>
          <w:tcPr>
            <w:tcW w:w="875" w:type="dxa"/>
            <w:vMerge w:val="restart"/>
          </w:tcPr>
          <w:p w14:paraId="31D5990F" w14:textId="77777777" w:rsidR="00297E46" w:rsidRPr="003E7EE5" w:rsidRDefault="00297E46" w:rsidP="0017312F">
            <w:pPr>
              <w:tabs>
                <w:tab w:val="left" w:pos="284"/>
              </w:tabs>
              <w:spacing w:after="60"/>
              <w:jc w:val="both"/>
              <w:outlineLvl w:val="0"/>
              <w:rPr>
                <w:color w:val="000000" w:themeColor="text1"/>
              </w:rPr>
            </w:pPr>
          </w:p>
        </w:tc>
        <w:tc>
          <w:tcPr>
            <w:tcW w:w="8150" w:type="dxa"/>
            <w:gridSpan w:val="6"/>
            <w:tcBorders>
              <w:bottom w:val="single" w:sz="4" w:space="0" w:color="auto"/>
            </w:tcBorders>
          </w:tcPr>
          <w:p w14:paraId="6A5D9B7B" w14:textId="77777777" w:rsidR="00297E46" w:rsidRPr="003E7EE5" w:rsidRDefault="00297E46" w:rsidP="0017312F">
            <w:pPr>
              <w:tabs>
                <w:tab w:val="left" w:pos="284"/>
              </w:tabs>
              <w:spacing w:after="60"/>
              <w:jc w:val="center"/>
              <w:outlineLvl w:val="0"/>
              <w:rPr>
                <w:color w:val="000000" w:themeColor="text1"/>
              </w:rPr>
            </w:pPr>
            <w:r w:rsidRPr="003E7EE5">
              <w:rPr>
                <w:color w:val="000000" w:themeColor="text1"/>
              </w:rPr>
              <w:t>Final cluster centers</w:t>
            </w:r>
          </w:p>
        </w:tc>
      </w:tr>
      <w:tr w:rsidR="00297E46" w:rsidRPr="003E7EE5" w14:paraId="011097A9" w14:textId="77777777" w:rsidTr="00E40C7A">
        <w:tc>
          <w:tcPr>
            <w:tcW w:w="875" w:type="dxa"/>
            <w:vMerge/>
          </w:tcPr>
          <w:p w14:paraId="5F3B346B" w14:textId="77777777" w:rsidR="00297E46" w:rsidRPr="003E7EE5" w:rsidRDefault="00297E46" w:rsidP="0017312F">
            <w:pPr>
              <w:tabs>
                <w:tab w:val="left" w:pos="284"/>
              </w:tabs>
              <w:spacing w:after="60"/>
              <w:jc w:val="both"/>
              <w:outlineLvl w:val="0"/>
              <w:rPr>
                <w:color w:val="000000" w:themeColor="text1"/>
              </w:rPr>
            </w:pPr>
          </w:p>
        </w:tc>
        <w:tc>
          <w:tcPr>
            <w:tcW w:w="1536" w:type="dxa"/>
            <w:tcBorders>
              <w:top w:val="single" w:sz="4" w:space="0" w:color="auto"/>
            </w:tcBorders>
          </w:tcPr>
          <w:p w14:paraId="7D56D026" w14:textId="77777777" w:rsidR="00297E46" w:rsidRPr="003E7EE5" w:rsidRDefault="00297E46" w:rsidP="0017312F">
            <w:pPr>
              <w:tabs>
                <w:tab w:val="left" w:pos="284"/>
              </w:tabs>
              <w:jc w:val="center"/>
              <w:outlineLvl w:val="0"/>
              <w:rPr>
                <w:color w:val="000000" w:themeColor="text1"/>
              </w:rPr>
            </w:pPr>
            <w:r w:rsidRPr="003E7EE5">
              <w:rPr>
                <w:color w:val="000000" w:themeColor="text1"/>
              </w:rPr>
              <w:t>Cluster 1</w:t>
            </w:r>
          </w:p>
          <w:p w14:paraId="067C357F" w14:textId="54749FE1" w:rsidR="00297E46" w:rsidRPr="003E7EE5" w:rsidRDefault="00297E46" w:rsidP="0017312F">
            <w:pPr>
              <w:tabs>
                <w:tab w:val="left" w:pos="284"/>
              </w:tabs>
              <w:jc w:val="center"/>
              <w:outlineLvl w:val="0"/>
              <w:rPr>
                <w:color w:val="000000" w:themeColor="text1"/>
                <w:sz w:val="20"/>
                <w:szCs w:val="20"/>
              </w:rPr>
            </w:pPr>
            <w:r w:rsidRPr="003E7EE5">
              <w:rPr>
                <w:color w:val="000000" w:themeColor="text1"/>
                <w:sz w:val="20"/>
                <w:szCs w:val="20"/>
              </w:rPr>
              <w:t>N</w:t>
            </w:r>
            <w:r w:rsidR="00470A3D">
              <w:rPr>
                <w:color w:val="000000" w:themeColor="text1"/>
                <w:sz w:val="20"/>
                <w:szCs w:val="20"/>
              </w:rPr>
              <w:t xml:space="preserve"> </w:t>
            </w:r>
            <w:r w:rsidRPr="003E7EE5">
              <w:rPr>
                <w:color w:val="000000" w:themeColor="text1"/>
                <w:sz w:val="20"/>
                <w:szCs w:val="20"/>
              </w:rPr>
              <w:t>=</w:t>
            </w:r>
            <w:r w:rsidR="00470A3D">
              <w:rPr>
                <w:color w:val="000000" w:themeColor="text1"/>
                <w:sz w:val="20"/>
                <w:szCs w:val="20"/>
              </w:rPr>
              <w:t xml:space="preserve"> </w:t>
            </w:r>
            <w:r w:rsidRPr="003E7EE5">
              <w:rPr>
                <w:color w:val="000000" w:themeColor="text1"/>
                <w:sz w:val="20"/>
                <w:szCs w:val="20"/>
              </w:rPr>
              <w:t>58</w:t>
            </w:r>
          </w:p>
        </w:tc>
        <w:tc>
          <w:tcPr>
            <w:tcW w:w="1238" w:type="dxa"/>
            <w:tcBorders>
              <w:top w:val="single" w:sz="4" w:space="0" w:color="auto"/>
            </w:tcBorders>
          </w:tcPr>
          <w:p w14:paraId="661D0DFE" w14:textId="77777777" w:rsidR="00297E46" w:rsidRPr="003E7EE5" w:rsidRDefault="00297E46" w:rsidP="0017312F">
            <w:pPr>
              <w:tabs>
                <w:tab w:val="left" w:pos="284"/>
              </w:tabs>
              <w:jc w:val="center"/>
              <w:outlineLvl w:val="0"/>
              <w:rPr>
                <w:color w:val="000000" w:themeColor="text1"/>
              </w:rPr>
            </w:pPr>
            <w:r w:rsidRPr="003E7EE5">
              <w:rPr>
                <w:color w:val="000000" w:themeColor="text1"/>
              </w:rPr>
              <w:t>Cluster 2</w:t>
            </w:r>
          </w:p>
          <w:p w14:paraId="03AEC6B5" w14:textId="1ECD2007" w:rsidR="00297E46" w:rsidRPr="003E7EE5" w:rsidRDefault="00297E46" w:rsidP="0017312F">
            <w:pPr>
              <w:tabs>
                <w:tab w:val="left" w:pos="284"/>
              </w:tabs>
              <w:jc w:val="center"/>
              <w:outlineLvl w:val="0"/>
              <w:rPr>
                <w:color w:val="000000" w:themeColor="text1"/>
                <w:sz w:val="20"/>
                <w:szCs w:val="20"/>
              </w:rPr>
            </w:pPr>
            <w:r w:rsidRPr="003E7EE5">
              <w:rPr>
                <w:color w:val="000000" w:themeColor="text1"/>
                <w:sz w:val="20"/>
                <w:szCs w:val="20"/>
              </w:rPr>
              <w:t>N</w:t>
            </w:r>
            <w:r w:rsidR="00470A3D">
              <w:rPr>
                <w:color w:val="000000" w:themeColor="text1"/>
                <w:sz w:val="20"/>
                <w:szCs w:val="20"/>
              </w:rPr>
              <w:t xml:space="preserve"> </w:t>
            </w:r>
            <w:r w:rsidRPr="003E7EE5">
              <w:rPr>
                <w:color w:val="000000" w:themeColor="text1"/>
                <w:sz w:val="20"/>
                <w:szCs w:val="20"/>
              </w:rPr>
              <w:t>=</w:t>
            </w:r>
            <w:r w:rsidR="00470A3D">
              <w:rPr>
                <w:color w:val="000000" w:themeColor="text1"/>
                <w:sz w:val="20"/>
                <w:szCs w:val="20"/>
              </w:rPr>
              <w:t xml:space="preserve"> </w:t>
            </w:r>
            <w:r w:rsidRPr="003E7EE5">
              <w:rPr>
                <w:color w:val="000000" w:themeColor="text1"/>
                <w:sz w:val="20"/>
                <w:szCs w:val="20"/>
              </w:rPr>
              <w:t>58</w:t>
            </w:r>
          </w:p>
        </w:tc>
        <w:tc>
          <w:tcPr>
            <w:tcW w:w="1513" w:type="dxa"/>
            <w:tcBorders>
              <w:top w:val="single" w:sz="4" w:space="0" w:color="auto"/>
            </w:tcBorders>
          </w:tcPr>
          <w:p w14:paraId="6309C3C7" w14:textId="77777777" w:rsidR="00297E46" w:rsidRPr="003E7EE5" w:rsidRDefault="00297E46" w:rsidP="0017312F">
            <w:pPr>
              <w:tabs>
                <w:tab w:val="left" w:pos="284"/>
              </w:tabs>
              <w:jc w:val="center"/>
              <w:outlineLvl w:val="0"/>
              <w:rPr>
                <w:color w:val="000000" w:themeColor="text1"/>
              </w:rPr>
            </w:pPr>
            <w:r w:rsidRPr="003E7EE5">
              <w:rPr>
                <w:color w:val="000000" w:themeColor="text1"/>
              </w:rPr>
              <w:t>Cluster 3</w:t>
            </w:r>
          </w:p>
          <w:p w14:paraId="08A881B6" w14:textId="41D171F5" w:rsidR="00297E46" w:rsidRPr="003E7EE5" w:rsidRDefault="00297E46" w:rsidP="0017312F">
            <w:pPr>
              <w:tabs>
                <w:tab w:val="left" w:pos="284"/>
              </w:tabs>
              <w:jc w:val="center"/>
              <w:outlineLvl w:val="0"/>
              <w:rPr>
                <w:color w:val="000000" w:themeColor="text1"/>
                <w:sz w:val="20"/>
                <w:szCs w:val="20"/>
              </w:rPr>
            </w:pPr>
            <w:r w:rsidRPr="003E7EE5">
              <w:rPr>
                <w:color w:val="000000" w:themeColor="text1"/>
                <w:sz w:val="20"/>
                <w:szCs w:val="20"/>
              </w:rPr>
              <w:t>N</w:t>
            </w:r>
            <w:r w:rsidR="00470A3D">
              <w:rPr>
                <w:color w:val="000000" w:themeColor="text1"/>
                <w:sz w:val="20"/>
                <w:szCs w:val="20"/>
              </w:rPr>
              <w:t xml:space="preserve"> </w:t>
            </w:r>
            <w:r w:rsidRPr="003E7EE5">
              <w:rPr>
                <w:color w:val="000000" w:themeColor="text1"/>
                <w:sz w:val="20"/>
                <w:szCs w:val="20"/>
              </w:rPr>
              <w:t>=</w:t>
            </w:r>
            <w:r w:rsidR="00470A3D">
              <w:rPr>
                <w:color w:val="000000" w:themeColor="text1"/>
                <w:sz w:val="20"/>
                <w:szCs w:val="20"/>
              </w:rPr>
              <w:t xml:space="preserve"> </w:t>
            </w:r>
            <w:r w:rsidRPr="003E7EE5">
              <w:rPr>
                <w:color w:val="000000" w:themeColor="text1"/>
                <w:sz w:val="20"/>
                <w:szCs w:val="20"/>
              </w:rPr>
              <w:t>9</w:t>
            </w:r>
          </w:p>
        </w:tc>
        <w:tc>
          <w:tcPr>
            <w:tcW w:w="1123" w:type="dxa"/>
            <w:tcBorders>
              <w:top w:val="single" w:sz="4" w:space="0" w:color="auto"/>
            </w:tcBorders>
          </w:tcPr>
          <w:p w14:paraId="4384E37B" w14:textId="77777777" w:rsidR="00297E46" w:rsidRPr="003E7EE5" w:rsidRDefault="00297E46" w:rsidP="0017312F">
            <w:pPr>
              <w:tabs>
                <w:tab w:val="left" w:pos="284"/>
              </w:tabs>
              <w:jc w:val="center"/>
              <w:outlineLvl w:val="0"/>
              <w:rPr>
                <w:color w:val="000000" w:themeColor="text1"/>
              </w:rPr>
            </w:pPr>
            <w:r w:rsidRPr="003E7EE5">
              <w:rPr>
                <w:color w:val="000000" w:themeColor="text1"/>
              </w:rPr>
              <w:t>Cluster 4</w:t>
            </w:r>
          </w:p>
          <w:p w14:paraId="5C17C0A5" w14:textId="648140D0" w:rsidR="00297E46" w:rsidRPr="003E7EE5" w:rsidRDefault="00297E46" w:rsidP="0017312F">
            <w:pPr>
              <w:tabs>
                <w:tab w:val="left" w:pos="284"/>
              </w:tabs>
              <w:jc w:val="center"/>
              <w:outlineLvl w:val="0"/>
              <w:rPr>
                <w:color w:val="000000" w:themeColor="text1"/>
                <w:sz w:val="20"/>
                <w:szCs w:val="20"/>
              </w:rPr>
            </w:pPr>
            <w:r w:rsidRPr="003E7EE5">
              <w:rPr>
                <w:color w:val="000000" w:themeColor="text1"/>
                <w:sz w:val="20"/>
                <w:szCs w:val="20"/>
              </w:rPr>
              <w:t>N</w:t>
            </w:r>
            <w:r w:rsidR="00470A3D">
              <w:rPr>
                <w:color w:val="000000" w:themeColor="text1"/>
                <w:sz w:val="20"/>
                <w:szCs w:val="20"/>
              </w:rPr>
              <w:t xml:space="preserve"> </w:t>
            </w:r>
            <w:r w:rsidRPr="003E7EE5">
              <w:rPr>
                <w:color w:val="000000" w:themeColor="text1"/>
                <w:sz w:val="20"/>
                <w:szCs w:val="20"/>
              </w:rPr>
              <w:t>=</w:t>
            </w:r>
            <w:r w:rsidR="00470A3D">
              <w:rPr>
                <w:color w:val="000000" w:themeColor="text1"/>
                <w:sz w:val="20"/>
                <w:szCs w:val="20"/>
              </w:rPr>
              <w:t xml:space="preserve"> </w:t>
            </w:r>
            <w:r w:rsidRPr="003E7EE5">
              <w:rPr>
                <w:color w:val="000000" w:themeColor="text1"/>
                <w:sz w:val="20"/>
                <w:szCs w:val="20"/>
              </w:rPr>
              <w:t>12</w:t>
            </w:r>
          </w:p>
        </w:tc>
        <w:tc>
          <w:tcPr>
            <w:tcW w:w="1219" w:type="dxa"/>
            <w:tcBorders>
              <w:top w:val="single" w:sz="4" w:space="0" w:color="auto"/>
            </w:tcBorders>
          </w:tcPr>
          <w:p w14:paraId="1646676A" w14:textId="77777777" w:rsidR="00297E46" w:rsidRPr="003E7EE5" w:rsidRDefault="00297E46" w:rsidP="0017312F">
            <w:pPr>
              <w:tabs>
                <w:tab w:val="left" w:pos="284"/>
              </w:tabs>
              <w:jc w:val="center"/>
              <w:outlineLvl w:val="0"/>
              <w:rPr>
                <w:color w:val="000000" w:themeColor="text1"/>
              </w:rPr>
            </w:pPr>
            <w:r w:rsidRPr="003E7EE5">
              <w:rPr>
                <w:color w:val="000000" w:themeColor="text1"/>
              </w:rPr>
              <w:t>Cluster 5</w:t>
            </w:r>
          </w:p>
          <w:p w14:paraId="25FA0F72" w14:textId="5A628426" w:rsidR="00297E46" w:rsidRPr="003E7EE5" w:rsidRDefault="00297E46" w:rsidP="0017312F">
            <w:pPr>
              <w:tabs>
                <w:tab w:val="left" w:pos="284"/>
              </w:tabs>
              <w:jc w:val="center"/>
              <w:outlineLvl w:val="0"/>
              <w:rPr>
                <w:color w:val="000000" w:themeColor="text1"/>
              </w:rPr>
            </w:pPr>
            <w:r w:rsidRPr="003E7EE5">
              <w:rPr>
                <w:color w:val="000000" w:themeColor="text1"/>
                <w:sz w:val="20"/>
                <w:szCs w:val="20"/>
              </w:rPr>
              <w:t>N</w:t>
            </w:r>
            <w:r w:rsidR="00470A3D">
              <w:rPr>
                <w:color w:val="000000" w:themeColor="text1"/>
                <w:sz w:val="20"/>
                <w:szCs w:val="20"/>
              </w:rPr>
              <w:t xml:space="preserve"> </w:t>
            </w:r>
            <w:r w:rsidRPr="003E7EE5">
              <w:rPr>
                <w:color w:val="000000" w:themeColor="text1"/>
                <w:sz w:val="20"/>
                <w:szCs w:val="20"/>
              </w:rPr>
              <w:t>=</w:t>
            </w:r>
            <w:r w:rsidR="00470A3D">
              <w:rPr>
                <w:color w:val="000000" w:themeColor="text1"/>
                <w:sz w:val="20"/>
                <w:szCs w:val="20"/>
              </w:rPr>
              <w:t xml:space="preserve"> </w:t>
            </w:r>
            <w:r w:rsidRPr="003E7EE5">
              <w:rPr>
                <w:color w:val="000000" w:themeColor="text1"/>
                <w:sz w:val="20"/>
                <w:szCs w:val="20"/>
              </w:rPr>
              <w:t>74</w:t>
            </w:r>
          </w:p>
        </w:tc>
        <w:tc>
          <w:tcPr>
            <w:tcW w:w="1521" w:type="dxa"/>
            <w:tcBorders>
              <w:top w:val="single" w:sz="4" w:space="0" w:color="auto"/>
            </w:tcBorders>
          </w:tcPr>
          <w:p w14:paraId="052F5C43" w14:textId="77777777" w:rsidR="00297E46" w:rsidRPr="003E7EE5" w:rsidRDefault="00297E46" w:rsidP="0017312F">
            <w:pPr>
              <w:tabs>
                <w:tab w:val="left" w:pos="284"/>
              </w:tabs>
              <w:jc w:val="center"/>
              <w:outlineLvl w:val="0"/>
              <w:rPr>
                <w:color w:val="000000" w:themeColor="text1"/>
              </w:rPr>
            </w:pPr>
            <w:r w:rsidRPr="003E7EE5">
              <w:rPr>
                <w:color w:val="000000" w:themeColor="text1"/>
              </w:rPr>
              <w:t>Cluster 6</w:t>
            </w:r>
          </w:p>
          <w:p w14:paraId="04F333A3" w14:textId="12FDF8E7" w:rsidR="00297E46" w:rsidRPr="003E7EE5" w:rsidRDefault="00297E46" w:rsidP="0017312F">
            <w:pPr>
              <w:tabs>
                <w:tab w:val="left" w:pos="284"/>
              </w:tabs>
              <w:jc w:val="center"/>
              <w:outlineLvl w:val="0"/>
              <w:rPr>
                <w:color w:val="000000" w:themeColor="text1"/>
              </w:rPr>
            </w:pPr>
            <w:r w:rsidRPr="003E7EE5">
              <w:rPr>
                <w:color w:val="000000" w:themeColor="text1"/>
                <w:sz w:val="20"/>
                <w:szCs w:val="20"/>
              </w:rPr>
              <w:t>N</w:t>
            </w:r>
            <w:r w:rsidR="00470A3D">
              <w:rPr>
                <w:color w:val="000000" w:themeColor="text1"/>
                <w:sz w:val="20"/>
                <w:szCs w:val="20"/>
              </w:rPr>
              <w:t xml:space="preserve"> </w:t>
            </w:r>
            <w:r w:rsidRPr="003E7EE5">
              <w:rPr>
                <w:color w:val="000000" w:themeColor="text1"/>
                <w:sz w:val="20"/>
                <w:szCs w:val="20"/>
              </w:rPr>
              <w:t>=</w:t>
            </w:r>
            <w:r w:rsidR="00470A3D">
              <w:rPr>
                <w:color w:val="000000" w:themeColor="text1"/>
                <w:sz w:val="20"/>
                <w:szCs w:val="20"/>
              </w:rPr>
              <w:t xml:space="preserve"> </w:t>
            </w:r>
            <w:r w:rsidRPr="003E7EE5">
              <w:rPr>
                <w:color w:val="000000" w:themeColor="text1"/>
                <w:sz w:val="20"/>
                <w:szCs w:val="20"/>
              </w:rPr>
              <w:t>34</w:t>
            </w:r>
          </w:p>
        </w:tc>
      </w:tr>
      <w:tr w:rsidR="00297E46" w:rsidRPr="003E7EE5" w14:paraId="5ACCFC81" w14:textId="77777777" w:rsidTr="00E40C7A">
        <w:tc>
          <w:tcPr>
            <w:tcW w:w="875" w:type="dxa"/>
            <w:vMerge/>
            <w:vAlign w:val="center"/>
          </w:tcPr>
          <w:p w14:paraId="7496DEA5" w14:textId="77777777" w:rsidR="00297E46" w:rsidRPr="003E7EE5" w:rsidRDefault="00297E46" w:rsidP="0017312F">
            <w:pPr>
              <w:tabs>
                <w:tab w:val="left" w:pos="284"/>
              </w:tabs>
              <w:spacing w:after="60"/>
              <w:jc w:val="center"/>
              <w:outlineLvl w:val="0"/>
              <w:rPr>
                <w:color w:val="000000" w:themeColor="text1"/>
              </w:rPr>
            </w:pPr>
          </w:p>
        </w:tc>
        <w:tc>
          <w:tcPr>
            <w:tcW w:w="1536" w:type="dxa"/>
            <w:tcBorders>
              <w:bottom w:val="single" w:sz="4" w:space="0" w:color="auto"/>
            </w:tcBorders>
            <w:vAlign w:val="center"/>
          </w:tcPr>
          <w:p w14:paraId="5AE85F3F" w14:textId="77777777" w:rsidR="00297E46" w:rsidRPr="003E7EE5" w:rsidRDefault="00297E46" w:rsidP="0017312F">
            <w:pPr>
              <w:tabs>
                <w:tab w:val="left" w:pos="284"/>
              </w:tabs>
              <w:spacing w:after="60"/>
              <w:jc w:val="center"/>
              <w:outlineLvl w:val="0"/>
              <w:rPr>
                <w:b/>
                <w:bCs/>
                <w:color w:val="000000" w:themeColor="text1"/>
                <w:sz w:val="22"/>
                <w:szCs w:val="22"/>
              </w:rPr>
            </w:pPr>
            <w:r w:rsidRPr="003E7EE5">
              <w:rPr>
                <w:b/>
                <w:bCs/>
                <w:color w:val="000000" w:themeColor="text1"/>
                <w:sz w:val="22"/>
                <w:szCs w:val="22"/>
              </w:rPr>
              <w:t>Reluctants</w:t>
            </w:r>
          </w:p>
        </w:tc>
        <w:tc>
          <w:tcPr>
            <w:tcW w:w="1238" w:type="dxa"/>
            <w:tcBorders>
              <w:bottom w:val="single" w:sz="4" w:space="0" w:color="auto"/>
            </w:tcBorders>
            <w:vAlign w:val="center"/>
          </w:tcPr>
          <w:p w14:paraId="1F9ACA48" w14:textId="77777777" w:rsidR="00297E46" w:rsidRPr="003E7EE5" w:rsidRDefault="00297E46" w:rsidP="0017312F">
            <w:pPr>
              <w:tabs>
                <w:tab w:val="left" w:pos="284"/>
              </w:tabs>
              <w:spacing w:after="60"/>
              <w:jc w:val="center"/>
              <w:outlineLvl w:val="0"/>
              <w:rPr>
                <w:b/>
                <w:bCs/>
                <w:color w:val="000000" w:themeColor="text1"/>
                <w:sz w:val="22"/>
                <w:szCs w:val="22"/>
              </w:rPr>
            </w:pPr>
            <w:proofErr w:type="spellStart"/>
            <w:r w:rsidRPr="003E7EE5">
              <w:rPr>
                <w:b/>
                <w:bCs/>
                <w:color w:val="101010"/>
                <w:sz w:val="22"/>
                <w:szCs w:val="22"/>
              </w:rPr>
              <w:t>Disinvestors</w:t>
            </w:r>
            <w:proofErr w:type="spellEnd"/>
            <w:r w:rsidRPr="003E7EE5">
              <w:rPr>
                <w:b/>
                <w:bCs/>
                <w:color w:val="101010"/>
                <w:sz w:val="22"/>
                <w:szCs w:val="22"/>
              </w:rPr>
              <w:t xml:space="preserve"> </w:t>
            </w:r>
          </w:p>
        </w:tc>
        <w:tc>
          <w:tcPr>
            <w:tcW w:w="1513" w:type="dxa"/>
            <w:tcBorders>
              <w:bottom w:val="single" w:sz="4" w:space="0" w:color="auto"/>
            </w:tcBorders>
            <w:vAlign w:val="center"/>
          </w:tcPr>
          <w:p w14:paraId="104EF032" w14:textId="77777777" w:rsidR="00297E46" w:rsidRPr="003E7EE5" w:rsidRDefault="00297E46" w:rsidP="0017312F">
            <w:pPr>
              <w:tabs>
                <w:tab w:val="left" w:pos="284"/>
              </w:tabs>
              <w:spacing w:after="60"/>
              <w:jc w:val="center"/>
              <w:outlineLvl w:val="0"/>
              <w:rPr>
                <w:b/>
                <w:bCs/>
                <w:color w:val="000000" w:themeColor="text1"/>
                <w:sz w:val="22"/>
                <w:szCs w:val="22"/>
              </w:rPr>
            </w:pPr>
            <w:r w:rsidRPr="003E7EE5">
              <w:rPr>
                <w:b/>
                <w:bCs/>
                <w:color w:val="101010"/>
                <w:sz w:val="22"/>
                <w:szCs w:val="22"/>
              </w:rPr>
              <w:t xml:space="preserve">Strategic investors </w:t>
            </w:r>
          </w:p>
        </w:tc>
        <w:tc>
          <w:tcPr>
            <w:tcW w:w="1123" w:type="dxa"/>
            <w:tcBorders>
              <w:bottom w:val="single" w:sz="4" w:space="0" w:color="auto"/>
            </w:tcBorders>
            <w:vAlign w:val="center"/>
          </w:tcPr>
          <w:p w14:paraId="3F615EF1" w14:textId="6AFD9FC0" w:rsidR="00297E46" w:rsidRPr="003E7EE5" w:rsidRDefault="00297E46" w:rsidP="0017312F">
            <w:pPr>
              <w:tabs>
                <w:tab w:val="left" w:pos="284"/>
              </w:tabs>
              <w:spacing w:after="60"/>
              <w:jc w:val="center"/>
              <w:outlineLvl w:val="0"/>
              <w:rPr>
                <w:b/>
                <w:bCs/>
                <w:color w:val="000000" w:themeColor="text1"/>
                <w:sz w:val="22"/>
                <w:szCs w:val="22"/>
              </w:rPr>
            </w:pPr>
            <w:r w:rsidRPr="003E7EE5">
              <w:rPr>
                <w:b/>
                <w:bCs/>
                <w:color w:val="101010"/>
                <w:sz w:val="22"/>
                <w:szCs w:val="22"/>
              </w:rPr>
              <w:t xml:space="preserve">Opportunistic </w:t>
            </w:r>
            <w:r w:rsidR="00C57908">
              <w:rPr>
                <w:b/>
                <w:bCs/>
                <w:color w:val="101010"/>
                <w:sz w:val="22"/>
                <w:szCs w:val="22"/>
              </w:rPr>
              <w:t>i</w:t>
            </w:r>
            <w:r w:rsidRPr="003E7EE5">
              <w:rPr>
                <w:b/>
                <w:bCs/>
                <w:color w:val="101010"/>
                <w:sz w:val="22"/>
                <w:szCs w:val="22"/>
              </w:rPr>
              <w:t>nvestors</w:t>
            </w:r>
          </w:p>
        </w:tc>
        <w:tc>
          <w:tcPr>
            <w:tcW w:w="1219" w:type="dxa"/>
            <w:tcBorders>
              <w:bottom w:val="single" w:sz="4" w:space="0" w:color="auto"/>
            </w:tcBorders>
          </w:tcPr>
          <w:p w14:paraId="158426E9" w14:textId="77777777" w:rsidR="00297E46" w:rsidRPr="003E7EE5" w:rsidRDefault="00297E46" w:rsidP="0017312F">
            <w:pPr>
              <w:tabs>
                <w:tab w:val="left" w:pos="284"/>
              </w:tabs>
              <w:spacing w:after="60"/>
              <w:jc w:val="center"/>
              <w:outlineLvl w:val="0"/>
              <w:rPr>
                <w:b/>
                <w:bCs/>
                <w:color w:val="101010"/>
                <w:sz w:val="22"/>
                <w:szCs w:val="22"/>
              </w:rPr>
            </w:pPr>
            <w:r w:rsidRPr="003E7EE5">
              <w:rPr>
                <w:b/>
                <w:bCs/>
                <w:color w:val="101010"/>
                <w:sz w:val="22"/>
                <w:szCs w:val="22"/>
              </w:rPr>
              <w:t>Cautious</w:t>
            </w:r>
          </w:p>
        </w:tc>
        <w:tc>
          <w:tcPr>
            <w:tcW w:w="1521" w:type="dxa"/>
            <w:tcBorders>
              <w:bottom w:val="single" w:sz="4" w:space="0" w:color="auto"/>
            </w:tcBorders>
          </w:tcPr>
          <w:p w14:paraId="09D56694" w14:textId="77777777" w:rsidR="00297E46" w:rsidRPr="003E7EE5" w:rsidRDefault="00297E46" w:rsidP="0017312F">
            <w:pPr>
              <w:tabs>
                <w:tab w:val="left" w:pos="284"/>
              </w:tabs>
              <w:spacing w:after="60"/>
              <w:jc w:val="center"/>
              <w:outlineLvl w:val="0"/>
              <w:rPr>
                <w:b/>
                <w:bCs/>
                <w:color w:val="101010"/>
                <w:sz w:val="22"/>
                <w:szCs w:val="22"/>
              </w:rPr>
            </w:pPr>
            <w:r w:rsidRPr="003E7EE5">
              <w:rPr>
                <w:b/>
                <w:bCs/>
                <w:color w:val="101010"/>
                <w:sz w:val="22"/>
                <w:szCs w:val="22"/>
              </w:rPr>
              <w:t>Non-believers</w:t>
            </w:r>
          </w:p>
        </w:tc>
      </w:tr>
      <w:tr w:rsidR="00297E46" w:rsidRPr="003E7EE5" w14:paraId="79926CA1" w14:textId="77777777" w:rsidTr="00E40C7A">
        <w:tc>
          <w:tcPr>
            <w:tcW w:w="875" w:type="dxa"/>
          </w:tcPr>
          <w:p w14:paraId="04FFB84F" w14:textId="77777777" w:rsidR="00297E46" w:rsidRPr="003E7EE5" w:rsidRDefault="00297E46" w:rsidP="0017312F">
            <w:pPr>
              <w:tabs>
                <w:tab w:val="left" w:pos="284"/>
              </w:tabs>
              <w:spacing w:after="60"/>
              <w:jc w:val="both"/>
              <w:outlineLvl w:val="0"/>
              <w:rPr>
                <w:color w:val="000000" w:themeColor="text1"/>
                <w:sz w:val="22"/>
                <w:szCs w:val="22"/>
              </w:rPr>
            </w:pPr>
            <w:r w:rsidRPr="003E7EE5">
              <w:rPr>
                <w:color w:val="000000" w:themeColor="text1"/>
                <w:sz w:val="22"/>
                <w:szCs w:val="22"/>
              </w:rPr>
              <w:t>GMS</w:t>
            </w:r>
          </w:p>
        </w:tc>
        <w:tc>
          <w:tcPr>
            <w:tcW w:w="1536" w:type="dxa"/>
          </w:tcPr>
          <w:p w14:paraId="614E6133"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2.96</w:t>
            </w:r>
          </w:p>
        </w:tc>
        <w:tc>
          <w:tcPr>
            <w:tcW w:w="1238" w:type="dxa"/>
          </w:tcPr>
          <w:p w14:paraId="16F3CBB4"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4.35</w:t>
            </w:r>
          </w:p>
        </w:tc>
        <w:tc>
          <w:tcPr>
            <w:tcW w:w="1513" w:type="dxa"/>
          </w:tcPr>
          <w:p w14:paraId="21DA7AA1"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5.93</w:t>
            </w:r>
          </w:p>
        </w:tc>
        <w:tc>
          <w:tcPr>
            <w:tcW w:w="1123" w:type="dxa"/>
          </w:tcPr>
          <w:p w14:paraId="559F3BD8"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3.69</w:t>
            </w:r>
          </w:p>
        </w:tc>
        <w:tc>
          <w:tcPr>
            <w:tcW w:w="1219" w:type="dxa"/>
          </w:tcPr>
          <w:p w14:paraId="58C7A0A3"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5.36</w:t>
            </w:r>
          </w:p>
        </w:tc>
        <w:tc>
          <w:tcPr>
            <w:tcW w:w="1521" w:type="dxa"/>
          </w:tcPr>
          <w:p w14:paraId="7D6A7EE1"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2.29</w:t>
            </w:r>
          </w:p>
        </w:tc>
      </w:tr>
      <w:tr w:rsidR="00297E46" w:rsidRPr="003E7EE5" w14:paraId="2F93E0F6" w14:textId="77777777" w:rsidTr="00E40C7A">
        <w:tc>
          <w:tcPr>
            <w:tcW w:w="875" w:type="dxa"/>
            <w:tcBorders>
              <w:bottom w:val="single" w:sz="4" w:space="0" w:color="auto"/>
            </w:tcBorders>
          </w:tcPr>
          <w:p w14:paraId="015E561A" w14:textId="77777777" w:rsidR="00297E46" w:rsidRPr="003E7EE5" w:rsidRDefault="00297E46" w:rsidP="0017312F">
            <w:pPr>
              <w:tabs>
                <w:tab w:val="left" w:pos="284"/>
              </w:tabs>
              <w:spacing w:after="60"/>
              <w:jc w:val="both"/>
              <w:outlineLvl w:val="0"/>
              <w:rPr>
                <w:color w:val="000000" w:themeColor="text1"/>
                <w:sz w:val="22"/>
                <w:szCs w:val="22"/>
              </w:rPr>
            </w:pPr>
            <w:r w:rsidRPr="003E7EE5">
              <w:rPr>
                <w:color w:val="000000" w:themeColor="text1"/>
                <w:sz w:val="22"/>
                <w:szCs w:val="22"/>
              </w:rPr>
              <w:t>GMR</w:t>
            </w:r>
          </w:p>
        </w:tc>
        <w:tc>
          <w:tcPr>
            <w:tcW w:w="1536" w:type="dxa"/>
            <w:tcBorders>
              <w:bottom w:val="single" w:sz="4" w:space="0" w:color="auto"/>
            </w:tcBorders>
          </w:tcPr>
          <w:p w14:paraId="1B19CF6E"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4</w:t>
            </w:r>
          </w:p>
        </w:tc>
        <w:tc>
          <w:tcPr>
            <w:tcW w:w="1238" w:type="dxa"/>
            <w:tcBorders>
              <w:bottom w:val="single" w:sz="4" w:space="0" w:color="auto"/>
            </w:tcBorders>
          </w:tcPr>
          <w:p w14:paraId="48377A57"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3</w:t>
            </w:r>
          </w:p>
        </w:tc>
        <w:tc>
          <w:tcPr>
            <w:tcW w:w="1513" w:type="dxa"/>
            <w:tcBorders>
              <w:bottom w:val="single" w:sz="4" w:space="0" w:color="auto"/>
            </w:tcBorders>
          </w:tcPr>
          <w:p w14:paraId="135D369C"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6</w:t>
            </w:r>
          </w:p>
        </w:tc>
        <w:tc>
          <w:tcPr>
            <w:tcW w:w="1123" w:type="dxa"/>
            <w:tcBorders>
              <w:bottom w:val="single" w:sz="4" w:space="0" w:color="auto"/>
            </w:tcBorders>
          </w:tcPr>
          <w:p w14:paraId="7A04B61E"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6</w:t>
            </w:r>
          </w:p>
        </w:tc>
        <w:tc>
          <w:tcPr>
            <w:tcW w:w="1219" w:type="dxa"/>
            <w:tcBorders>
              <w:bottom w:val="single" w:sz="4" w:space="0" w:color="auto"/>
            </w:tcBorders>
          </w:tcPr>
          <w:p w14:paraId="21CB86A0"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4</w:t>
            </w:r>
          </w:p>
        </w:tc>
        <w:tc>
          <w:tcPr>
            <w:tcW w:w="1521" w:type="dxa"/>
            <w:tcBorders>
              <w:bottom w:val="single" w:sz="4" w:space="0" w:color="auto"/>
            </w:tcBorders>
          </w:tcPr>
          <w:p w14:paraId="17F866FE" w14:textId="77777777" w:rsidR="00297E46" w:rsidRPr="003E7EE5" w:rsidRDefault="00297E46" w:rsidP="0017312F">
            <w:pPr>
              <w:tabs>
                <w:tab w:val="left" w:pos="284"/>
              </w:tabs>
              <w:spacing w:after="60"/>
              <w:jc w:val="center"/>
              <w:outlineLvl w:val="0"/>
              <w:rPr>
                <w:color w:val="000000" w:themeColor="text1"/>
                <w:sz w:val="20"/>
                <w:szCs w:val="20"/>
              </w:rPr>
            </w:pPr>
            <w:r w:rsidRPr="003E7EE5">
              <w:rPr>
                <w:color w:val="000000" w:themeColor="text1"/>
                <w:sz w:val="20"/>
                <w:szCs w:val="20"/>
              </w:rPr>
              <w:t>1</w:t>
            </w:r>
          </w:p>
        </w:tc>
      </w:tr>
    </w:tbl>
    <w:p w14:paraId="701AAB68" w14:textId="77777777" w:rsidR="00EB16A4" w:rsidRPr="003E7EE5" w:rsidRDefault="00EB16A4" w:rsidP="00297E46">
      <w:pPr>
        <w:tabs>
          <w:tab w:val="left" w:pos="284"/>
        </w:tabs>
        <w:spacing w:after="60"/>
        <w:jc w:val="both"/>
        <w:outlineLvl w:val="0"/>
        <w:rPr>
          <w:i/>
          <w:color w:val="000000" w:themeColor="text1"/>
        </w:rPr>
      </w:pPr>
    </w:p>
    <w:p w14:paraId="7B834911" w14:textId="77777777" w:rsidR="00EB16A4" w:rsidRPr="003E7EE5" w:rsidRDefault="00EB16A4" w:rsidP="00297E46">
      <w:pPr>
        <w:tabs>
          <w:tab w:val="left" w:pos="284"/>
        </w:tabs>
        <w:spacing w:after="60"/>
        <w:jc w:val="both"/>
        <w:outlineLvl w:val="0"/>
        <w:rPr>
          <w:i/>
          <w:color w:val="000000" w:themeColor="text1"/>
        </w:rPr>
      </w:pPr>
    </w:p>
    <w:p w14:paraId="1E17D5AD" w14:textId="77777777" w:rsidR="00EB16A4" w:rsidRPr="003E7EE5" w:rsidRDefault="00EB16A4" w:rsidP="00297E46">
      <w:pPr>
        <w:tabs>
          <w:tab w:val="left" w:pos="284"/>
        </w:tabs>
        <w:spacing w:after="60"/>
        <w:jc w:val="both"/>
        <w:outlineLvl w:val="0"/>
        <w:rPr>
          <w:i/>
          <w:color w:val="000000" w:themeColor="text1"/>
        </w:rPr>
      </w:pPr>
    </w:p>
    <w:p w14:paraId="5CB266F4" w14:textId="77777777" w:rsidR="00EB16A4" w:rsidRPr="003E7EE5" w:rsidRDefault="00EB16A4" w:rsidP="00297E46">
      <w:pPr>
        <w:tabs>
          <w:tab w:val="left" w:pos="284"/>
        </w:tabs>
        <w:spacing w:after="60"/>
        <w:jc w:val="both"/>
        <w:outlineLvl w:val="0"/>
        <w:rPr>
          <w:i/>
          <w:color w:val="000000" w:themeColor="text1"/>
        </w:rPr>
      </w:pPr>
    </w:p>
    <w:p w14:paraId="6C8771D0" w14:textId="2C8166B0" w:rsidR="00EB16A4" w:rsidRPr="003E7EE5" w:rsidRDefault="00EB16A4" w:rsidP="00297E46">
      <w:pPr>
        <w:tabs>
          <w:tab w:val="left" w:pos="284"/>
        </w:tabs>
        <w:spacing w:after="60"/>
        <w:jc w:val="both"/>
        <w:outlineLvl w:val="0"/>
        <w:rPr>
          <w:i/>
          <w:color w:val="000000" w:themeColor="text1"/>
        </w:rPr>
      </w:pPr>
    </w:p>
    <w:p w14:paraId="7B4D3F62" w14:textId="77777777" w:rsidR="00EB16A4" w:rsidRPr="003E7EE5" w:rsidRDefault="00EB16A4" w:rsidP="00297E46">
      <w:pPr>
        <w:tabs>
          <w:tab w:val="left" w:pos="284"/>
        </w:tabs>
        <w:spacing w:after="60"/>
        <w:jc w:val="both"/>
        <w:outlineLvl w:val="0"/>
        <w:rPr>
          <w:i/>
          <w:color w:val="000000" w:themeColor="text1"/>
        </w:rPr>
      </w:pPr>
    </w:p>
    <w:p w14:paraId="0C3A0A81" w14:textId="77777777" w:rsidR="00EB16A4" w:rsidRPr="003E7EE5" w:rsidRDefault="00EB16A4" w:rsidP="00297E46">
      <w:pPr>
        <w:tabs>
          <w:tab w:val="left" w:pos="284"/>
        </w:tabs>
        <w:spacing w:after="60"/>
        <w:jc w:val="both"/>
        <w:outlineLvl w:val="0"/>
        <w:rPr>
          <w:i/>
          <w:color w:val="000000" w:themeColor="text1"/>
        </w:rPr>
      </w:pPr>
    </w:p>
    <w:p w14:paraId="22841EE3" w14:textId="77777777" w:rsidR="00EB16A4" w:rsidRPr="003E7EE5" w:rsidRDefault="00EB16A4" w:rsidP="00297E46">
      <w:pPr>
        <w:tabs>
          <w:tab w:val="left" w:pos="284"/>
        </w:tabs>
        <w:spacing w:after="60"/>
        <w:jc w:val="both"/>
        <w:outlineLvl w:val="0"/>
        <w:rPr>
          <w:i/>
          <w:color w:val="000000" w:themeColor="text1"/>
        </w:rPr>
      </w:pPr>
    </w:p>
    <w:p w14:paraId="747C26F2" w14:textId="77777777" w:rsidR="00EB16A4" w:rsidRPr="003E7EE5" w:rsidRDefault="00EB16A4" w:rsidP="00297E46">
      <w:pPr>
        <w:tabs>
          <w:tab w:val="left" w:pos="284"/>
        </w:tabs>
        <w:spacing w:after="60"/>
        <w:jc w:val="both"/>
        <w:outlineLvl w:val="0"/>
        <w:rPr>
          <w:i/>
          <w:color w:val="000000" w:themeColor="text1"/>
        </w:rPr>
      </w:pPr>
    </w:p>
    <w:p w14:paraId="43EFF6B6" w14:textId="77777777" w:rsidR="00EB16A4" w:rsidRPr="003E7EE5" w:rsidRDefault="00EB16A4" w:rsidP="00297E46">
      <w:pPr>
        <w:tabs>
          <w:tab w:val="left" w:pos="284"/>
        </w:tabs>
        <w:spacing w:after="60"/>
        <w:jc w:val="both"/>
        <w:outlineLvl w:val="0"/>
        <w:rPr>
          <w:i/>
          <w:color w:val="000000" w:themeColor="text1"/>
        </w:rPr>
      </w:pPr>
    </w:p>
    <w:p w14:paraId="6B335CF0" w14:textId="77777777" w:rsidR="00EB16A4" w:rsidRPr="003E7EE5" w:rsidRDefault="00EB16A4" w:rsidP="00297E46">
      <w:pPr>
        <w:tabs>
          <w:tab w:val="left" w:pos="284"/>
        </w:tabs>
        <w:spacing w:after="60"/>
        <w:jc w:val="both"/>
        <w:outlineLvl w:val="0"/>
        <w:rPr>
          <w:i/>
          <w:color w:val="000000" w:themeColor="text1"/>
        </w:rPr>
      </w:pPr>
    </w:p>
    <w:p w14:paraId="02D4F46F" w14:textId="1EE67480" w:rsidR="00297E46" w:rsidRPr="005E1791" w:rsidRDefault="00297E46" w:rsidP="00297E46">
      <w:pPr>
        <w:tabs>
          <w:tab w:val="left" w:pos="284"/>
        </w:tabs>
        <w:spacing w:after="60"/>
        <w:jc w:val="both"/>
        <w:outlineLvl w:val="0"/>
        <w:rPr>
          <w:iCs/>
          <w:color w:val="000000" w:themeColor="text1"/>
        </w:rPr>
      </w:pPr>
      <w:r w:rsidRPr="005E1791">
        <w:rPr>
          <w:iCs/>
          <w:color w:val="000000" w:themeColor="text1"/>
        </w:rPr>
        <w:t>Table 6</w:t>
      </w:r>
      <w:r w:rsidR="00566E35" w:rsidRPr="005E1791">
        <w:rPr>
          <w:iCs/>
          <w:color w:val="000000" w:themeColor="text1"/>
        </w:rPr>
        <w:t>.</w:t>
      </w:r>
      <w:r w:rsidRPr="005E1791">
        <w:rPr>
          <w:iCs/>
          <w:color w:val="000000" w:themeColor="text1"/>
        </w:rPr>
        <w:t xml:space="preserve"> Resilience means across “green” groups and clusters </w:t>
      </w:r>
    </w:p>
    <w:p w14:paraId="3EB1ED83" w14:textId="77777777" w:rsidR="00297E46" w:rsidRPr="003E7EE5" w:rsidRDefault="00297E46" w:rsidP="00297E46">
      <w:pPr>
        <w:outlineLvl w:val="0"/>
        <w:rPr>
          <w:b/>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16"/>
        <w:gridCol w:w="1211"/>
        <w:gridCol w:w="1134"/>
        <w:gridCol w:w="1134"/>
        <w:gridCol w:w="1277"/>
        <w:gridCol w:w="283"/>
        <w:gridCol w:w="851"/>
        <w:gridCol w:w="708"/>
        <w:gridCol w:w="426"/>
        <w:gridCol w:w="1134"/>
      </w:tblGrid>
      <w:tr w:rsidR="00297E46" w:rsidRPr="003E7EE5" w14:paraId="01555BA7" w14:textId="77777777" w:rsidTr="00596C58">
        <w:tc>
          <w:tcPr>
            <w:tcW w:w="1350" w:type="dxa"/>
            <w:tcBorders>
              <w:top w:val="single" w:sz="4" w:space="0" w:color="auto"/>
            </w:tcBorders>
          </w:tcPr>
          <w:p w14:paraId="4AF1945B" w14:textId="77777777" w:rsidR="00297E46" w:rsidRPr="003E7EE5" w:rsidRDefault="00297E46" w:rsidP="0017312F">
            <w:pPr>
              <w:tabs>
                <w:tab w:val="left" w:pos="284"/>
              </w:tabs>
              <w:spacing w:after="60"/>
              <w:jc w:val="both"/>
              <w:outlineLvl w:val="0"/>
              <w:rPr>
                <w:sz w:val="20"/>
              </w:rPr>
            </w:pPr>
          </w:p>
        </w:tc>
        <w:tc>
          <w:tcPr>
            <w:tcW w:w="8574" w:type="dxa"/>
            <w:gridSpan w:val="10"/>
            <w:tcBorders>
              <w:top w:val="single" w:sz="4" w:space="0" w:color="auto"/>
            </w:tcBorders>
          </w:tcPr>
          <w:p w14:paraId="30D548C4" w14:textId="77777777" w:rsidR="00297E46" w:rsidRPr="003E7EE5" w:rsidRDefault="00297E46" w:rsidP="0017312F">
            <w:pPr>
              <w:tabs>
                <w:tab w:val="left" w:pos="284"/>
              </w:tabs>
              <w:spacing w:after="60"/>
              <w:jc w:val="center"/>
              <w:outlineLvl w:val="0"/>
              <w:rPr>
                <w:sz w:val="20"/>
              </w:rPr>
            </w:pPr>
            <w:r w:rsidRPr="003E7EE5">
              <w:rPr>
                <w:sz w:val="20"/>
              </w:rPr>
              <w:t>Conceptual typology</w:t>
            </w:r>
          </w:p>
        </w:tc>
      </w:tr>
      <w:tr w:rsidR="00297E46" w:rsidRPr="003E7EE5" w14:paraId="18775833" w14:textId="77777777" w:rsidTr="00596C58">
        <w:tc>
          <w:tcPr>
            <w:tcW w:w="1350" w:type="dxa"/>
          </w:tcPr>
          <w:p w14:paraId="42A9BDFB" w14:textId="77777777" w:rsidR="00297E46" w:rsidRPr="003E7EE5" w:rsidRDefault="00297E46" w:rsidP="0017312F">
            <w:pPr>
              <w:tabs>
                <w:tab w:val="left" w:pos="284"/>
              </w:tabs>
              <w:spacing w:after="60"/>
              <w:jc w:val="both"/>
              <w:outlineLvl w:val="0"/>
              <w:rPr>
                <w:sz w:val="20"/>
              </w:rPr>
            </w:pPr>
          </w:p>
        </w:tc>
        <w:tc>
          <w:tcPr>
            <w:tcW w:w="416" w:type="dxa"/>
            <w:tcBorders>
              <w:bottom w:val="single" w:sz="4" w:space="0" w:color="auto"/>
            </w:tcBorders>
          </w:tcPr>
          <w:p w14:paraId="04EA1563" w14:textId="77777777" w:rsidR="00297E46" w:rsidRPr="003E7EE5" w:rsidRDefault="00297E46" w:rsidP="0017312F">
            <w:pPr>
              <w:tabs>
                <w:tab w:val="left" w:pos="284"/>
              </w:tabs>
              <w:spacing w:after="60"/>
              <w:jc w:val="center"/>
              <w:outlineLvl w:val="0"/>
              <w:rPr>
                <w:b/>
                <w:bCs/>
                <w:sz w:val="20"/>
              </w:rPr>
            </w:pPr>
          </w:p>
        </w:tc>
        <w:tc>
          <w:tcPr>
            <w:tcW w:w="3479" w:type="dxa"/>
            <w:gridSpan w:val="3"/>
            <w:tcBorders>
              <w:bottom w:val="single" w:sz="4" w:space="0" w:color="auto"/>
            </w:tcBorders>
          </w:tcPr>
          <w:p w14:paraId="234335AF" w14:textId="77777777" w:rsidR="00297E46" w:rsidRPr="003E7EE5" w:rsidRDefault="00297E46" w:rsidP="0017312F">
            <w:pPr>
              <w:tabs>
                <w:tab w:val="left" w:pos="284"/>
              </w:tabs>
              <w:spacing w:after="60"/>
              <w:jc w:val="center"/>
              <w:outlineLvl w:val="0"/>
              <w:rPr>
                <w:b/>
                <w:bCs/>
                <w:sz w:val="20"/>
              </w:rPr>
            </w:pPr>
            <w:r w:rsidRPr="003E7EE5">
              <w:rPr>
                <w:b/>
                <w:bCs/>
                <w:sz w:val="20"/>
              </w:rPr>
              <w:t>FR</w:t>
            </w:r>
          </w:p>
        </w:tc>
        <w:tc>
          <w:tcPr>
            <w:tcW w:w="4679" w:type="dxa"/>
            <w:gridSpan w:val="6"/>
            <w:tcBorders>
              <w:bottom w:val="single" w:sz="4" w:space="0" w:color="auto"/>
            </w:tcBorders>
          </w:tcPr>
          <w:p w14:paraId="646F2F52" w14:textId="77777777" w:rsidR="00297E46" w:rsidRPr="003E7EE5" w:rsidRDefault="00297E46" w:rsidP="0017312F">
            <w:pPr>
              <w:tabs>
                <w:tab w:val="left" w:pos="284"/>
              </w:tabs>
              <w:spacing w:after="60"/>
              <w:jc w:val="center"/>
              <w:outlineLvl w:val="0"/>
              <w:rPr>
                <w:b/>
                <w:bCs/>
                <w:sz w:val="20"/>
              </w:rPr>
            </w:pPr>
            <w:r w:rsidRPr="003E7EE5">
              <w:rPr>
                <w:b/>
                <w:bCs/>
                <w:sz w:val="20"/>
              </w:rPr>
              <w:t>OR</w:t>
            </w:r>
          </w:p>
        </w:tc>
      </w:tr>
      <w:tr w:rsidR="00297E46" w:rsidRPr="003E7EE5" w14:paraId="453ADA24" w14:textId="77777777" w:rsidTr="00596C58">
        <w:tc>
          <w:tcPr>
            <w:tcW w:w="1350" w:type="dxa"/>
            <w:tcBorders>
              <w:bottom w:val="single" w:sz="4" w:space="0" w:color="auto"/>
            </w:tcBorders>
          </w:tcPr>
          <w:p w14:paraId="357F5639" w14:textId="0A100D9F" w:rsidR="00297E46" w:rsidRPr="003E7EE5" w:rsidRDefault="00297E46" w:rsidP="0017312F">
            <w:pPr>
              <w:tabs>
                <w:tab w:val="left" w:pos="284"/>
              </w:tabs>
              <w:spacing w:after="60"/>
              <w:jc w:val="center"/>
              <w:outlineLvl w:val="0"/>
              <w:rPr>
                <w:i/>
                <w:iCs/>
                <w:sz w:val="20"/>
              </w:rPr>
            </w:pPr>
            <w:r w:rsidRPr="003E7EE5">
              <w:rPr>
                <w:i/>
                <w:iCs/>
                <w:sz w:val="20"/>
              </w:rPr>
              <w:t xml:space="preserve">Company </w:t>
            </w:r>
            <w:r w:rsidR="00470A3D">
              <w:rPr>
                <w:i/>
                <w:iCs/>
                <w:sz w:val="20"/>
              </w:rPr>
              <w:t>g</w:t>
            </w:r>
            <w:r w:rsidRPr="003E7EE5">
              <w:rPr>
                <w:i/>
                <w:iCs/>
                <w:sz w:val="20"/>
              </w:rPr>
              <w:t>roup</w:t>
            </w:r>
          </w:p>
        </w:tc>
        <w:tc>
          <w:tcPr>
            <w:tcW w:w="416" w:type="dxa"/>
            <w:tcBorders>
              <w:bottom w:val="single" w:sz="4" w:space="0" w:color="auto"/>
            </w:tcBorders>
            <w:vAlign w:val="center"/>
          </w:tcPr>
          <w:p w14:paraId="711B9D4C" w14:textId="77777777" w:rsidR="00297E46" w:rsidRPr="003E7EE5" w:rsidRDefault="00297E46" w:rsidP="0017312F">
            <w:pPr>
              <w:tabs>
                <w:tab w:val="left" w:pos="284"/>
              </w:tabs>
              <w:spacing w:after="60"/>
              <w:jc w:val="center"/>
              <w:outlineLvl w:val="0"/>
              <w:rPr>
                <w:sz w:val="20"/>
              </w:rPr>
            </w:pPr>
            <w:r w:rsidRPr="003E7EE5">
              <w:rPr>
                <w:sz w:val="20"/>
              </w:rPr>
              <w:t>N</w:t>
            </w:r>
          </w:p>
        </w:tc>
        <w:tc>
          <w:tcPr>
            <w:tcW w:w="3479" w:type="dxa"/>
            <w:gridSpan w:val="3"/>
            <w:tcBorders>
              <w:top w:val="single" w:sz="4" w:space="0" w:color="auto"/>
              <w:bottom w:val="single" w:sz="4" w:space="0" w:color="auto"/>
            </w:tcBorders>
          </w:tcPr>
          <w:p w14:paraId="4B6E6F95" w14:textId="24E74C4E" w:rsidR="00297E46" w:rsidRPr="003E7EE5" w:rsidRDefault="00297E46" w:rsidP="0017312F">
            <w:pPr>
              <w:tabs>
                <w:tab w:val="left" w:pos="284"/>
              </w:tabs>
              <w:spacing w:after="60"/>
              <w:jc w:val="center"/>
              <w:outlineLvl w:val="0"/>
              <w:rPr>
                <w:sz w:val="20"/>
              </w:rPr>
            </w:pPr>
            <w:r w:rsidRPr="005E1791">
              <w:rPr>
                <w:i/>
                <w:iCs/>
                <w:sz w:val="20"/>
              </w:rPr>
              <w:t>F</w:t>
            </w:r>
            <w:r w:rsidR="00470A3D">
              <w:rPr>
                <w:sz w:val="20"/>
              </w:rPr>
              <w:t xml:space="preserve"> </w:t>
            </w:r>
            <w:r w:rsidRPr="003E7EE5">
              <w:rPr>
                <w:sz w:val="20"/>
              </w:rPr>
              <w:t>=</w:t>
            </w:r>
            <w:r w:rsidR="00470A3D">
              <w:rPr>
                <w:sz w:val="20"/>
              </w:rPr>
              <w:t xml:space="preserve"> </w:t>
            </w:r>
            <w:r w:rsidRPr="003E7EE5">
              <w:rPr>
                <w:sz w:val="20"/>
              </w:rPr>
              <w:t xml:space="preserve">9.380, </w:t>
            </w:r>
            <w:r w:rsidRPr="005E1791">
              <w:rPr>
                <w:i/>
                <w:iCs/>
                <w:sz w:val="20"/>
              </w:rPr>
              <w:t>p</w:t>
            </w:r>
            <w:r w:rsidR="00470A3D">
              <w:rPr>
                <w:sz w:val="20"/>
              </w:rPr>
              <w:t xml:space="preserve"> </w:t>
            </w:r>
            <w:r w:rsidRPr="003E7EE5">
              <w:rPr>
                <w:sz w:val="20"/>
              </w:rPr>
              <w:t>&lt;</w:t>
            </w:r>
            <w:r w:rsidR="00470A3D">
              <w:rPr>
                <w:sz w:val="20"/>
              </w:rPr>
              <w:t xml:space="preserve"> </w:t>
            </w:r>
            <w:r w:rsidRPr="003E7EE5">
              <w:rPr>
                <w:sz w:val="20"/>
              </w:rPr>
              <w:t>0.001</w:t>
            </w:r>
          </w:p>
        </w:tc>
        <w:tc>
          <w:tcPr>
            <w:tcW w:w="4679" w:type="dxa"/>
            <w:gridSpan w:val="6"/>
            <w:tcBorders>
              <w:top w:val="single" w:sz="4" w:space="0" w:color="auto"/>
              <w:bottom w:val="single" w:sz="4" w:space="0" w:color="auto"/>
            </w:tcBorders>
          </w:tcPr>
          <w:p w14:paraId="66BB9472" w14:textId="58670102" w:rsidR="00297E46" w:rsidRPr="003E7EE5" w:rsidRDefault="00297E46" w:rsidP="0017312F">
            <w:pPr>
              <w:tabs>
                <w:tab w:val="left" w:pos="284"/>
              </w:tabs>
              <w:spacing w:after="60"/>
              <w:jc w:val="center"/>
              <w:outlineLvl w:val="0"/>
              <w:rPr>
                <w:sz w:val="20"/>
              </w:rPr>
            </w:pPr>
            <w:r w:rsidRPr="005E1791">
              <w:rPr>
                <w:i/>
                <w:iCs/>
                <w:sz w:val="20"/>
              </w:rPr>
              <w:t>F</w:t>
            </w:r>
            <w:r w:rsidR="00470A3D">
              <w:rPr>
                <w:sz w:val="20"/>
              </w:rPr>
              <w:t xml:space="preserve"> </w:t>
            </w:r>
            <w:r w:rsidRPr="003E7EE5">
              <w:rPr>
                <w:sz w:val="20"/>
              </w:rPr>
              <w:t>=</w:t>
            </w:r>
            <w:r w:rsidR="00470A3D">
              <w:rPr>
                <w:sz w:val="20"/>
              </w:rPr>
              <w:t xml:space="preserve"> </w:t>
            </w:r>
            <w:r w:rsidRPr="003E7EE5">
              <w:rPr>
                <w:sz w:val="20"/>
              </w:rPr>
              <w:t xml:space="preserve">15.138, </w:t>
            </w:r>
            <w:r w:rsidRPr="005E1791">
              <w:rPr>
                <w:i/>
                <w:iCs/>
                <w:sz w:val="20"/>
              </w:rPr>
              <w:t>p</w:t>
            </w:r>
            <w:r w:rsidR="00470A3D">
              <w:rPr>
                <w:sz w:val="20"/>
              </w:rPr>
              <w:t xml:space="preserve"> </w:t>
            </w:r>
            <w:r w:rsidRPr="003E7EE5">
              <w:rPr>
                <w:sz w:val="20"/>
              </w:rPr>
              <w:t>&lt;</w:t>
            </w:r>
            <w:r w:rsidR="00470A3D">
              <w:rPr>
                <w:sz w:val="20"/>
              </w:rPr>
              <w:t xml:space="preserve"> </w:t>
            </w:r>
            <w:r w:rsidRPr="003E7EE5">
              <w:rPr>
                <w:sz w:val="20"/>
              </w:rPr>
              <w:t>0.001</w:t>
            </w:r>
          </w:p>
        </w:tc>
      </w:tr>
      <w:tr w:rsidR="00297E46" w:rsidRPr="003E7EE5" w14:paraId="265CFE27" w14:textId="77777777" w:rsidTr="00596C58">
        <w:tc>
          <w:tcPr>
            <w:tcW w:w="1350" w:type="dxa"/>
            <w:tcBorders>
              <w:top w:val="single" w:sz="4" w:space="0" w:color="auto"/>
            </w:tcBorders>
          </w:tcPr>
          <w:p w14:paraId="7DCF7329" w14:textId="77777777" w:rsidR="00297E46" w:rsidRPr="003E7EE5" w:rsidRDefault="00297E46" w:rsidP="0017312F">
            <w:pPr>
              <w:tabs>
                <w:tab w:val="left" w:pos="284"/>
              </w:tabs>
              <w:spacing w:after="60"/>
              <w:jc w:val="center"/>
              <w:outlineLvl w:val="0"/>
              <w:rPr>
                <w:sz w:val="20"/>
              </w:rPr>
            </w:pPr>
            <w:r w:rsidRPr="003E7EE5">
              <w:rPr>
                <w:sz w:val="20"/>
              </w:rPr>
              <w:t xml:space="preserve">Green non-believers </w:t>
            </w:r>
          </w:p>
        </w:tc>
        <w:tc>
          <w:tcPr>
            <w:tcW w:w="416" w:type="dxa"/>
            <w:tcBorders>
              <w:top w:val="single" w:sz="4" w:space="0" w:color="auto"/>
            </w:tcBorders>
            <w:vAlign w:val="center"/>
          </w:tcPr>
          <w:p w14:paraId="1A81F52A" w14:textId="4111CB48" w:rsidR="00297E46" w:rsidRPr="003E7EE5" w:rsidRDefault="007D3184" w:rsidP="0017312F">
            <w:pPr>
              <w:tabs>
                <w:tab w:val="left" w:pos="284"/>
              </w:tabs>
              <w:spacing w:after="60"/>
              <w:jc w:val="center"/>
              <w:outlineLvl w:val="0"/>
              <w:rPr>
                <w:sz w:val="20"/>
              </w:rPr>
            </w:pPr>
            <w:r w:rsidRPr="003E7EE5">
              <w:rPr>
                <w:sz w:val="20"/>
              </w:rPr>
              <w:t>71</w:t>
            </w:r>
          </w:p>
        </w:tc>
        <w:tc>
          <w:tcPr>
            <w:tcW w:w="1211" w:type="dxa"/>
            <w:tcBorders>
              <w:top w:val="single" w:sz="4" w:space="0" w:color="auto"/>
            </w:tcBorders>
            <w:vAlign w:val="center"/>
          </w:tcPr>
          <w:p w14:paraId="06A71D1C" w14:textId="77777777" w:rsidR="00297E46" w:rsidRPr="003E7EE5" w:rsidRDefault="00297E46" w:rsidP="0017312F">
            <w:pPr>
              <w:tabs>
                <w:tab w:val="left" w:pos="284"/>
              </w:tabs>
              <w:spacing w:after="60"/>
              <w:jc w:val="center"/>
              <w:outlineLvl w:val="0"/>
              <w:rPr>
                <w:sz w:val="20"/>
              </w:rPr>
            </w:pPr>
            <w:r w:rsidRPr="003E7EE5">
              <w:rPr>
                <w:sz w:val="20"/>
              </w:rPr>
              <w:t>3.70 (1.06)</w:t>
            </w:r>
          </w:p>
        </w:tc>
        <w:tc>
          <w:tcPr>
            <w:tcW w:w="1134" w:type="dxa"/>
            <w:tcBorders>
              <w:top w:val="single" w:sz="4" w:space="0" w:color="auto"/>
            </w:tcBorders>
            <w:vAlign w:val="center"/>
          </w:tcPr>
          <w:p w14:paraId="54146E46" w14:textId="77777777" w:rsidR="00297E46" w:rsidRPr="003E7EE5" w:rsidRDefault="00297E46" w:rsidP="0017312F">
            <w:pPr>
              <w:tabs>
                <w:tab w:val="left" w:pos="284"/>
              </w:tabs>
              <w:spacing w:after="60"/>
              <w:jc w:val="center"/>
              <w:outlineLvl w:val="0"/>
              <w:rPr>
                <w:sz w:val="20"/>
              </w:rPr>
            </w:pPr>
          </w:p>
        </w:tc>
        <w:tc>
          <w:tcPr>
            <w:tcW w:w="1134" w:type="dxa"/>
            <w:tcBorders>
              <w:top w:val="single" w:sz="4" w:space="0" w:color="auto"/>
            </w:tcBorders>
            <w:vAlign w:val="center"/>
          </w:tcPr>
          <w:p w14:paraId="2ED748A0" w14:textId="77777777" w:rsidR="00297E46" w:rsidRPr="003E7EE5" w:rsidRDefault="00297E46" w:rsidP="0017312F">
            <w:pPr>
              <w:tabs>
                <w:tab w:val="left" w:pos="284"/>
              </w:tabs>
              <w:spacing w:after="60"/>
              <w:jc w:val="center"/>
              <w:outlineLvl w:val="0"/>
              <w:rPr>
                <w:sz w:val="20"/>
              </w:rPr>
            </w:pPr>
          </w:p>
        </w:tc>
        <w:tc>
          <w:tcPr>
            <w:tcW w:w="1560" w:type="dxa"/>
            <w:gridSpan w:val="2"/>
            <w:tcBorders>
              <w:top w:val="single" w:sz="4" w:space="0" w:color="auto"/>
            </w:tcBorders>
            <w:vAlign w:val="center"/>
          </w:tcPr>
          <w:p w14:paraId="1409E9C2" w14:textId="77777777" w:rsidR="00297E46" w:rsidRPr="003E7EE5" w:rsidRDefault="00297E46" w:rsidP="0017312F">
            <w:pPr>
              <w:tabs>
                <w:tab w:val="left" w:pos="284"/>
              </w:tabs>
              <w:spacing w:after="60"/>
              <w:jc w:val="center"/>
              <w:outlineLvl w:val="0"/>
              <w:rPr>
                <w:sz w:val="20"/>
              </w:rPr>
            </w:pPr>
            <w:r w:rsidRPr="003E7EE5">
              <w:rPr>
                <w:sz w:val="20"/>
              </w:rPr>
              <w:t>3.95 (1.15)</w:t>
            </w:r>
          </w:p>
        </w:tc>
        <w:tc>
          <w:tcPr>
            <w:tcW w:w="1559" w:type="dxa"/>
            <w:gridSpan w:val="2"/>
            <w:tcBorders>
              <w:top w:val="single" w:sz="4" w:space="0" w:color="auto"/>
            </w:tcBorders>
            <w:vAlign w:val="center"/>
          </w:tcPr>
          <w:p w14:paraId="5B5983D4" w14:textId="77777777" w:rsidR="00297E46" w:rsidRPr="003E7EE5" w:rsidRDefault="00297E46" w:rsidP="0017312F">
            <w:pPr>
              <w:tabs>
                <w:tab w:val="left" w:pos="284"/>
              </w:tabs>
              <w:spacing w:after="60"/>
              <w:jc w:val="center"/>
              <w:outlineLvl w:val="0"/>
              <w:rPr>
                <w:sz w:val="20"/>
              </w:rPr>
            </w:pPr>
          </w:p>
        </w:tc>
        <w:tc>
          <w:tcPr>
            <w:tcW w:w="1560" w:type="dxa"/>
            <w:gridSpan w:val="2"/>
            <w:tcBorders>
              <w:top w:val="single" w:sz="4" w:space="0" w:color="auto"/>
            </w:tcBorders>
            <w:vAlign w:val="center"/>
          </w:tcPr>
          <w:p w14:paraId="14233961" w14:textId="77777777" w:rsidR="00297E46" w:rsidRPr="003E7EE5" w:rsidRDefault="00297E46" w:rsidP="0017312F">
            <w:pPr>
              <w:tabs>
                <w:tab w:val="left" w:pos="284"/>
              </w:tabs>
              <w:spacing w:after="60"/>
              <w:jc w:val="center"/>
              <w:outlineLvl w:val="0"/>
              <w:rPr>
                <w:sz w:val="20"/>
              </w:rPr>
            </w:pPr>
          </w:p>
        </w:tc>
      </w:tr>
      <w:tr w:rsidR="00297E46" w:rsidRPr="003E7EE5" w14:paraId="55751FC3" w14:textId="77777777" w:rsidTr="00596C58">
        <w:tc>
          <w:tcPr>
            <w:tcW w:w="1350" w:type="dxa"/>
          </w:tcPr>
          <w:p w14:paraId="588EF5AF" w14:textId="77777777" w:rsidR="00297E46" w:rsidRPr="003E7EE5" w:rsidRDefault="00297E46" w:rsidP="0017312F">
            <w:pPr>
              <w:tabs>
                <w:tab w:val="left" w:pos="284"/>
              </w:tabs>
              <w:spacing w:after="60"/>
              <w:jc w:val="center"/>
              <w:outlineLvl w:val="0"/>
              <w:rPr>
                <w:sz w:val="20"/>
              </w:rPr>
            </w:pPr>
            <w:r w:rsidRPr="003E7EE5">
              <w:rPr>
                <w:sz w:val="20"/>
              </w:rPr>
              <w:t xml:space="preserve">Green </w:t>
            </w:r>
            <w:proofErr w:type="spellStart"/>
            <w:r w:rsidRPr="003E7EE5">
              <w:rPr>
                <w:sz w:val="20"/>
              </w:rPr>
              <w:t>disinvestors</w:t>
            </w:r>
            <w:proofErr w:type="spellEnd"/>
          </w:p>
        </w:tc>
        <w:tc>
          <w:tcPr>
            <w:tcW w:w="416" w:type="dxa"/>
            <w:vAlign w:val="center"/>
          </w:tcPr>
          <w:p w14:paraId="7F741A67" w14:textId="6CB227EF" w:rsidR="00297E46" w:rsidRPr="003E7EE5" w:rsidRDefault="007D3184" w:rsidP="0017312F">
            <w:pPr>
              <w:tabs>
                <w:tab w:val="left" w:pos="284"/>
              </w:tabs>
              <w:spacing w:after="60"/>
              <w:jc w:val="center"/>
              <w:outlineLvl w:val="0"/>
              <w:rPr>
                <w:sz w:val="20"/>
              </w:rPr>
            </w:pPr>
            <w:r w:rsidRPr="003E7EE5">
              <w:rPr>
                <w:sz w:val="20"/>
              </w:rPr>
              <w:t>36</w:t>
            </w:r>
          </w:p>
        </w:tc>
        <w:tc>
          <w:tcPr>
            <w:tcW w:w="1211" w:type="dxa"/>
            <w:vAlign w:val="center"/>
          </w:tcPr>
          <w:p w14:paraId="2425EDD6" w14:textId="77777777" w:rsidR="00297E46" w:rsidRPr="003E7EE5" w:rsidRDefault="00297E46" w:rsidP="0017312F">
            <w:pPr>
              <w:tabs>
                <w:tab w:val="left" w:pos="284"/>
              </w:tabs>
              <w:spacing w:after="60"/>
              <w:jc w:val="center"/>
              <w:outlineLvl w:val="0"/>
              <w:rPr>
                <w:sz w:val="20"/>
              </w:rPr>
            </w:pPr>
            <w:r w:rsidRPr="003E7EE5">
              <w:rPr>
                <w:sz w:val="20"/>
              </w:rPr>
              <w:t>4.09 (1.21)</w:t>
            </w:r>
          </w:p>
        </w:tc>
        <w:tc>
          <w:tcPr>
            <w:tcW w:w="1134" w:type="dxa"/>
            <w:vAlign w:val="center"/>
          </w:tcPr>
          <w:p w14:paraId="5E21ED80" w14:textId="77777777" w:rsidR="00297E46" w:rsidRPr="003E7EE5" w:rsidRDefault="00297E46" w:rsidP="0017312F">
            <w:pPr>
              <w:tabs>
                <w:tab w:val="left" w:pos="284"/>
              </w:tabs>
              <w:spacing w:after="60"/>
              <w:jc w:val="center"/>
              <w:outlineLvl w:val="0"/>
              <w:rPr>
                <w:sz w:val="20"/>
              </w:rPr>
            </w:pPr>
            <w:r w:rsidRPr="003E7EE5">
              <w:rPr>
                <w:sz w:val="20"/>
              </w:rPr>
              <w:t>4.09 (1.21)</w:t>
            </w:r>
          </w:p>
        </w:tc>
        <w:tc>
          <w:tcPr>
            <w:tcW w:w="1134" w:type="dxa"/>
            <w:vAlign w:val="center"/>
          </w:tcPr>
          <w:p w14:paraId="56A141A2" w14:textId="77777777" w:rsidR="00297E46" w:rsidRPr="003E7EE5" w:rsidRDefault="00297E46" w:rsidP="0017312F">
            <w:pPr>
              <w:tabs>
                <w:tab w:val="left" w:pos="284"/>
              </w:tabs>
              <w:spacing w:after="60"/>
              <w:jc w:val="center"/>
              <w:outlineLvl w:val="0"/>
              <w:rPr>
                <w:sz w:val="20"/>
              </w:rPr>
            </w:pPr>
          </w:p>
        </w:tc>
        <w:tc>
          <w:tcPr>
            <w:tcW w:w="1560" w:type="dxa"/>
            <w:gridSpan w:val="2"/>
            <w:vAlign w:val="center"/>
          </w:tcPr>
          <w:p w14:paraId="035FC08B" w14:textId="77777777" w:rsidR="00297E46" w:rsidRPr="003E7EE5" w:rsidRDefault="00297E46" w:rsidP="0017312F">
            <w:pPr>
              <w:tabs>
                <w:tab w:val="left" w:pos="284"/>
              </w:tabs>
              <w:spacing w:after="60"/>
              <w:jc w:val="center"/>
              <w:outlineLvl w:val="0"/>
              <w:rPr>
                <w:sz w:val="20"/>
              </w:rPr>
            </w:pPr>
          </w:p>
        </w:tc>
        <w:tc>
          <w:tcPr>
            <w:tcW w:w="1559" w:type="dxa"/>
            <w:gridSpan w:val="2"/>
            <w:vAlign w:val="center"/>
          </w:tcPr>
          <w:p w14:paraId="0B6A3C10" w14:textId="77777777" w:rsidR="00297E46" w:rsidRPr="003E7EE5" w:rsidRDefault="00297E46" w:rsidP="0017312F">
            <w:pPr>
              <w:tabs>
                <w:tab w:val="left" w:pos="284"/>
              </w:tabs>
              <w:spacing w:after="60"/>
              <w:jc w:val="center"/>
              <w:outlineLvl w:val="0"/>
              <w:rPr>
                <w:sz w:val="20"/>
              </w:rPr>
            </w:pPr>
            <w:r w:rsidRPr="003E7EE5">
              <w:rPr>
                <w:sz w:val="20"/>
              </w:rPr>
              <w:t>4.54 (0.93)</w:t>
            </w:r>
          </w:p>
        </w:tc>
        <w:tc>
          <w:tcPr>
            <w:tcW w:w="1560" w:type="dxa"/>
            <w:gridSpan w:val="2"/>
            <w:vAlign w:val="center"/>
          </w:tcPr>
          <w:p w14:paraId="058EE1B2" w14:textId="77777777" w:rsidR="00297E46" w:rsidRPr="003E7EE5" w:rsidRDefault="00297E46" w:rsidP="0017312F">
            <w:pPr>
              <w:tabs>
                <w:tab w:val="left" w:pos="284"/>
              </w:tabs>
              <w:spacing w:after="60"/>
              <w:jc w:val="center"/>
              <w:outlineLvl w:val="0"/>
              <w:rPr>
                <w:sz w:val="20"/>
              </w:rPr>
            </w:pPr>
          </w:p>
        </w:tc>
      </w:tr>
      <w:tr w:rsidR="00297E46" w:rsidRPr="003E7EE5" w14:paraId="7F0B233B" w14:textId="77777777" w:rsidTr="00596C58">
        <w:tc>
          <w:tcPr>
            <w:tcW w:w="1350" w:type="dxa"/>
          </w:tcPr>
          <w:p w14:paraId="09505B3A" w14:textId="77777777" w:rsidR="00297E46" w:rsidRPr="003E7EE5" w:rsidRDefault="00297E46" w:rsidP="0017312F">
            <w:pPr>
              <w:tabs>
                <w:tab w:val="left" w:pos="284"/>
              </w:tabs>
              <w:spacing w:after="60"/>
              <w:jc w:val="center"/>
              <w:outlineLvl w:val="0"/>
              <w:rPr>
                <w:sz w:val="20"/>
              </w:rPr>
            </w:pPr>
            <w:r w:rsidRPr="003E7EE5">
              <w:rPr>
                <w:sz w:val="20"/>
              </w:rPr>
              <w:t>Green reluctants</w:t>
            </w:r>
          </w:p>
        </w:tc>
        <w:tc>
          <w:tcPr>
            <w:tcW w:w="416" w:type="dxa"/>
            <w:vAlign w:val="center"/>
          </w:tcPr>
          <w:p w14:paraId="6AC87C4F" w14:textId="3809255C" w:rsidR="00297E46" w:rsidRPr="003E7EE5" w:rsidRDefault="007D3184" w:rsidP="0017312F">
            <w:pPr>
              <w:tabs>
                <w:tab w:val="left" w:pos="284"/>
              </w:tabs>
              <w:spacing w:after="60"/>
              <w:jc w:val="center"/>
              <w:outlineLvl w:val="0"/>
              <w:rPr>
                <w:sz w:val="20"/>
              </w:rPr>
            </w:pPr>
            <w:r w:rsidRPr="003E7EE5">
              <w:rPr>
                <w:sz w:val="20"/>
              </w:rPr>
              <w:t>37</w:t>
            </w:r>
          </w:p>
        </w:tc>
        <w:tc>
          <w:tcPr>
            <w:tcW w:w="1211" w:type="dxa"/>
            <w:vAlign w:val="center"/>
          </w:tcPr>
          <w:p w14:paraId="2855E467" w14:textId="77777777" w:rsidR="00297E46" w:rsidRPr="003E7EE5" w:rsidRDefault="00297E46" w:rsidP="0017312F">
            <w:pPr>
              <w:tabs>
                <w:tab w:val="left" w:pos="284"/>
              </w:tabs>
              <w:spacing w:after="60"/>
              <w:jc w:val="center"/>
              <w:outlineLvl w:val="0"/>
              <w:rPr>
                <w:sz w:val="20"/>
              </w:rPr>
            </w:pPr>
          </w:p>
        </w:tc>
        <w:tc>
          <w:tcPr>
            <w:tcW w:w="1134" w:type="dxa"/>
            <w:vAlign w:val="center"/>
          </w:tcPr>
          <w:p w14:paraId="02280715" w14:textId="77777777" w:rsidR="00297E46" w:rsidRPr="003E7EE5" w:rsidRDefault="00297E46" w:rsidP="0017312F">
            <w:pPr>
              <w:tabs>
                <w:tab w:val="left" w:pos="284"/>
              </w:tabs>
              <w:spacing w:after="60"/>
              <w:jc w:val="center"/>
              <w:outlineLvl w:val="0"/>
              <w:rPr>
                <w:sz w:val="20"/>
              </w:rPr>
            </w:pPr>
            <w:r w:rsidRPr="003E7EE5">
              <w:rPr>
                <w:sz w:val="20"/>
              </w:rPr>
              <w:t>4.40 (1.02)</w:t>
            </w:r>
          </w:p>
        </w:tc>
        <w:tc>
          <w:tcPr>
            <w:tcW w:w="1134" w:type="dxa"/>
            <w:vAlign w:val="center"/>
          </w:tcPr>
          <w:p w14:paraId="54A464EE" w14:textId="77777777" w:rsidR="00297E46" w:rsidRPr="003E7EE5" w:rsidRDefault="00297E46" w:rsidP="0017312F">
            <w:pPr>
              <w:tabs>
                <w:tab w:val="left" w:pos="284"/>
              </w:tabs>
              <w:spacing w:after="60"/>
              <w:jc w:val="center"/>
              <w:outlineLvl w:val="0"/>
              <w:rPr>
                <w:sz w:val="20"/>
              </w:rPr>
            </w:pPr>
          </w:p>
        </w:tc>
        <w:tc>
          <w:tcPr>
            <w:tcW w:w="1560" w:type="dxa"/>
            <w:gridSpan w:val="2"/>
            <w:vAlign w:val="center"/>
          </w:tcPr>
          <w:p w14:paraId="41C0D00F" w14:textId="77777777" w:rsidR="00297E46" w:rsidRPr="003E7EE5" w:rsidRDefault="00297E46" w:rsidP="0017312F">
            <w:pPr>
              <w:tabs>
                <w:tab w:val="left" w:pos="284"/>
              </w:tabs>
              <w:spacing w:after="60"/>
              <w:jc w:val="center"/>
              <w:outlineLvl w:val="0"/>
              <w:rPr>
                <w:sz w:val="20"/>
              </w:rPr>
            </w:pPr>
          </w:p>
        </w:tc>
        <w:tc>
          <w:tcPr>
            <w:tcW w:w="1559" w:type="dxa"/>
            <w:gridSpan w:val="2"/>
            <w:vAlign w:val="center"/>
          </w:tcPr>
          <w:p w14:paraId="1CFAB8E0" w14:textId="77777777" w:rsidR="00297E46" w:rsidRPr="003E7EE5" w:rsidRDefault="00297E46" w:rsidP="0017312F">
            <w:pPr>
              <w:tabs>
                <w:tab w:val="left" w:pos="284"/>
              </w:tabs>
              <w:spacing w:after="60"/>
              <w:jc w:val="center"/>
              <w:outlineLvl w:val="0"/>
              <w:rPr>
                <w:sz w:val="20"/>
              </w:rPr>
            </w:pPr>
            <w:r w:rsidRPr="003E7EE5">
              <w:rPr>
                <w:sz w:val="20"/>
              </w:rPr>
              <w:t>4.62 (0.74)</w:t>
            </w:r>
          </w:p>
        </w:tc>
        <w:tc>
          <w:tcPr>
            <w:tcW w:w="1560" w:type="dxa"/>
            <w:gridSpan w:val="2"/>
            <w:vAlign w:val="center"/>
          </w:tcPr>
          <w:p w14:paraId="599332A7" w14:textId="77777777" w:rsidR="00297E46" w:rsidRPr="003E7EE5" w:rsidRDefault="00297E46" w:rsidP="0017312F">
            <w:pPr>
              <w:tabs>
                <w:tab w:val="left" w:pos="284"/>
              </w:tabs>
              <w:spacing w:after="60"/>
              <w:jc w:val="center"/>
              <w:outlineLvl w:val="0"/>
              <w:rPr>
                <w:sz w:val="20"/>
              </w:rPr>
            </w:pPr>
          </w:p>
        </w:tc>
      </w:tr>
      <w:tr w:rsidR="00297E46" w:rsidRPr="003E7EE5" w14:paraId="4BCC128E" w14:textId="77777777" w:rsidTr="00596C58">
        <w:tc>
          <w:tcPr>
            <w:tcW w:w="1350" w:type="dxa"/>
          </w:tcPr>
          <w:p w14:paraId="69538438" w14:textId="77777777" w:rsidR="00297E46" w:rsidRPr="003E7EE5" w:rsidRDefault="00297E46" w:rsidP="0017312F">
            <w:pPr>
              <w:tabs>
                <w:tab w:val="left" w:pos="284"/>
              </w:tabs>
              <w:spacing w:after="60"/>
              <w:jc w:val="center"/>
              <w:outlineLvl w:val="0"/>
              <w:rPr>
                <w:sz w:val="20"/>
              </w:rPr>
            </w:pPr>
            <w:r w:rsidRPr="003E7EE5">
              <w:rPr>
                <w:sz w:val="20"/>
              </w:rPr>
              <w:t>Cautious green investors</w:t>
            </w:r>
          </w:p>
        </w:tc>
        <w:tc>
          <w:tcPr>
            <w:tcW w:w="416" w:type="dxa"/>
            <w:vAlign w:val="center"/>
          </w:tcPr>
          <w:p w14:paraId="440446DD" w14:textId="3C18D60D" w:rsidR="00297E46" w:rsidRPr="003E7EE5" w:rsidRDefault="007D3184" w:rsidP="0017312F">
            <w:pPr>
              <w:tabs>
                <w:tab w:val="left" w:pos="284"/>
              </w:tabs>
              <w:spacing w:after="60"/>
              <w:jc w:val="center"/>
              <w:outlineLvl w:val="0"/>
              <w:rPr>
                <w:sz w:val="20"/>
              </w:rPr>
            </w:pPr>
            <w:r w:rsidRPr="003E7EE5">
              <w:rPr>
                <w:sz w:val="20"/>
              </w:rPr>
              <w:t>50</w:t>
            </w:r>
          </w:p>
        </w:tc>
        <w:tc>
          <w:tcPr>
            <w:tcW w:w="1211" w:type="dxa"/>
            <w:vAlign w:val="center"/>
          </w:tcPr>
          <w:p w14:paraId="731F630D" w14:textId="77777777" w:rsidR="00297E46" w:rsidRPr="003E7EE5" w:rsidRDefault="00297E46" w:rsidP="0017312F">
            <w:pPr>
              <w:tabs>
                <w:tab w:val="left" w:pos="284"/>
              </w:tabs>
              <w:spacing w:after="60"/>
              <w:jc w:val="center"/>
              <w:outlineLvl w:val="0"/>
              <w:rPr>
                <w:sz w:val="20"/>
              </w:rPr>
            </w:pPr>
          </w:p>
        </w:tc>
        <w:tc>
          <w:tcPr>
            <w:tcW w:w="1134" w:type="dxa"/>
            <w:vAlign w:val="center"/>
          </w:tcPr>
          <w:p w14:paraId="1627D09A" w14:textId="77777777" w:rsidR="00297E46" w:rsidRPr="003E7EE5" w:rsidRDefault="00297E46" w:rsidP="0017312F">
            <w:pPr>
              <w:tabs>
                <w:tab w:val="left" w:pos="284"/>
              </w:tabs>
              <w:spacing w:after="60"/>
              <w:jc w:val="center"/>
              <w:outlineLvl w:val="0"/>
              <w:rPr>
                <w:sz w:val="20"/>
              </w:rPr>
            </w:pPr>
            <w:r w:rsidRPr="003E7EE5">
              <w:rPr>
                <w:sz w:val="20"/>
              </w:rPr>
              <w:t>4.54 (1.27)</w:t>
            </w:r>
          </w:p>
        </w:tc>
        <w:tc>
          <w:tcPr>
            <w:tcW w:w="1134" w:type="dxa"/>
            <w:vAlign w:val="center"/>
          </w:tcPr>
          <w:p w14:paraId="107A668F" w14:textId="77777777" w:rsidR="00297E46" w:rsidRPr="003E7EE5" w:rsidRDefault="00297E46" w:rsidP="0017312F">
            <w:pPr>
              <w:tabs>
                <w:tab w:val="left" w:pos="284"/>
              </w:tabs>
              <w:spacing w:after="60"/>
              <w:jc w:val="center"/>
              <w:outlineLvl w:val="0"/>
              <w:rPr>
                <w:sz w:val="20"/>
              </w:rPr>
            </w:pPr>
            <w:r w:rsidRPr="003E7EE5">
              <w:rPr>
                <w:sz w:val="20"/>
              </w:rPr>
              <w:t>4.54 (1.27)</w:t>
            </w:r>
          </w:p>
        </w:tc>
        <w:tc>
          <w:tcPr>
            <w:tcW w:w="1560" w:type="dxa"/>
            <w:gridSpan w:val="2"/>
            <w:vAlign w:val="center"/>
          </w:tcPr>
          <w:p w14:paraId="42BD41C8" w14:textId="77777777" w:rsidR="00297E46" w:rsidRPr="003E7EE5" w:rsidRDefault="00297E46" w:rsidP="0017312F">
            <w:pPr>
              <w:tabs>
                <w:tab w:val="left" w:pos="284"/>
              </w:tabs>
              <w:spacing w:after="60"/>
              <w:jc w:val="center"/>
              <w:outlineLvl w:val="0"/>
              <w:rPr>
                <w:sz w:val="20"/>
              </w:rPr>
            </w:pPr>
          </w:p>
        </w:tc>
        <w:tc>
          <w:tcPr>
            <w:tcW w:w="1559" w:type="dxa"/>
            <w:gridSpan w:val="2"/>
            <w:vAlign w:val="center"/>
          </w:tcPr>
          <w:p w14:paraId="71917A95" w14:textId="77777777" w:rsidR="00297E46" w:rsidRPr="003E7EE5" w:rsidRDefault="00297E46" w:rsidP="0017312F">
            <w:pPr>
              <w:tabs>
                <w:tab w:val="left" w:pos="284"/>
              </w:tabs>
              <w:spacing w:after="60"/>
              <w:jc w:val="center"/>
              <w:outlineLvl w:val="0"/>
              <w:rPr>
                <w:sz w:val="20"/>
              </w:rPr>
            </w:pPr>
            <w:r w:rsidRPr="003E7EE5">
              <w:rPr>
                <w:sz w:val="20"/>
              </w:rPr>
              <w:t>5.01 (0.73)</w:t>
            </w:r>
          </w:p>
        </w:tc>
        <w:tc>
          <w:tcPr>
            <w:tcW w:w="1560" w:type="dxa"/>
            <w:gridSpan w:val="2"/>
            <w:vAlign w:val="center"/>
          </w:tcPr>
          <w:p w14:paraId="751899AA" w14:textId="77777777" w:rsidR="00297E46" w:rsidRPr="003E7EE5" w:rsidRDefault="00297E46" w:rsidP="0017312F">
            <w:pPr>
              <w:tabs>
                <w:tab w:val="left" w:pos="284"/>
              </w:tabs>
              <w:spacing w:after="60"/>
              <w:jc w:val="center"/>
              <w:outlineLvl w:val="0"/>
              <w:rPr>
                <w:sz w:val="20"/>
              </w:rPr>
            </w:pPr>
            <w:r w:rsidRPr="003E7EE5">
              <w:rPr>
                <w:sz w:val="20"/>
              </w:rPr>
              <w:t>5.01 (0.73)</w:t>
            </w:r>
          </w:p>
        </w:tc>
      </w:tr>
      <w:tr w:rsidR="00297E46" w:rsidRPr="003E7EE5" w14:paraId="44726FB8" w14:textId="77777777" w:rsidTr="00596C58">
        <w:tc>
          <w:tcPr>
            <w:tcW w:w="1350" w:type="dxa"/>
          </w:tcPr>
          <w:p w14:paraId="6EF0BEE7" w14:textId="77777777" w:rsidR="00297E46" w:rsidRPr="003E7EE5" w:rsidRDefault="00297E46" w:rsidP="0017312F">
            <w:pPr>
              <w:tabs>
                <w:tab w:val="left" w:pos="284"/>
              </w:tabs>
              <w:spacing w:after="60"/>
              <w:jc w:val="center"/>
              <w:outlineLvl w:val="0"/>
              <w:rPr>
                <w:sz w:val="20"/>
              </w:rPr>
            </w:pPr>
            <w:r w:rsidRPr="003E7EE5">
              <w:rPr>
                <w:sz w:val="20"/>
              </w:rPr>
              <w:t>Opportunistic green investors</w:t>
            </w:r>
          </w:p>
        </w:tc>
        <w:tc>
          <w:tcPr>
            <w:tcW w:w="416" w:type="dxa"/>
            <w:vAlign w:val="center"/>
          </w:tcPr>
          <w:p w14:paraId="24D8A4A6" w14:textId="6083A46C" w:rsidR="00297E46" w:rsidRPr="003E7EE5" w:rsidRDefault="007D3184" w:rsidP="0017312F">
            <w:pPr>
              <w:tabs>
                <w:tab w:val="left" w:pos="284"/>
              </w:tabs>
              <w:spacing w:after="60"/>
              <w:jc w:val="center"/>
              <w:outlineLvl w:val="0"/>
              <w:rPr>
                <w:sz w:val="20"/>
              </w:rPr>
            </w:pPr>
            <w:r w:rsidRPr="003E7EE5">
              <w:rPr>
                <w:sz w:val="20"/>
              </w:rPr>
              <w:t>8</w:t>
            </w:r>
          </w:p>
        </w:tc>
        <w:tc>
          <w:tcPr>
            <w:tcW w:w="1211" w:type="dxa"/>
            <w:vAlign w:val="center"/>
          </w:tcPr>
          <w:p w14:paraId="26312A2E" w14:textId="77777777" w:rsidR="00297E46" w:rsidRPr="003E7EE5" w:rsidRDefault="00297E46" w:rsidP="0017312F">
            <w:pPr>
              <w:tabs>
                <w:tab w:val="left" w:pos="284"/>
              </w:tabs>
              <w:spacing w:after="60"/>
              <w:jc w:val="center"/>
              <w:outlineLvl w:val="0"/>
              <w:rPr>
                <w:sz w:val="20"/>
              </w:rPr>
            </w:pPr>
          </w:p>
        </w:tc>
        <w:tc>
          <w:tcPr>
            <w:tcW w:w="1134" w:type="dxa"/>
            <w:vAlign w:val="center"/>
          </w:tcPr>
          <w:p w14:paraId="472BF131" w14:textId="77777777" w:rsidR="00297E46" w:rsidRPr="003E7EE5" w:rsidRDefault="00297E46" w:rsidP="0017312F">
            <w:pPr>
              <w:tabs>
                <w:tab w:val="left" w:pos="284"/>
              </w:tabs>
              <w:spacing w:after="60"/>
              <w:jc w:val="center"/>
              <w:outlineLvl w:val="0"/>
              <w:rPr>
                <w:sz w:val="20"/>
              </w:rPr>
            </w:pPr>
            <w:r w:rsidRPr="003E7EE5">
              <w:rPr>
                <w:sz w:val="20"/>
              </w:rPr>
              <w:t>4.73 (1.68)</w:t>
            </w:r>
          </w:p>
        </w:tc>
        <w:tc>
          <w:tcPr>
            <w:tcW w:w="1134" w:type="dxa"/>
            <w:vAlign w:val="center"/>
          </w:tcPr>
          <w:p w14:paraId="7BD0AD67" w14:textId="77777777" w:rsidR="00297E46" w:rsidRPr="003E7EE5" w:rsidRDefault="00297E46" w:rsidP="0017312F">
            <w:pPr>
              <w:tabs>
                <w:tab w:val="left" w:pos="284"/>
              </w:tabs>
              <w:spacing w:after="60"/>
              <w:jc w:val="center"/>
              <w:outlineLvl w:val="0"/>
              <w:rPr>
                <w:sz w:val="20"/>
              </w:rPr>
            </w:pPr>
            <w:r w:rsidRPr="003E7EE5">
              <w:rPr>
                <w:sz w:val="20"/>
              </w:rPr>
              <w:t>4.73 (1.68)</w:t>
            </w:r>
          </w:p>
        </w:tc>
        <w:tc>
          <w:tcPr>
            <w:tcW w:w="1560" w:type="dxa"/>
            <w:gridSpan w:val="2"/>
            <w:vAlign w:val="center"/>
          </w:tcPr>
          <w:p w14:paraId="0F994900" w14:textId="77777777" w:rsidR="00297E46" w:rsidRPr="003E7EE5" w:rsidRDefault="00297E46" w:rsidP="0017312F">
            <w:pPr>
              <w:tabs>
                <w:tab w:val="left" w:pos="284"/>
              </w:tabs>
              <w:spacing w:after="60"/>
              <w:jc w:val="center"/>
              <w:outlineLvl w:val="0"/>
              <w:rPr>
                <w:sz w:val="20"/>
              </w:rPr>
            </w:pPr>
          </w:p>
        </w:tc>
        <w:tc>
          <w:tcPr>
            <w:tcW w:w="1559" w:type="dxa"/>
            <w:gridSpan w:val="2"/>
            <w:vAlign w:val="center"/>
          </w:tcPr>
          <w:p w14:paraId="06922CCA" w14:textId="77777777" w:rsidR="00297E46" w:rsidRPr="003E7EE5" w:rsidRDefault="00297E46" w:rsidP="0017312F">
            <w:pPr>
              <w:tabs>
                <w:tab w:val="left" w:pos="284"/>
              </w:tabs>
              <w:spacing w:after="60"/>
              <w:jc w:val="center"/>
              <w:outlineLvl w:val="0"/>
              <w:rPr>
                <w:sz w:val="20"/>
              </w:rPr>
            </w:pPr>
            <w:r w:rsidRPr="003E7EE5">
              <w:rPr>
                <w:sz w:val="20"/>
              </w:rPr>
              <w:t>4.50 (1.33)</w:t>
            </w:r>
          </w:p>
        </w:tc>
        <w:tc>
          <w:tcPr>
            <w:tcW w:w="1560" w:type="dxa"/>
            <w:gridSpan w:val="2"/>
            <w:vAlign w:val="center"/>
          </w:tcPr>
          <w:p w14:paraId="30CD062B" w14:textId="77777777" w:rsidR="00297E46" w:rsidRPr="003E7EE5" w:rsidRDefault="00297E46" w:rsidP="0017312F">
            <w:pPr>
              <w:tabs>
                <w:tab w:val="left" w:pos="284"/>
              </w:tabs>
              <w:spacing w:after="60"/>
              <w:jc w:val="center"/>
              <w:outlineLvl w:val="0"/>
              <w:rPr>
                <w:sz w:val="20"/>
              </w:rPr>
            </w:pPr>
          </w:p>
        </w:tc>
      </w:tr>
      <w:tr w:rsidR="00297E46" w:rsidRPr="003E7EE5" w14:paraId="6E2AB4A5" w14:textId="77777777" w:rsidTr="00596C58">
        <w:tc>
          <w:tcPr>
            <w:tcW w:w="1350" w:type="dxa"/>
          </w:tcPr>
          <w:p w14:paraId="7534C659" w14:textId="77777777" w:rsidR="00297E46" w:rsidRPr="003E7EE5" w:rsidRDefault="00297E46" w:rsidP="0017312F">
            <w:pPr>
              <w:tabs>
                <w:tab w:val="left" w:pos="284"/>
              </w:tabs>
              <w:spacing w:after="60"/>
              <w:jc w:val="center"/>
              <w:outlineLvl w:val="0"/>
              <w:rPr>
                <w:sz w:val="20"/>
              </w:rPr>
            </w:pPr>
            <w:r w:rsidRPr="003E7EE5">
              <w:rPr>
                <w:sz w:val="20"/>
              </w:rPr>
              <w:t>Strategic green investors</w:t>
            </w:r>
          </w:p>
        </w:tc>
        <w:tc>
          <w:tcPr>
            <w:tcW w:w="416" w:type="dxa"/>
            <w:vAlign w:val="center"/>
          </w:tcPr>
          <w:p w14:paraId="04AA42BD" w14:textId="3736B92E" w:rsidR="00297E46" w:rsidRPr="003E7EE5" w:rsidRDefault="007D3184" w:rsidP="0017312F">
            <w:pPr>
              <w:tabs>
                <w:tab w:val="left" w:pos="284"/>
              </w:tabs>
              <w:spacing w:after="60"/>
              <w:jc w:val="center"/>
              <w:outlineLvl w:val="0"/>
              <w:rPr>
                <w:sz w:val="20"/>
              </w:rPr>
            </w:pPr>
            <w:r w:rsidRPr="003E7EE5">
              <w:rPr>
                <w:sz w:val="20"/>
              </w:rPr>
              <w:t>43</w:t>
            </w:r>
          </w:p>
        </w:tc>
        <w:tc>
          <w:tcPr>
            <w:tcW w:w="1211" w:type="dxa"/>
            <w:vAlign w:val="center"/>
          </w:tcPr>
          <w:p w14:paraId="12CF10A0" w14:textId="77777777" w:rsidR="00297E46" w:rsidRPr="003E7EE5" w:rsidRDefault="00297E46" w:rsidP="0017312F">
            <w:pPr>
              <w:tabs>
                <w:tab w:val="left" w:pos="284"/>
              </w:tabs>
              <w:spacing w:after="60"/>
              <w:jc w:val="center"/>
              <w:outlineLvl w:val="0"/>
              <w:rPr>
                <w:sz w:val="20"/>
              </w:rPr>
            </w:pPr>
          </w:p>
        </w:tc>
        <w:tc>
          <w:tcPr>
            <w:tcW w:w="1134" w:type="dxa"/>
            <w:vAlign w:val="center"/>
          </w:tcPr>
          <w:p w14:paraId="2CBD73F0" w14:textId="77777777" w:rsidR="00297E46" w:rsidRPr="003E7EE5" w:rsidRDefault="00297E46" w:rsidP="0017312F">
            <w:pPr>
              <w:tabs>
                <w:tab w:val="left" w:pos="284"/>
              </w:tabs>
              <w:spacing w:after="60"/>
              <w:jc w:val="center"/>
              <w:outlineLvl w:val="0"/>
              <w:rPr>
                <w:sz w:val="20"/>
              </w:rPr>
            </w:pPr>
          </w:p>
        </w:tc>
        <w:tc>
          <w:tcPr>
            <w:tcW w:w="1134" w:type="dxa"/>
            <w:vAlign w:val="center"/>
          </w:tcPr>
          <w:p w14:paraId="7B157F4C" w14:textId="77777777" w:rsidR="00297E46" w:rsidRPr="003E7EE5" w:rsidRDefault="00297E46" w:rsidP="0017312F">
            <w:pPr>
              <w:tabs>
                <w:tab w:val="left" w:pos="284"/>
              </w:tabs>
              <w:spacing w:after="60"/>
              <w:jc w:val="center"/>
              <w:outlineLvl w:val="0"/>
              <w:rPr>
                <w:sz w:val="20"/>
              </w:rPr>
            </w:pPr>
            <w:r w:rsidRPr="003E7EE5">
              <w:rPr>
                <w:sz w:val="20"/>
              </w:rPr>
              <w:t>5,10 (0.91)</w:t>
            </w:r>
          </w:p>
        </w:tc>
        <w:tc>
          <w:tcPr>
            <w:tcW w:w="1560" w:type="dxa"/>
            <w:gridSpan w:val="2"/>
            <w:vAlign w:val="center"/>
          </w:tcPr>
          <w:p w14:paraId="02C180E5" w14:textId="77777777" w:rsidR="00297E46" w:rsidRPr="003E7EE5" w:rsidRDefault="00297E46" w:rsidP="0017312F">
            <w:pPr>
              <w:tabs>
                <w:tab w:val="left" w:pos="284"/>
              </w:tabs>
              <w:spacing w:after="60"/>
              <w:jc w:val="center"/>
              <w:outlineLvl w:val="0"/>
              <w:rPr>
                <w:sz w:val="20"/>
              </w:rPr>
            </w:pPr>
          </w:p>
        </w:tc>
        <w:tc>
          <w:tcPr>
            <w:tcW w:w="1559" w:type="dxa"/>
            <w:gridSpan w:val="2"/>
            <w:vAlign w:val="center"/>
          </w:tcPr>
          <w:p w14:paraId="547A9573" w14:textId="77777777" w:rsidR="00297E46" w:rsidRPr="003E7EE5" w:rsidRDefault="00297E46" w:rsidP="0017312F">
            <w:pPr>
              <w:tabs>
                <w:tab w:val="left" w:pos="284"/>
              </w:tabs>
              <w:spacing w:after="60"/>
              <w:jc w:val="center"/>
              <w:outlineLvl w:val="0"/>
              <w:rPr>
                <w:sz w:val="20"/>
              </w:rPr>
            </w:pPr>
          </w:p>
        </w:tc>
        <w:tc>
          <w:tcPr>
            <w:tcW w:w="1560" w:type="dxa"/>
            <w:gridSpan w:val="2"/>
            <w:vAlign w:val="center"/>
          </w:tcPr>
          <w:p w14:paraId="7DC448D3" w14:textId="77777777" w:rsidR="00297E46" w:rsidRPr="003E7EE5" w:rsidRDefault="00297E46" w:rsidP="0017312F">
            <w:pPr>
              <w:tabs>
                <w:tab w:val="left" w:pos="284"/>
              </w:tabs>
              <w:spacing w:after="60"/>
              <w:jc w:val="center"/>
              <w:outlineLvl w:val="0"/>
              <w:rPr>
                <w:sz w:val="20"/>
              </w:rPr>
            </w:pPr>
            <w:r w:rsidRPr="003E7EE5">
              <w:rPr>
                <w:sz w:val="20"/>
              </w:rPr>
              <w:t>5.40 (0.79)</w:t>
            </w:r>
          </w:p>
        </w:tc>
      </w:tr>
      <w:tr w:rsidR="00297E46" w:rsidRPr="003E7EE5" w14:paraId="61C8DA77" w14:textId="77777777" w:rsidTr="00596C58">
        <w:tc>
          <w:tcPr>
            <w:tcW w:w="9924" w:type="dxa"/>
            <w:gridSpan w:val="11"/>
            <w:tcBorders>
              <w:bottom w:val="single" w:sz="4" w:space="0" w:color="auto"/>
            </w:tcBorders>
          </w:tcPr>
          <w:p w14:paraId="776110A7" w14:textId="77777777" w:rsidR="00297E46" w:rsidRPr="003E7EE5" w:rsidRDefault="00297E46" w:rsidP="0017312F">
            <w:pPr>
              <w:tabs>
                <w:tab w:val="left" w:pos="284"/>
              </w:tabs>
              <w:spacing w:after="60"/>
              <w:jc w:val="both"/>
              <w:outlineLvl w:val="0"/>
              <w:rPr>
                <w:sz w:val="20"/>
              </w:rPr>
            </w:pPr>
          </w:p>
        </w:tc>
      </w:tr>
      <w:tr w:rsidR="00297E46" w:rsidRPr="003E7EE5" w14:paraId="415A19BB" w14:textId="77777777" w:rsidTr="00596C58">
        <w:tc>
          <w:tcPr>
            <w:tcW w:w="1350" w:type="dxa"/>
            <w:tcBorders>
              <w:top w:val="single" w:sz="4" w:space="0" w:color="auto"/>
            </w:tcBorders>
          </w:tcPr>
          <w:p w14:paraId="7171F48C" w14:textId="77777777" w:rsidR="00297E46" w:rsidRPr="003E7EE5" w:rsidRDefault="00297E46" w:rsidP="0017312F">
            <w:pPr>
              <w:tabs>
                <w:tab w:val="left" w:pos="284"/>
              </w:tabs>
              <w:spacing w:after="60"/>
              <w:jc w:val="center"/>
              <w:outlineLvl w:val="0"/>
              <w:rPr>
                <w:sz w:val="20"/>
              </w:rPr>
            </w:pPr>
          </w:p>
        </w:tc>
        <w:tc>
          <w:tcPr>
            <w:tcW w:w="8574" w:type="dxa"/>
            <w:gridSpan w:val="10"/>
            <w:tcBorders>
              <w:top w:val="single" w:sz="4" w:space="0" w:color="auto"/>
            </w:tcBorders>
            <w:vAlign w:val="center"/>
          </w:tcPr>
          <w:p w14:paraId="3BBF9F96" w14:textId="77777777" w:rsidR="00297E46" w:rsidRPr="003E7EE5" w:rsidRDefault="00297E46" w:rsidP="0017312F">
            <w:pPr>
              <w:tabs>
                <w:tab w:val="left" w:pos="284"/>
              </w:tabs>
              <w:spacing w:after="60"/>
              <w:jc w:val="center"/>
              <w:outlineLvl w:val="0"/>
              <w:rPr>
                <w:sz w:val="20"/>
              </w:rPr>
            </w:pPr>
            <w:r w:rsidRPr="003E7EE5">
              <w:rPr>
                <w:sz w:val="20"/>
              </w:rPr>
              <w:t>Empirical typology</w:t>
            </w:r>
          </w:p>
        </w:tc>
      </w:tr>
      <w:tr w:rsidR="00297E46" w:rsidRPr="003E7EE5" w14:paraId="04746EB6" w14:textId="77777777" w:rsidTr="00596C58">
        <w:tc>
          <w:tcPr>
            <w:tcW w:w="1350" w:type="dxa"/>
          </w:tcPr>
          <w:p w14:paraId="3899E56A" w14:textId="77777777" w:rsidR="00297E46" w:rsidRPr="003E7EE5" w:rsidRDefault="00297E46" w:rsidP="0017312F">
            <w:pPr>
              <w:tabs>
                <w:tab w:val="left" w:pos="284"/>
              </w:tabs>
              <w:spacing w:after="60"/>
              <w:jc w:val="center"/>
              <w:outlineLvl w:val="0"/>
              <w:rPr>
                <w:sz w:val="20"/>
              </w:rPr>
            </w:pPr>
          </w:p>
        </w:tc>
        <w:tc>
          <w:tcPr>
            <w:tcW w:w="416" w:type="dxa"/>
            <w:vAlign w:val="center"/>
          </w:tcPr>
          <w:p w14:paraId="0302DC1E" w14:textId="77777777" w:rsidR="00297E46" w:rsidRPr="003E7EE5" w:rsidRDefault="00297E46" w:rsidP="0017312F">
            <w:pPr>
              <w:tabs>
                <w:tab w:val="left" w:pos="284"/>
              </w:tabs>
              <w:spacing w:after="60"/>
              <w:jc w:val="center"/>
              <w:outlineLvl w:val="0"/>
              <w:rPr>
                <w:b/>
                <w:bCs/>
                <w:sz w:val="20"/>
              </w:rPr>
            </w:pPr>
          </w:p>
        </w:tc>
        <w:tc>
          <w:tcPr>
            <w:tcW w:w="3479" w:type="dxa"/>
            <w:gridSpan w:val="3"/>
            <w:tcBorders>
              <w:bottom w:val="single" w:sz="4" w:space="0" w:color="auto"/>
            </w:tcBorders>
          </w:tcPr>
          <w:p w14:paraId="1FC31EC0" w14:textId="77777777" w:rsidR="00297E46" w:rsidRPr="003E7EE5" w:rsidRDefault="00297E46" w:rsidP="0017312F">
            <w:pPr>
              <w:tabs>
                <w:tab w:val="left" w:pos="284"/>
              </w:tabs>
              <w:spacing w:after="60"/>
              <w:jc w:val="center"/>
              <w:outlineLvl w:val="0"/>
              <w:rPr>
                <w:b/>
                <w:bCs/>
                <w:sz w:val="20"/>
              </w:rPr>
            </w:pPr>
            <w:r w:rsidRPr="003E7EE5">
              <w:rPr>
                <w:b/>
                <w:bCs/>
                <w:sz w:val="20"/>
              </w:rPr>
              <w:t>FR</w:t>
            </w:r>
          </w:p>
        </w:tc>
        <w:tc>
          <w:tcPr>
            <w:tcW w:w="4679" w:type="dxa"/>
            <w:gridSpan w:val="6"/>
            <w:tcBorders>
              <w:bottom w:val="single" w:sz="4" w:space="0" w:color="auto"/>
            </w:tcBorders>
          </w:tcPr>
          <w:p w14:paraId="1B7F79E8" w14:textId="77777777" w:rsidR="00297E46" w:rsidRPr="003E7EE5" w:rsidRDefault="00297E46" w:rsidP="0017312F">
            <w:pPr>
              <w:tabs>
                <w:tab w:val="left" w:pos="284"/>
              </w:tabs>
              <w:spacing w:after="60"/>
              <w:jc w:val="center"/>
              <w:outlineLvl w:val="0"/>
              <w:rPr>
                <w:b/>
                <w:bCs/>
                <w:sz w:val="20"/>
              </w:rPr>
            </w:pPr>
            <w:r w:rsidRPr="003E7EE5">
              <w:rPr>
                <w:b/>
                <w:bCs/>
                <w:sz w:val="20"/>
              </w:rPr>
              <w:t>OR</w:t>
            </w:r>
          </w:p>
        </w:tc>
      </w:tr>
      <w:tr w:rsidR="00297E46" w:rsidRPr="003E7EE5" w14:paraId="08B7406C" w14:textId="77777777" w:rsidTr="00596C58">
        <w:tc>
          <w:tcPr>
            <w:tcW w:w="1350" w:type="dxa"/>
            <w:tcBorders>
              <w:bottom w:val="single" w:sz="4" w:space="0" w:color="auto"/>
            </w:tcBorders>
          </w:tcPr>
          <w:p w14:paraId="01C7DCCA" w14:textId="77777777" w:rsidR="00297E46" w:rsidRPr="003E7EE5" w:rsidRDefault="00297E46" w:rsidP="0017312F">
            <w:pPr>
              <w:tabs>
                <w:tab w:val="left" w:pos="284"/>
              </w:tabs>
              <w:spacing w:after="60"/>
              <w:jc w:val="center"/>
              <w:outlineLvl w:val="0"/>
              <w:rPr>
                <w:i/>
                <w:iCs/>
                <w:sz w:val="20"/>
              </w:rPr>
            </w:pPr>
            <w:r w:rsidRPr="003E7EE5">
              <w:rPr>
                <w:i/>
                <w:iCs/>
                <w:sz w:val="20"/>
              </w:rPr>
              <w:t>Company Cluster</w:t>
            </w:r>
          </w:p>
        </w:tc>
        <w:tc>
          <w:tcPr>
            <w:tcW w:w="416" w:type="dxa"/>
            <w:tcBorders>
              <w:bottom w:val="single" w:sz="4" w:space="0" w:color="auto"/>
            </w:tcBorders>
            <w:vAlign w:val="center"/>
          </w:tcPr>
          <w:p w14:paraId="6B6DEC59" w14:textId="77777777" w:rsidR="00297E46" w:rsidRPr="003E7EE5" w:rsidRDefault="00297E46" w:rsidP="0017312F">
            <w:pPr>
              <w:tabs>
                <w:tab w:val="left" w:pos="284"/>
              </w:tabs>
              <w:spacing w:after="60"/>
              <w:jc w:val="center"/>
              <w:outlineLvl w:val="0"/>
              <w:rPr>
                <w:sz w:val="20"/>
              </w:rPr>
            </w:pPr>
            <w:r w:rsidRPr="003E7EE5">
              <w:rPr>
                <w:sz w:val="20"/>
              </w:rPr>
              <w:t>N</w:t>
            </w:r>
          </w:p>
        </w:tc>
        <w:tc>
          <w:tcPr>
            <w:tcW w:w="3479" w:type="dxa"/>
            <w:gridSpan w:val="3"/>
            <w:tcBorders>
              <w:top w:val="single" w:sz="4" w:space="0" w:color="auto"/>
              <w:bottom w:val="single" w:sz="4" w:space="0" w:color="auto"/>
            </w:tcBorders>
          </w:tcPr>
          <w:p w14:paraId="731110A9" w14:textId="4FB52363" w:rsidR="00297E46" w:rsidRPr="003E7EE5" w:rsidRDefault="00297E46" w:rsidP="0017312F">
            <w:pPr>
              <w:tabs>
                <w:tab w:val="left" w:pos="284"/>
              </w:tabs>
              <w:spacing w:after="60"/>
              <w:jc w:val="center"/>
              <w:outlineLvl w:val="0"/>
              <w:rPr>
                <w:sz w:val="20"/>
              </w:rPr>
            </w:pPr>
            <w:r w:rsidRPr="005E1791">
              <w:rPr>
                <w:i/>
                <w:iCs/>
                <w:sz w:val="20"/>
              </w:rPr>
              <w:t>F</w:t>
            </w:r>
            <w:r w:rsidR="00470A3D">
              <w:rPr>
                <w:sz w:val="20"/>
              </w:rPr>
              <w:t xml:space="preserve"> </w:t>
            </w:r>
            <w:r w:rsidRPr="003E7EE5">
              <w:rPr>
                <w:sz w:val="20"/>
              </w:rPr>
              <w:t>=</w:t>
            </w:r>
            <w:r w:rsidR="00470A3D">
              <w:rPr>
                <w:sz w:val="20"/>
              </w:rPr>
              <w:t xml:space="preserve"> </w:t>
            </w:r>
            <w:r w:rsidRPr="003E7EE5">
              <w:rPr>
                <w:sz w:val="20"/>
              </w:rPr>
              <w:t xml:space="preserve">7.740, </w:t>
            </w:r>
            <w:r w:rsidRPr="005E1791">
              <w:rPr>
                <w:i/>
                <w:iCs/>
                <w:sz w:val="20"/>
              </w:rPr>
              <w:t>p</w:t>
            </w:r>
            <w:r w:rsidR="00470A3D">
              <w:rPr>
                <w:sz w:val="20"/>
              </w:rPr>
              <w:t xml:space="preserve"> </w:t>
            </w:r>
            <w:r w:rsidRPr="003E7EE5">
              <w:rPr>
                <w:sz w:val="20"/>
              </w:rPr>
              <w:t>&lt;</w:t>
            </w:r>
            <w:r w:rsidR="00470A3D">
              <w:rPr>
                <w:sz w:val="20"/>
              </w:rPr>
              <w:t xml:space="preserve"> </w:t>
            </w:r>
            <w:r w:rsidRPr="003E7EE5">
              <w:rPr>
                <w:sz w:val="20"/>
              </w:rPr>
              <w:t>0.001</w:t>
            </w:r>
          </w:p>
        </w:tc>
        <w:tc>
          <w:tcPr>
            <w:tcW w:w="4679" w:type="dxa"/>
            <w:gridSpan w:val="6"/>
            <w:tcBorders>
              <w:top w:val="single" w:sz="4" w:space="0" w:color="auto"/>
              <w:bottom w:val="single" w:sz="4" w:space="0" w:color="auto"/>
            </w:tcBorders>
          </w:tcPr>
          <w:p w14:paraId="70B91DC0" w14:textId="14A0AE7E" w:rsidR="00297E46" w:rsidRPr="003E7EE5" w:rsidRDefault="00297E46" w:rsidP="0017312F">
            <w:pPr>
              <w:tabs>
                <w:tab w:val="left" w:pos="284"/>
              </w:tabs>
              <w:spacing w:after="60"/>
              <w:jc w:val="center"/>
              <w:outlineLvl w:val="0"/>
              <w:rPr>
                <w:sz w:val="20"/>
              </w:rPr>
            </w:pPr>
            <w:r w:rsidRPr="005E1791">
              <w:rPr>
                <w:i/>
                <w:iCs/>
                <w:sz w:val="20"/>
              </w:rPr>
              <w:t>F</w:t>
            </w:r>
            <w:r w:rsidR="00470A3D">
              <w:rPr>
                <w:sz w:val="20"/>
              </w:rPr>
              <w:t xml:space="preserve"> </w:t>
            </w:r>
            <w:r w:rsidRPr="003E7EE5">
              <w:rPr>
                <w:sz w:val="20"/>
              </w:rPr>
              <w:t>=</w:t>
            </w:r>
            <w:r w:rsidR="00470A3D">
              <w:rPr>
                <w:sz w:val="20"/>
              </w:rPr>
              <w:t xml:space="preserve"> </w:t>
            </w:r>
            <w:proofErr w:type="gramStart"/>
            <w:r w:rsidRPr="003E7EE5">
              <w:rPr>
                <w:sz w:val="20"/>
              </w:rPr>
              <w:t>12.650 ,</w:t>
            </w:r>
            <w:proofErr w:type="gramEnd"/>
            <w:r w:rsidRPr="003E7EE5">
              <w:rPr>
                <w:sz w:val="20"/>
              </w:rPr>
              <w:t xml:space="preserve"> </w:t>
            </w:r>
            <w:r w:rsidRPr="005E1791">
              <w:rPr>
                <w:i/>
                <w:iCs/>
                <w:sz w:val="20"/>
              </w:rPr>
              <w:t>p</w:t>
            </w:r>
            <w:r w:rsidR="00470A3D">
              <w:rPr>
                <w:sz w:val="20"/>
              </w:rPr>
              <w:t xml:space="preserve"> </w:t>
            </w:r>
            <w:r w:rsidRPr="003E7EE5">
              <w:rPr>
                <w:sz w:val="20"/>
              </w:rPr>
              <w:t>&lt;</w:t>
            </w:r>
            <w:r w:rsidR="00470A3D">
              <w:rPr>
                <w:sz w:val="20"/>
              </w:rPr>
              <w:t xml:space="preserve"> </w:t>
            </w:r>
            <w:r w:rsidRPr="003E7EE5">
              <w:rPr>
                <w:sz w:val="20"/>
              </w:rPr>
              <w:t>0.001</w:t>
            </w:r>
          </w:p>
        </w:tc>
      </w:tr>
      <w:tr w:rsidR="00297E46" w:rsidRPr="003E7EE5" w14:paraId="19DD0C18" w14:textId="77777777" w:rsidTr="00596C58">
        <w:tc>
          <w:tcPr>
            <w:tcW w:w="1350" w:type="dxa"/>
            <w:tcBorders>
              <w:top w:val="single" w:sz="4" w:space="0" w:color="auto"/>
            </w:tcBorders>
          </w:tcPr>
          <w:p w14:paraId="792F1179" w14:textId="77777777" w:rsidR="00297E46" w:rsidRPr="003E7EE5" w:rsidRDefault="00297E46" w:rsidP="0017312F">
            <w:pPr>
              <w:tabs>
                <w:tab w:val="left" w:pos="284"/>
              </w:tabs>
              <w:spacing w:after="60"/>
              <w:jc w:val="center"/>
              <w:outlineLvl w:val="0"/>
              <w:rPr>
                <w:sz w:val="20"/>
              </w:rPr>
            </w:pPr>
            <w:r w:rsidRPr="003E7EE5">
              <w:rPr>
                <w:sz w:val="20"/>
              </w:rPr>
              <w:t xml:space="preserve">Green non-believers </w:t>
            </w:r>
          </w:p>
        </w:tc>
        <w:tc>
          <w:tcPr>
            <w:tcW w:w="416" w:type="dxa"/>
            <w:tcBorders>
              <w:top w:val="single" w:sz="4" w:space="0" w:color="auto"/>
            </w:tcBorders>
            <w:vAlign w:val="center"/>
          </w:tcPr>
          <w:p w14:paraId="1DBE4F89" w14:textId="77777777" w:rsidR="00297E46" w:rsidRPr="003E7EE5" w:rsidRDefault="00297E46" w:rsidP="0017312F">
            <w:pPr>
              <w:tabs>
                <w:tab w:val="left" w:pos="284"/>
              </w:tabs>
              <w:spacing w:after="60"/>
              <w:jc w:val="center"/>
              <w:outlineLvl w:val="0"/>
              <w:rPr>
                <w:sz w:val="20"/>
              </w:rPr>
            </w:pPr>
            <w:r w:rsidRPr="003E7EE5">
              <w:rPr>
                <w:sz w:val="20"/>
              </w:rPr>
              <w:t>34</w:t>
            </w:r>
          </w:p>
        </w:tc>
        <w:tc>
          <w:tcPr>
            <w:tcW w:w="1211" w:type="dxa"/>
            <w:tcBorders>
              <w:top w:val="single" w:sz="4" w:space="0" w:color="auto"/>
            </w:tcBorders>
            <w:vAlign w:val="center"/>
          </w:tcPr>
          <w:p w14:paraId="28FE08EC" w14:textId="77777777" w:rsidR="00297E46" w:rsidRPr="003E7EE5" w:rsidRDefault="00297E46" w:rsidP="0017312F">
            <w:pPr>
              <w:tabs>
                <w:tab w:val="left" w:pos="284"/>
              </w:tabs>
              <w:spacing w:after="60"/>
              <w:jc w:val="center"/>
              <w:outlineLvl w:val="0"/>
              <w:rPr>
                <w:sz w:val="20"/>
              </w:rPr>
            </w:pPr>
            <w:r w:rsidRPr="003E7EE5">
              <w:rPr>
                <w:sz w:val="20"/>
              </w:rPr>
              <w:t>3.78 (1.14)</w:t>
            </w:r>
          </w:p>
        </w:tc>
        <w:tc>
          <w:tcPr>
            <w:tcW w:w="1134" w:type="dxa"/>
            <w:tcBorders>
              <w:top w:val="single" w:sz="4" w:space="0" w:color="auto"/>
            </w:tcBorders>
            <w:vAlign w:val="center"/>
          </w:tcPr>
          <w:p w14:paraId="34A90A85" w14:textId="77777777" w:rsidR="00297E46" w:rsidRPr="003E7EE5" w:rsidRDefault="00297E46" w:rsidP="0017312F">
            <w:pPr>
              <w:tabs>
                <w:tab w:val="left" w:pos="284"/>
              </w:tabs>
              <w:spacing w:after="60"/>
              <w:jc w:val="center"/>
              <w:outlineLvl w:val="0"/>
              <w:rPr>
                <w:sz w:val="20"/>
              </w:rPr>
            </w:pPr>
          </w:p>
        </w:tc>
        <w:tc>
          <w:tcPr>
            <w:tcW w:w="1134" w:type="dxa"/>
            <w:tcBorders>
              <w:top w:val="single" w:sz="4" w:space="0" w:color="auto"/>
            </w:tcBorders>
            <w:vAlign w:val="center"/>
          </w:tcPr>
          <w:p w14:paraId="5405606A" w14:textId="77777777" w:rsidR="00297E46" w:rsidRPr="003E7EE5" w:rsidRDefault="00297E46" w:rsidP="0017312F">
            <w:pPr>
              <w:tabs>
                <w:tab w:val="left" w:pos="284"/>
              </w:tabs>
              <w:spacing w:after="60"/>
              <w:jc w:val="center"/>
              <w:outlineLvl w:val="0"/>
              <w:rPr>
                <w:sz w:val="20"/>
              </w:rPr>
            </w:pPr>
          </w:p>
        </w:tc>
        <w:tc>
          <w:tcPr>
            <w:tcW w:w="1277" w:type="dxa"/>
            <w:tcBorders>
              <w:top w:val="single" w:sz="4" w:space="0" w:color="auto"/>
            </w:tcBorders>
            <w:vAlign w:val="center"/>
          </w:tcPr>
          <w:p w14:paraId="6D50A303" w14:textId="77777777" w:rsidR="00297E46" w:rsidRPr="003E7EE5" w:rsidRDefault="00297E46" w:rsidP="0017312F">
            <w:pPr>
              <w:tabs>
                <w:tab w:val="left" w:pos="284"/>
              </w:tabs>
              <w:spacing w:after="60"/>
              <w:jc w:val="center"/>
              <w:outlineLvl w:val="0"/>
              <w:rPr>
                <w:sz w:val="20"/>
              </w:rPr>
            </w:pPr>
            <w:r w:rsidRPr="003E7EE5">
              <w:rPr>
                <w:sz w:val="20"/>
              </w:rPr>
              <w:t>3.91 (1.38)</w:t>
            </w:r>
          </w:p>
        </w:tc>
        <w:tc>
          <w:tcPr>
            <w:tcW w:w="1134" w:type="dxa"/>
            <w:gridSpan w:val="2"/>
            <w:tcBorders>
              <w:top w:val="single" w:sz="4" w:space="0" w:color="auto"/>
            </w:tcBorders>
            <w:vAlign w:val="center"/>
          </w:tcPr>
          <w:p w14:paraId="498AA87E" w14:textId="77777777" w:rsidR="00297E46" w:rsidRPr="003E7EE5" w:rsidRDefault="00297E46" w:rsidP="0017312F">
            <w:pPr>
              <w:tabs>
                <w:tab w:val="left" w:pos="284"/>
              </w:tabs>
              <w:spacing w:after="60"/>
              <w:jc w:val="center"/>
              <w:outlineLvl w:val="0"/>
              <w:rPr>
                <w:sz w:val="20"/>
              </w:rPr>
            </w:pPr>
          </w:p>
        </w:tc>
        <w:tc>
          <w:tcPr>
            <w:tcW w:w="1134" w:type="dxa"/>
            <w:gridSpan w:val="2"/>
            <w:tcBorders>
              <w:top w:val="single" w:sz="4" w:space="0" w:color="auto"/>
            </w:tcBorders>
            <w:vAlign w:val="center"/>
          </w:tcPr>
          <w:p w14:paraId="676ED418" w14:textId="77777777" w:rsidR="00297E46" w:rsidRPr="003E7EE5" w:rsidRDefault="00297E46" w:rsidP="0017312F">
            <w:pPr>
              <w:tabs>
                <w:tab w:val="left" w:pos="284"/>
              </w:tabs>
              <w:spacing w:after="60"/>
              <w:jc w:val="center"/>
              <w:outlineLvl w:val="0"/>
              <w:rPr>
                <w:sz w:val="20"/>
              </w:rPr>
            </w:pPr>
          </w:p>
        </w:tc>
        <w:tc>
          <w:tcPr>
            <w:tcW w:w="1134" w:type="dxa"/>
            <w:tcBorders>
              <w:top w:val="single" w:sz="4" w:space="0" w:color="auto"/>
            </w:tcBorders>
            <w:vAlign w:val="center"/>
          </w:tcPr>
          <w:p w14:paraId="21CB9342" w14:textId="77777777" w:rsidR="00297E46" w:rsidRPr="003E7EE5" w:rsidRDefault="00297E46" w:rsidP="0017312F">
            <w:pPr>
              <w:tabs>
                <w:tab w:val="left" w:pos="284"/>
              </w:tabs>
              <w:spacing w:after="60"/>
              <w:jc w:val="center"/>
              <w:outlineLvl w:val="0"/>
              <w:rPr>
                <w:sz w:val="20"/>
              </w:rPr>
            </w:pPr>
          </w:p>
        </w:tc>
      </w:tr>
      <w:tr w:rsidR="00297E46" w:rsidRPr="003E7EE5" w14:paraId="191EE296" w14:textId="77777777" w:rsidTr="00596C58">
        <w:tc>
          <w:tcPr>
            <w:tcW w:w="1350" w:type="dxa"/>
          </w:tcPr>
          <w:p w14:paraId="5025A246" w14:textId="77777777" w:rsidR="00297E46" w:rsidRPr="003E7EE5" w:rsidRDefault="00297E46" w:rsidP="0017312F">
            <w:pPr>
              <w:tabs>
                <w:tab w:val="left" w:pos="284"/>
              </w:tabs>
              <w:spacing w:after="60"/>
              <w:jc w:val="center"/>
              <w:outlineLvl w:val="0"/>
              <w:rPr>
                <w:sz w:val="20"/>
              </w:rPr>
            </w:pPr>
            <w:r w:rsidRPr="003E7EE5">
              <w:rPr>
                <w:sz w:val="20"/>
              </w:rPr>
              <w:t xml:space="preserve">Green </w:t>
            </w:r>
            <w:proofErr w:type="spellStart"/>
            <w:r w:rsidRPr="003E7EE5">
              <w:rPr>
                <w:sz w:val="20"/>
              </w:rPr>
              <w:t>disinvestors</w:t>
            </w:r>
            <w:proofErr w:type="spellEnd"/>
          </w:p>
        </w:tc>
        <w:tc>
          <w:tcPr>
            <w:tcW w:w="416" w:type="dxa"/>
            <w:vAlign w:val="center"/>
          </w:tcPr>
          <w:p w14:paraId="4ECF420D" w14:textId="77777777" w:rsidR="00297E46" w:rsidRPr="003E7EE5" w:rsidRDefault="00297E46" w:rsidP="0017312F">
            <w:pPr>
              <w:tabs>
                <w:tab w:val="left" w:pos="284"/>
              </w:tabs>
              <w:spacing w:after="60"/>
              <w:jc w:val="center"/>
              <w:outlineLvl w:val="0"/>
              <w:rPr>
                <w:sz w:val="20"/>
              </w:rPr>
            </w:pPr>
            <w:r w:rsidRPr="003E7EE5">
              <w:rPr>
                <w:sz w:val="20"/>
              </w:rPr>
              <w:t>58</w:t>
            </w:r>
          </w:p>
        </w:tc>
        <w:tc>
          <w:tcPr>
            <w:tcW w:w="1211" w:type="dxa"/>
            <w:vAlign w:val="center"/>
          </w:tcPr>
          <w:p w14:paraId="0025D8C6" w14:textId="77777777" w:rsidR="00297E46" w:rsidRPr="003E7EE5" w:rsidRDefault="00297E46" w:rsidP="0017312F">
            <w:pPr>
              <w:tabs>
                <w:tab w:val="left" w:pos="284"/>
              </w:tabs>
              <w:spacing w:after="60"/>
              <w:jc w:val="center"/>
              <w:outlineLvl w:val="0"/>
              <w:rPr>
                <w:sz w:val="20"/>
              </w:rPr>
            </w:pPr>
            <w:r w:rsidRPr="003E7EE5">
              <w:rPr>
                <w:sz w:val="20"/>
              </w:rPr>
              <w:t>3.88 (1.13)</w:t>
            </w:r>
          </w:p>
        </w:tc>
        <w:tc>
          <w:tcPr>
            <w:tcW w:w="1134" w:type="dxa"/>
            <w:vAlign w:val="center"/>
          </w:tcPr>
          <w:p w14:paraId="46F9D48F" w14:textId="77777777" w:rsidR="00297E46" w:rsidRPr="003E7EE5" w:rsidRDefault="00297E46" w:rsidP="0017312F">
            <w:pPr>
              <w:tabs>
                <w:tab w:val="left" w:pos="284"/>
              </w:tabs>
              <w:spacing w:after="60"/>
              <w:jc w:val="center"/>
              <w:outlineLvl w:val="0"/>
              <w:rPr>
                <w:sz w:val="20"/>
              </w:rPr>
            </w:pPr>
          </w:p>
        </w:tc>
        <w:tc>
          <w:tcPr>
            <w:tcW w:w="1134" w:type="dxa"/>
            <w:vAlign w:val="center"/>
          </w:tcPr>
          <w:p w14:paraId="795C475E" w14:textId="77777777" w:rsidR="00297E46" w:rsidRPr="003E7EE5" w:rsidRDefault="00297E46" w:rsidP="0017312F">
            <w:pPr>
              <w:tabs>
                <w:tab w:val="left" w:pos="284"/>
              </w:tabs>
              <w:spacing w:after="60"/>
              <w:jc w:val="center"/>
              <w:outlineLvl w:val="0"/>
              <w:rPr>
                <w:sz w:val="20"/>
              </w:rPr>
            </w:pPr>
          </w:p>
        </w:tc>
        <w:tc>
          <w:tcPr>
            <w:tcW w:w="1277" w:type="dxa"/>
            <w:vAlign w:val="center"/>
          </w:tcPr>
          <w:p w14:paraId="642ACC12" w14:textId="77777777" w:rsidR="00297E46" w:rsidRPr="003E7EE5" w:rsidRDefault="00297E46" w:rsidP="0017312F">
            <w:pPr>
              <w:tabs>
                <w:tab w:val="left" w:pos="284"/>
              </w:tabs>
              <w:spacing w:after="60"/>
              <w:jc w:val="center"/>
              <w:outlineLvl w:val="0"/>
              <w:rPr>
                <w:sz w:val="20"/>
              </w:rPr>
            </w:pPr>
            <w:r w:rsidRPr="003E7EE5">
              <w:rPr>
                <w:sz w:val="20"/>
              </w:rPr>
              <w:t>4.24 (0.97)</w:t>
            </w:r>
          </w:p>
        </w:tc>
        <w:tc>
          <w:tcPr>
            <w:tcW w:w="1134" w:type="dxa"/>
            <w:gridSpan w:val="2"/>
            <w:vAlign w:val="center"/>
          </w:tcPr>
          <w:p w14:paraId="58E3B02B" w14:textId="77777777" w:rsidR="00297E46" w:rsidRPr="003E7EE5" w:rsidRDefault="00297E46" w:rsidP="0017312F">
            <w:pPr>
              <w:tabs>
                <w:tab w:val="left" w:pos="284"/>
              </w:tabs>
              <w:spacing w:after="60"/>
              <w:jc w:val="center"/>
              <w:outlineLvl w:val="0"/>
              <w:rPr>
                <w:sz w:val="20"/>
              </w:rPr>
            </w:pPr>
            <w:r w:rsidRPr="003E7EE5">
              <w:rPr>
                <w:sz w:val="20"/>
              </w:rPr>
              <w:t>4.24 (0.97)</w:t>
            </w:r>
          </w:p>
        </w:tc>
        <w:tc>
          <w:tcPr>
            <w:tcW w:w="1134" w:type="dxa"/>
            <w:gridSpan w:val="2"/>
            <w:vAlign w:val="center"/>
          </w:tcPr>
          <w:p w14:paraId="31EA5576" w14:textId="77777777" w:rsidR="00297E46" w:rsidRPr="003E7EE5" w:rsidRDefault="00297E46" w:rsidP="0017312F">
            <w:pPr>
              <w:tabs>
                <w:tab w:val="left" w:pos="284"/>
              </w:tabs>
              <w:spacing w:after="60"/>
              <w:jc w:val="center"/>
              <w:outlineLvl w:val="0"/>
              <w:rPr>
                <w:sz w:val="20"/>
              </w:rPr>
            </w:pPr>
          </w:p>
        </w:tc>
        <w:tc>
          <w:tcPr>
            <w:tcW w:w="1134" w:type="dxa"/>
            <w:vAlign w:val="center"/>
          </w:tcPr>
          <w:p w14:paraId="05DD62AB" w14:textId="77777777" w:rsidR="00297E46" w:rsidRPr="003E7EE5" w:rsidRDefault="00297E46" w:rsidP="0017312F">
            <w:pPr>
              <w:tabs>
                <w:tab w:val="left" w:pos="284"/>
              </w:tabs>
              <w:spacing w:after="60"/>
              <w:jc w:val="center"/>
              <w:outlineLvl w:val="0"/>
              <w:rPr>
                <w:sz w:val="20"/>
              </w:rPr>
            </w:pPr>
          </w:p>
        </w:tc>
      </w:tr>
      <w:tr w:rsidR="00297E46" w:rsidRPr="003E7EE5" w14:paraId="637D4794" w14:textId="77777777" w:rsidTr="00596C58">
        <w:tc>
          <w:tcPr>
            <w:tcW w:w="1350" w:type="dxa"/>
          </w:tcPr>
          <w:p w14:paraId="50E74B44" w14:textId="77777777" w:rsidR="00297E46" w:rsidRPr="003E7EE5" w:rsidRDefault="00297E46" w:rsidP="0017312F">
            <w:pPr>
              <w:tabs>
                <w:tab w:val="left" w:pos="284"/>
              </w:tabs>
              <w:spacing w:after="60"/>
              <w:jc w:val="center"/>
              <w:outlineLvl w:val="0"/>
              <w:rPr>
                <w:sz w:val="20"/>
              </w:rPr>
            </w:pPr>
            <w:r w:rsidRPr="003E7EE5">
              <w:rPr>
                <w:sz w:val="20"/>
              </w:rPr>
              <w:t>Green reluctants</w:t>
            </w:r>
          </w:p>
        </w:tc>
        <w:tc>
          <w:tcPr>
            <w:tcW w:w="416" w:type="dxa"/>
            <w:vAlign w:val="center"/>
          </w:tcPr>
          <w:p w14:paraId="543F4113" w14:textId="77777777" w:rsidR="00297E46" w:rsidRPr="003E7EE5" w:rsidRDefault="00297E46" w:rsidP="0017312F">
            <w:pPr>
              <w:tabs>
                <w:tab w:val="left" w:pos="284"/>
              </w:tabs>
              <w:spacing w:after="60"/>
              <w:jc w:val="center"/>
              <w:outlineLvl w:val="0"/>
              <w:rPr>
                <w:sz w:val="20"/>
              </w:rPr>
            </w:pPr>
            <w:r w:rsidRPr="003E7EE5">
              <w:rPr>
                <w:sz w:val="20"/>
              </w:rPr>
              <w:t>58</w:t>
            </w:r>
          </w:p>
        </w:tc>
        <w:tc>
          <w:tcPr>
            <w:tcW w:w="1211" w:type="dxa"/>
            <w:vAlign w:val="center"/>
          </w:tcPr>
          <w:p w14:paraId="19B059C9" w14:textId="77777777" w:rsidR="00297E46" w:rsidRPr="003E7EE5" w:rsidRDefault="00297E46" w:rsidP="0017312F">
            <w:pPr>
              <w:tabs>
                <w:tab w:val="left" w:pos="284"/>
              </w:tabs>
              <w:spacing w:after="60"/>
              <w:jc w:val="center"/>
              <w:outlineLvl w:val="0"/>
              <w:rPr>
                <w:sz w:val="20"/>
              </w:rPr>
            </w:pPr>
            <w:r w:rsidRPr="003E7EE5">
              <w:rPr>
                <w:sz w:val="20"/>
              </w:rPr>
              <w:t>4.33 (1.15)</w:t>
            </w:r>
          </w:p>
        </w:tc>
        <w:tc>
          <w:tcPr>
            <w:tcW w:w="1134" w:type="dxa"/>
            <w:vAlign w:val="center"/>
          </w:tcPr>
          <w:p w14:paraId="1D712C5E" w14:textId="77777777" w:rsidR="00297E46" w:rsidRPr="003E7EE5" w:rsidRDefault="00297E46" w:rsidP="0017312F">
            <w:pPr>
              <w:tabs>
                <w:tab w:val="left" w:pos="284"/>
              </w:tabs>
              <w:spacing w:after="60"/>
              <w:jc w:val="center"/>
              <w:outlineLvl w:val="0"/>
              <w:rPr>
                <w:sz w:val="20"/>
              </w:rPr>
            </w:pPr>
            <w:r w:rsidRPr="003E7EE5">
              <w:rPr>
                <w:sz w:val="20"/>
              </w:rPr>
              <w:t>4.33 (1.15)</w:t>
            </w:r>
          </w:p>
        </w:tc>
        <w:tc>
          <w:tcPr>
            <w:tcW w:w="1134" w:type="dxa"/>
            <w:vAlign w:val="center"/>
          </w:tcPr>
          <w:p w14:paraId="19BFDC68" w14:textId="77777777" w:rsidR="00297E46" w:rsidRPr="003E7EE5" w:rsidRDefault="00297E46" w:rsidP="0017312F">
            <w:pPr>
              <w:tabs>
                <w:tab w:val="left" w:pos="284"/>
              </w:tabs>
              <w:spacing w:after="60"/>
              <w:jc w:val="center"/>
              <w:outlineLvl w:val="0"/>
              <w:rPr>
                <w:sz w:val="20"/>
              </w:rPr>
            </w:pPr>
            <w:r w:rsidRPr="003E7EE5">
              <w:rPr>
                <w:sz w:val="20"/>
              </w:rPr>
              <w:t xml:space="preserve"> </w:t>
            </w:r>
          </w:p>
        </w:tc>
        <w:tc>
          <w:tcPr>
            <w:tcW w:w="1277" w:type="dxa"/>
            <w:vAlign w:val="center"/>
          </w:tcPr>
          <w:p w14:paraId="7077357B" w14:textId="77777777" w:rsidR="00297E46" w:rsidRPr="003E7EE5" w:rsidRDefault="00297E46" w:rsidP="0017312F">
            <w:pPr>
              <w:tabs>
                <w:tab w:val="left" w:pos="284"/>
              </w:tabs>
              <w:spacing w:after="60"/>
              <w:jc w:val="center"/>
              <w:outlineLvl w:val="0"/>
              <w:rPr>
                <w:sz w:val="20"/>
              </w:rPr>
            </w:pPr>
          </w:p>
        </w:tc>
        <w:tc>
          <w:tcPr>
            <w:tcW w:w="1134" w:type="dxa"/>
            <w:gridSpan w:val="2"/>
            <w:vAlign w:val="center"/>
          </w:tcPr>
          <w:p w14:paraId="284B9643" w14:textId="77777777" w:rsidR="00297E46" w:rsidRPr="003E7EE5" w:rsidRDefault="00297E46" w:rsidP="0017312F">
            <w:pPr>
              <w:tabs>
                <w:tab w:val="left" w:pos="284"/>
              </w:tabs>
              <w:spacing w:after="60"/>
              <w:jc w:val="center"/>
              <w:outlineLvl w:val="0"/>
              <w:rPr>
                <w:sz w:val="20"/>
              </w:rPr>
            </w:pPr>
            <w:r w:rsidRPr="003E7EE5">
              <w:rPr>
                <w:sz w:val="20"/>
              </w:rPr>
              <w:t>4.57 (0.76)</w:t>
            </w:r>
          </w:p>
        </w:tc>
        <w:tc>
          <w:tcPr>
            <w:tcW w:w="1134" w:type="dxa"/>
            <w:gridSpan w:val="2"/>
            <w:vAlign w:val="center"/>
          </w:tcPr>
          <w:p w14:paraId="76D05570" w14:textId="77777777" w:rsidR="00297E46" w:rsidRPr="003E7EE5" w:rsidRDefault="00297E46" w:rsidP="0017312F">
            <w:pPr>
              <w:tabs>
                <w:tab w:val="left" w:pos="284"/>
              </w:tabs>
              <w:spacing w:after="60"/>
              <w:jc w:val="center"/>
              <w:outlineLvl w:val="0"/>
              <w:rPr>
                <w:sz w:val="20"/>
              </w:rPr>
            </w:pPr>
            <w:r w:rsidRPr="003E7EE5">
              <w:rPr>
                <w:sz w:val="20"/>
              </w:rPr>
              <w:t>4.57 (0.76)</w:t>
            </w:r>
          </w:p>
        </w:tc>
        <w:tc>
          <w:tcPr>
            <w:tcW w:w="1134" w:type="dxa"/>
            <w:vAlign w:val="center"/>
          </w:tcPr>
          <w:p w14:paraId="316AA65F" w14:textId="77777777" w:rsidR="00297E46" w:rsidRPr="003E7EE5" w:rsidRDefault="00297E46" w:rsidP="0017312F">
            <w:pPr>
              <w:tabs>
                <w:tab w:val="left" w:pos="284"/>
              </w:tabs>
              <w:spacing w:after="60"/>
              <w:jc w:val="center"/>
              <w:outlineLvl w:val="0"/>
              <w:rPr>
                <w:sz w:val="20"/>
              </w:rPr>
            </w:pPr>
          </w:p>
        </w:tc>
      </w:tr>
      <w:tr w:rsidR="00297E46" w:rsidRPr="003E7EE5" w14:paraId="51E54690" w14:textId="77777777" w:rsidTr="00596C58">
        <w:tc>
          <w:tcPr>
            <w:tcW w:w="1350" w:type="dxa"/>
          </w:tcPr>
          <w:p w14:paraId="582FD407" w14:textId="77777777" w:rsidR="00297E46" w:rsidRPr="003E7EE5" w:rsidRDefault="00297E46" w:rsidP="0017312F">
            <w:pPr>
              <w:tabs>
                <w:tab w:val="left" w:pos="284"/>
              </w:tabs>
              <w:spacing w:after="60"/>
              <w:jc w:val="center"/>
              <w:outlineLvl w:val="0"/>
              <w:rPr>
                <w:sz w:val="20"/>
              </w:rPr>
            </w:pPr>
            <w:r w:rsidRPr="003E7EE5">
              <w:rPr>
                <w:sz w:val="20"/>
              </w:rPr>
              <w:t>Cautious green investors</w:t>
            </w:r>
          </w:p>
        </w:tc>
        <w:tc>
          <w:tcPr>
            <w:tcW w:w="416" w:type="dxa"/>
            <w:vAlign w:val="center"/>
          </w:tcPr>
          <w:p w14:paraId="3DE5F386" w14:textId="77777777" w:rsidR="00297E46" w:rsidRPr="003E7EE5" w:rsidRDefault="00297E46" w:rsidP="0017312F">
            <w:pPr>
              <w:tabs>
                <w:tab w:val="left" w:pos="284"/>
              </w:tabs>
              <w:spacing w:after="60"/>
              <w:jc w:val="center"/>
              <w:outlineLvl w:val="0"/>
              <w:rPr>
                <w:sz w:val="20"/>
              </w:rPr>
            </w:pPr>
            <w:r w:rsidRPr="003E7EE5">
              <w:rPr>
                <w:sz w:val="20"/>
              </w:rPr>
              <w:t>74</w:t>
            </w:r>
          </w:p>
        </w:tc>
        <w:tc>
          <w:tcPr>
            <w:tcW w:w="1211" w:type="dxa"/>
            <w:vAlign w:val="center"/>
          </w:tcPr>
          <w:p w14:paraId="39BC337F" w14:textId="77777777" w:rsidR="00297E46" w:rsidRPr="003E7EE5" w:rsidRDefault="00297E46" w:rsidP="0017312F">
            <w:pPr>
              <w:tabs>
                <w:tab w:val="left" w:pos="284"/>
              </w:tabs>
              <w:spacing w:after="60"/>
              <w:jc w:val="center"/>
              <w:outlineLvl w:val="0"/>
              <w:rPr>
                <w:sz w:val="20"/>
              </w:rPr>
            </w:pPr>
          </w:p>
        </w:tc>
        <w:tc>
          <w:tcPr>
            <w:tcW w:w="1134" w:type="dxa"/>
            <w:vAlign w:val="center"/>
          </w:tcPr>
          <w:p w14:paraId="0410647C" w14:textId="77777777" w:rsidR="00297E46" w:rsidRPr="003E7EE5" w:rsidRDefault="00297E46" w:rsidP="0017312F">
            <w:pPr>
              <w:tabs>
                <w:tab w:val="left" w:pos="284"/>
              </w:tabs>
              <w:spacing w:after="60"/>
              <w:jc w:val="center"/>
              <w:outlineLvl w:val="0"/>
              <w:rPr>
                <w:sz w:val="20"/>
              </w:rPr>
            </w:pPr>
            <w:r w:rsidRPr="003E7EE5">
              <w:rPr>
                <w:sz w:val="20"/>
              </w:rPr>
              <w:t>4.65 (1.08)</w:t>
            </w:r>
          </w:p>
        </w:tc>
        <w:tc>
          <w:tcPr>
            <w:tcW w:w="1134" w:type="dxa"/>
            <w:vAlign w:val="center"/>
          </w:tcPr>
          <w:p w14:paraId="03EB9841" w14:textId="77777777" w:rsidR="00297E46" w:rsidRPr="003E7EE5" w:rsidRDefault="00297E46" w:rsidP="0017312F">
            <w:pPr>
              <w:tabs>
                <w:tab w:val="left" w:pos="284"/>
              </w:tabs>
              <w:spacing w:after="60"/>
              <w:jc w:val="center"/>
              <w:outlineLvl w:val="0"/>
              <w:rPr>
                <w:sz w:val="20"/>
              </w:rPr>
            </w:pPr>
          </w:p>
        </w:tc>
        <w:tc>
          <w:tcPr>
            <w:tcW w:w="1277" w:type="dxa"/>
            <w:vAlign w:val="center"/>
          </w:tcPr>
          <w:p w14:paraId="003CB9BA" w14:textId="77777777" w:rsidR="00297E46" w:rsidRPr="003E7EE5" w:rsidRDefault="00297E46" w:rsidP="0017312F">
            <w:pPr>
              <w:tabs>
                <w:tab w:val="left" w:pos="284"/>
              </w:tabs>
              <w:spacing w:after="60"/>
              <w:jc w:val="center"/>
              <w:outlineLvl w:val="0"/>
              <w:rPr>
                <w:sz w:val="20"/>
              </w:rPr>
            </w:pPr>
          </w:p>
        </w:tc>
        <w:tc>
          <w:tcPr>
            <w:tcW w:w="1134" w:type="dxa"/>
            <w:gridSpan w:val="2"/>
            <w:vAlign w:val="center"/>
          </w:tcPr>
          <w:p w14:paraId="34ADCC51" w14:textId="77777777" w:rsidR="00297E46" w:rsidRPr="003E7EE5" w:rsidRDefault="00297E46" w:rsidP="0017312F">
            <w:pPr>
              <w:tabs>
                <w:tab w:val="left" w:pos="284"/>
              </w:tabs>
              <w:spacing w:after="60"/>
              <w:jc w:val="center"/>
              <w:outlineLvl w:val="0"/>
              <w:rPr>
                <w:sz w:val="20"/>
              </w:rPr>
            </w:pPr>
          </w:p>
        </w:tc>
        <w:tc>
          <w:tcPr>
            <w:tcW w:w="1134" w:type="dxa"/>
            <w:gridSpan w:val="2"/>
            <w:vAlign w:val="center"/>
          </w:tcPr>
          <w:p w14:paraId="0A841EAA" w14:textId="77777777" w:rsidR="00297E46" w:rsidRPr="003E7EE5" w:rsidRDefault="00297E46" w:rsidP="0017312F">
            <w:pPr>
              <w:tabs>
                <w:tab w:val="left" w:pos="284"/>
              </w:tabs>
              <w:spacing w:after="60"/>
              <w:jc w:val="center"/>
              <w:outlineLvl w:val="0"/>
              <w:rPr>
                <w:sz w:val="20"/>
              </w:rPr>
            </w:pPr>
            <w:r w:rsidRPr="003E7EE5">
              <w:rPr>
                <w:sz w:val="20"/>
              </w:rPr>
              <w:t>5.16 (1.28)</w:t>
            </w:r>
          </w:p>
        </w:tc>
        <w:tc>
          <w:tcPr>
            <w:tcW w:w="1134" w:type="dxa"/>
            <w:vAlign w:val="center"/>
          </w:tcPr>
          <w:p w14:paraId="09991C74" w14:textId="77777777" w:rsidR="00297E46" w:rsidRPr="003E7EE5" w:rsidRDefault="00297E46" w:rsidP="0017312F">
            <w:pPr>
              <w:tabs>
                <w:tab w:val="left" w:pos="284"/>
              </w:tabs>
              <w:spacing w:after="60"/>
              <w:jc w:val="center"/>
              <w:outlineLvl w:val="0"/>
              <w:rPr>
                <w:sz w:val="20"/>
              </w:rPr>
            </w:pPr>
            <w:r w:rsidRPr="003E7EE5">
              <w:rPr>
                <w:sz w:val="20"/>
              </w:rPr>
              <w:t>5.16 (1.28)</w:t>
            </w:r>
          </w:p>
        </w:tc>
      </w:tr>
      <w:tr w:rsidR="00297E46" w:rsidRPr="003E7EE5" w14:paraId="174D7141" w14:textId="77777777" w:rsidTr="00596C58">
        <w:tc>
          <w:tcPr>
            <w:tcW w:w="1350" w:type="dxa"/>
          </w:tcPr>
          <w:p w14:paraId="63D0D388" w14:textId="77777777" w:rsidR="00297E46" w:rsidRPr="003E7EE5" w:rsidRDefault="00297E46" w:rsidP="0017312F">
            <w:pPr>
              <w:tabs>
                <w:tab w:val="left" w:pos="284"/>
              </w:tabs>
              <w:spacing w:after="60"/>
              <w:jc w:val="center"/>
              <w:outlineLvl w:val="0"/>
              <w:rPr>
                <w:sz w:val="20"/>
              </w:rPr>
            </w:pPr>
            <w:r w:rsidRPr="003E7EE5">
              <w:rPr>
                <w:sz w:val="20"/>
              </w:rPr>
              <w:t>Opportunistic green investors</w:t>
            </w:r>
          </w:p>
        </w:tc>
        <w:tc>
          <w:tcPr>
            <w:tcW w:w="416" w:type="dxa"/>
            <w:vAlign w:val="center"/>
          </w:tcPr>
          <w:p w14:paraId="5D5004B6" w14:textId="77777777" w:rsidR="00297E46" w:rsidRPr="003E7EE5" w:rsidRDefault="00297E46" w:rsidP="0017312F">
            <w:pPr>
              <w:tabs>
                <w:tab w:val="left" w:pos="284"/>
              </w:tabs>
              <w:spacing w:after="60"/>
              <w:jc w:val="center"/>
              <w:outlineLvl w:val="0"/>
              <w:rPr>
                <w:sz w:val="20"/>
              </w:rPr>
            </w:pPr>
            <w:r w:rsidRPr="003E7EE5">
              <w:rPr>
                <w:sz w:val="20"/>
              </w:rPr>
              <w:t>12</w:t>
            </w:r>
          </w:p>
        </w:tc>
        <w:tc>
          <w:tcPr>
            <w:tcW w:w="1211" w:type="dxa"/>
            <w:vAlign w:val="center"/>
          </w:tcPr>
          <w:p w14:paraId="61D1A111" w14:textId="77777777" w:rsidR="00297E46" w:rsidRPr="003E7EE5" w:rsidRDefault="00297E46" w:rsidP="0017312F">
            <w:pPr>
              <w:tabs>
                <w:tab w:val="left" w:pos="284"/>
              </w:tabs>
              <w:spacing w:after="60"/>
              <w:jc w:val="center"/>
              <w:outlineLvl w:val="0"/>
              <w:rPr>
                <w:sz w:val="20"/>
              </w:rPr>
            </w:pPr>
          </w:p>
        </w:tc>
        <w:tc>
          <w:tcPr>
            <w:tcW w:w="1134" w:type="dxa"/>
            <w:vAlign w:val="center"/>
          </w:tcPr>
          <w:p w14:paraId="421CF90B" w14:textId="77777777" w:rsidR="00297E46" w:rsidRPr="003E7EE5" w:rsidRDefault="00297E46" w:rsidP="0017312F">
            <w:pPr>
              <w:tabs>
                <w:tab w:val="left" w:pos="284"/>
              </w:tabs>
              <w:spacing w:after="60"/>
              <w:jc w:val="center"/>
              <w:outlineLvl w:val="0"/>
              <w:rPr>
                <w:sz w:val="20"/>
              </w:rPr>
            </w:pPr>
            <w:r w:rsidRPr="003E7EE5">
              <w:rPr>
                <w:sz w:val="20"/>
              </w:rPr>
              <w:t>4.75 (1.50)</w:t>
            </w:r>
          </w:p>
        </w:tc>
        <w:tc>
          <w:tcPr>
            <w:tcW w:w="1134" w:type="dxa"/>
            <w:vAlign w:val="center"/>
          </w:tcPr>
          <w:p w14:paraId="6C8AFC1A" w14:textId="77777777" w:rsidR="00297E46" w:rsidRPr="003E7EE5" w:rsidRDefault="00297E46" w:rsidP="0017312F">
            <w:pPr>
              <w:tabs>
                <w:tab w:val="left" w:pos="284"/>
              </w:tabs>
              <w:spacing w:after="60"/>
              <w:jc w:val="center"/>
              <w:outlineLvl w:val="0"/>
              <w:rPr>
                <w:sz w:val="20"/>
              </w:rPr>
            </w:pPr>
          </w:p>
        </w:tc>
        <w:tc>
          <w:tcPr>
            <w:tcW w:w="1277" w:type="dxa"/>
            <w:vAlign w:val="center"/>
          </w:tcPr>
          <w:p w14:paraId="2AF65ADF" w14:textId="77777777" w:rsidR="00297E46" w:rsidRPr="003E7EE5" w:rsidRDefault="00297E46" w:rsidP="0017312F">
            <w:pPr>
              <w:tabs>
                <w:tab w:val="left" w:pos="284"/>
              </w:tabs>
              <w:spacing w:after="60"/>
              <w:jc w:val="center"/>
              <w:outlineLvl w:val="0"/>
              <w:rPr>
                <w:sz w:val="20"/>
              </w:rPr>
            </w:pPr>
          </w:p>
        </w:tc>
        <w:tc>
          <w:tcPr>
            <w:tcW w:w="1134" w:type="dxa"/>
            <w:gridSpan w:val="2"/>
            <w:vAlign w:val="center"/>
          </w:tcPr>
          <w:p w14:paraId="4808E65E" w14:textId="77777777" w:rsidR="00297E46" w:rsidRPr="003E7EE5" w:rsidRDefault="00297E46" w:rsidP="0017312F">
            <w:pPr>
              <w:tabs>
                <w:tab w:val="left" w:pos="284"/>
              </w:tabs>
              <w:spacing w:after="60"/>
              <w:jc w:val="center"/>
              <w:outlineLvl w:val="0"/>
              <w:rPr>
                <w:sz w:val="20"/>
              </w:rPr>
            </w:pPr>
            <w:r w:rsidRPr="003E7EE5">
              <w:rPr>
                <w:sz w:val="20"/>
              </w:rPr>
              <w:t>4.75 (0.75)</w:t>
            </w:r>
          </w:p>
        </w:tc>
        <w:tc>
          <w:tcPr>
            <w:tcW w:w="1134" w:type="dxa"/>
            <w:gridSpan w:val="2"/>
            <w:vAlign w:val="center"/>
          </w:tcPr>
          <w:p w14:paraId="187A7752" w14:textId="77777777" w:rsidR="00297E46" w:rsidRPr="003E7EE5" w:rsidRDefault="00297E46" w:rsidP="0017312F">
            <w:pPr>
              <w:tabs>
                <w:tab w:val="left" w:pos="284"/>
              </w:tabs>
              <w:spacing w:after="60"/>
              <w:jc w:val="center"/>
              <w:outlineLvl w:val="0"/>
              <w:rPr>
                <w:sz w:val="20"/>
              </w:rPr>
            </w:pPr>
            <w:r w:rsidRPr="003E7EE5">
              <w:rPr>
                <w:sz w:val="20"/>
              </w:rPr>
              <w:t>4.75 (0.75)</w:t>
            </w:r>
          </w:p>
        </w:tc>
        <w:tc>
          <w:tcPr>
            <w:tcW w:w="1134" w:type="dxa"/>
            <w:vAlign w:val="center"/>
          </w:tcPr>
          <w:p w14:paraId="2D405018" w14:textId="77777777" w:rsidR="00297E46" w:rsidRPr="003E7EE5" w:rsidRDefault="00297E46" w:rsidP="0017312F">
            <w:pPr>
              <w:tabs>
                <w:tab w:val="left" w:pos="284"/>
              </w:tabs>
              <w:spacing w:after="60"/>
              <w:jc w:val="center"/>
              <w:outlineLvl w:val="0"/>
              <w:rPr>
                <w:sz w:val="20"/>
              </w:rPr>
            </w:pPr>
          </w:p>
        </w:tc>
      </w:tr>
      <w:tr w:rsidR="00297E46" w:rsidRPr="003E7EE5" w14:paraId="5CEE4412" w14:textId="77777777" w:rsidTr="00596C58">
        <w:tc>
          <w:tcPr>
            <w:tcW w:w="1350" w:type="dxa"/>
            <w:tcBorders>
              <w:bottom w:val="single" w:sz="4" w:space="0" w:color="auto"/>
            </w:tcBorders>
          </w:tcPr>
          <w:p w14:paraId="10FE7780" w14:textId="77777777" w:rsidR="00297E46" w:rsidRPr="003E7EE5" w:rsidRDefault="00297E46" w:rsidP="0017312F">
            <w:pPr>
              <w:tabs>
                <w:tab w:val="left" w:pos="284"/>
              </w:tabs>
              <w:spacing w:after="60"/>
              <w:jc w:val="center"/>
              <w:outlineLvl w:val="0"/>
              <w:rPr>
                <w:sz w:val="20"/>
              </w:rPr>
            </w:pPr>
            <w:r w:rsidRPr="003E7EE5">
              <w:rPr>
                <w:sz w:val="20"/>
              </w:rPr>
              <w:t>Strategic green investors</w:t>
            </w:r>
          </w:p>
        </w:tc>
        <w:tc>
          <w:tcPr>
            <w:tcW w:w="416" w:type="dxa"/>
            <w:tcBorders>
              <w:bottom w:val="single" w:sz="4" w:space="0" w:color="auto"/>
            </w:tcBorders>
            <w:vAlign w:val="center"/>
          </w:tcPr>
          <w:p w14:paraId="0D3B1569" w14:textId="77777777" w:rsidR="00297E46" w:rsidRPr="003E7EE5" w:rsidRDefault="00297E46" w:rsidP="0017312F">
            <w:pPr>
              <w:tabs>
                <w:tab w:val="left" w:pos="284"/>
              </w:tabs>
              <w:spacing w:after="60"/>
              <w:jc w:val="center"/>
              <w:outlineLvl w:val="0"/>
              <w:rPr>
                <w:sz w:val="20"/>
              </w:rPr>
            </w:pPr>
            <w:r w:rsidRPr="003E7EE5">
              <w:rPr>
                <w:sz w:val="20"/>
              </w:rPr>
              <w:t>9</w:t>
            </w:r>
          </w:p>
        </w:tc>
        <w:tc>
          <w:tcPr>
            <w:tcW w:w="1211" w:type="dxa"/>
            <w:tcBorders>
              <w:bottom w:val="single" w:sz="4" w:space="0" w:color="auto"/>
            </w:tcBorders>
            <w:vAlign w:val="center"/>
          </w:tcPr>
          <w:p w14:paraId="2EB1218E" w14:textId="77777777" w:rsidR="00297E46" w:rsidRPr="003E7EE5" w:rsidRDefault="00297E46" w:rsidP="0017312F">
            <w:pPr>
              <w:tabs>
                <w:tab w:val="left" w:pos="284"/>
              </w:tabs>
              <w:spacing w:after="60"/>
              <w:jc w:val="center"/>
              <w:outlineLvl w:val="0"/>
              <w:rPr>
                <w:sz w:val="20"/>
              </w:rPr>
            </w:pPr>
          </w:p>
        </w:tc>
        <w:tc>
          <w:tcPr>
            <w:tcW w:w="1134" w:type="dxa"/>
            <w:tcBorders>
              <w:bottom w:val="single" w:sz="4" w:space="0" w:color="auto"/>
            </w:tcBorders>
            <w:vAlign w:val="center"/>
          </w:tcPr>
          <w:p w14:paraId="5C611834" w14:textId="77777777" w:rsidR="00297E46" w:rsidRPr="003E7EE5" w:rsidRDefault="00297E46" w:rsidP="0017312F">
            <w:pPr>
              <w:tabs>
                <w:tab w:val="left" w:pos="284"/>
              </w:tabs>
              <w:spacing w:after="60"/>
              <w:jc w:val="center"/>
              <w:outlineLvl w:val="0"/>
              <w:rPr>
                <w:sz w:val="20"/>
              </w:rPr>
            </w:pPr>
          </w:p>
        </w:tc>
        <w:tc>
          <w:tcPr>
            <w:tcW w:w="1134" w:type="dxa"/>
            <w:tcBorders>
              <w:bottom w:val="single" w:sz="4" w:space="0" w:color="auto"/>
            </w:tcBorders>
            <w:vAlign w:val="center"/>
          </w:tcPr>
          <w:p w14:paraId="13EA7802" w14:textId="77777777" w:rsidR="00297E46" w:rsidRPr="003E7EE5" w:rsidRDefault="00297E46" w:rsidP="0017312F">
            <w:pPr>
              <w:tabs>
                <w:tab w:val="left" w:pos="284"/>
              </w:tabs>
              <w:spacing w:after="60"/>
              <w:jc w:val="center"/>
              <w:outlineLvl w:val="0"/>
              <w:rPr>
                <w:sz w:val="20"/>
              </w:rPr>
            </w:pPr>
            <w:r w:rsidRPr="003E7EE5">
              <w:rPr>
                <w:sz w:val="20"/>
              </w:rPr>
              <w:t>5.76 (0.94)</w:t>
            </w:r>
          </w:p>
        </w:tc>
        <w:tc>
          <w:tcPr>
            <w:tcW w:w="1277" w:type="dxa"/>
            <w:tcBorders>
              <w:bottom w:val="single" w:sz="4" w:space="0" w:color="auto"/>
            </w:tcBorders>
            <w:vAlign w:val="center"/>
          </w:tcPr>
          <w:p w14:paraId="250A9488" w14:textId="77777777" w:rsidR="00297E46" w:rsidRPr="003E7EE5" w:rsidRDefault="00297E46" w:rsidP="0017312F">
            <w:pPr>
              <w:tabs>
                <w:tab w:val="left" w:pos="284"/>
              </w:tabs>
              <w:spacing w:after="60"/>
              <w:jc w:val="center"/>
              <w:outlineLvl w:val="0"/>
              <w:rPr>
                <w:sz w:val="20"/>
              </w:rPr>
            </w:pPr>
          </w:p>
        </w:tc>
        <w:tc>
          <w:tcPr>
            <w:tcW w:w="1134" w:type="dxa"/>
            <w:gridSpan w:val="2"/>
            <w:tcBorders>
              <w:bottom w:val="single" w:sz="4" w:space="0" w:color="auto"/>
            </w:tcBorders>
            <w:vAlign w:val="center"/>
          </w:tcPr>
          <w:p w14:paraId="21F0FAE7" w14:textId="77777777" w:rsidR="00297E46" w:rsidRPr="003E7EE5" w:rsidRDefault="00297E46" w:rsidP="0017312F">
            <w:pPr>
              <w:tabs>
                <w:tab w:val="left" w:pos="284"/>
              </w:tabs>
              <w:spacing w:after="60"/>
              <w:jc w:val="center"/>
              <w:outlineLvl w:val="0"/>
              <w:rPr>
                <w:sz w:val="20"/>
              </w:rPr>
            </w:pPr>
          </w:p>
        </w:tc>
        <w:tc>
          <w:tcPr>
            <w:tcW w:w="1134" w:type="dxa"/>
            <w:gridSpan w:val="2"/>
            <w:tcBorders>
              <w:bottom w:val="single" w:sz="4" w:space="0" w:color="auto"/>
            </w:tcBorders>
            <w:vAlign w:val="center"/>
          </w:tcPr>
          <w:p w14:paraId="34D62D0F" w14:textId="77777777" w:rsidR="00297E46" w:rsidRPr="003E7EE5" w:rsidRDefault="00297E46" w:rsidP="0017312F">
            <w:pPr>
              <w:tabs>
                <w:tab w:val="left" w:pos="284"/>
              </w:tabs>
              <w:spacing w:after="60"/>
              <w:jc w:val="center"/>
              <w:outlineLvl w:val="0"/>
              <w:rPr>
                <w:sz w:val="20"/>
              </w:rPr>
            </w:pPr>
          </w:p>
        </w:tc>
        <w:tc>
          <w:tcPr>
            <w:tcW w:w="1134" w:type="dxa"/>
            <w:tcBorders>
              <w:bottom w:val="single" w:sz="4" w:space="0" w:color="auto"/>
            </w:tcBorders>
            <w:vAlign w:val="center"/>
          </w:tcPr>
          <w:p w14:paraId="178B7AAF" w14:textId="77777777" w:rsidR="00297E46" w:rsidRPr="003E7EE5" w:rsidRDefault="00297E46" w:rsidP="0017312F">
            <w:pPr>
              <w:tabs>
                <w:tab w:val="left" w:pos="284"/>
              </w:tabs>
              <w:spacing w:after="60"/>
              <w:jc w:val="center"/>
              <w:outlineLvl w:val="0"/>
              <w:rPr>
                <w:sz w:val="20"/>
              </w:rPr>
            </w:pPr>
            <w:r w:rsidRPr="003E7EE5">
              <w:rPr>
                <w:sz w:val="20"/>
              </w:rPr>
              <w:t>5.66 (0.87)</w:t>
            </w:r>
          </w:p>
        </w:tc>
      </w:tr>
      <w:tr w:rsidR="00297E46" w:rsidRPr="003E7EE5" w14:paraId="59915DC1" w14:textId="77777777" w:rsidTr="00596C58">
        <w:tc>
          <w:tcPr>
            <w:tcW w:w="9924" w:type="dxa"/>
            <w:gridSpan w:val="11"/>
            <w:tcBorders>
              <w:top w:val="single" w:sz="4" w:space="0" w:color="auto"/>
            </w:tcBorders>
          </w:tcPr>
          <w:p w14:paraId="3BB63EBB" w14:textId="77777777" w:rsidR="00297E46" w:rsidRPr="003E7EE5" w:rsidRDefault="00297E46" w:rsidP="0017312F">
            <w:pPr>
              <w:tabs>
                <w:tab w:val="left" w:pos="284"/>
              </w:tabs>
              <w:spacing w:before="60" w:after="60"/>
              <w:jc w:val="both"/>
              <w:outlineLvl w:val="0"/>
              <w:rPr>
                <w:sz w:val="20"/>
              </w:rPr>
            </w:pPr>
            <w:r w:rsidRPr="003E7EE5">
              <w:rPr>
                <w:sz w:val="20"/>
              </w:rPr>
              <w:t>Notes: Variables measured on a seven-point scale. Figures in the different columns indicate significant differences based on comparisons (</w:t>
            </w:r>
            <w:r w:rsidRPr="005E1791">
              <w:rPr>
                <w:i/>
                <w:iCs/>
                <w:sz w:val="20"/>
              </w:rPr>
              <w:t>p</w:t>
            </w:r>
            <w:r w:rsidRPr="003E7EE5">
              <w:rPr>
                <w:sz w:val="20"/>
              </w:rPr>
              <w:t xml:space="preserve"> &lt; .05). Standard deviations are in parentheses.</w:t>
            </w:r>
          </w:p>
        </w:tc>
      </w:tr>
    </w:tbl>
    <w:p w14:paraId="38C69C71" w14:textId="77777777" w:rsidR="00297E46" w:rsidRPr="003E7EE5" w:rsidRDefault="00297E46" w:rsidP="00297E46">
      <w:pPr>
        <w:outlineLvl w:val="0"/>
        <w:rPr>
          <w:i/>
        </w:rPr>
      </w:pPr>
    </w:p>
    <w:p w14:paraId="748D1B91" w14:textId="77777777" w:rsidR="00297E46" w:rsidRPr="003E7EE5" w:rsidRDefault="00297E46" w:rsidP="000A5218">
      <w:pPr>
        <w:tabs>
          <w:tab w:val="left" w:pos="284"/>
        </w:tabs>
        <w:spacing w:before="120" w:after="120"/>
        <w:jc w:val="both"/>
        <w:outlineLvl w:val="0"/>
      </w:pPr>
    </w:p>
    <w:p w14:paraId="5D66BBBD" w14:textId="0764B192" w:rsidR="001B003B" w:rsidRPr="003E7EE5" w:rsidRDefault="001B003B" w:rsidP="000A5218">
      <w:pPr>
        <w:tabs>
          <w:tab w:val="left" w:pos="284"/>
        </w:tabs>
        <w:spacing w:before="120" w:after="120"/>
        <w:jc w:val="both"/>
        <w:outlineLvl w:val="0"/>
      </w:pPr>
    </w:p>
    <w:p w14:paraId="268BF6BC" w14:textId="14F15AFD" w:rsidR="00727A72" w:rsidRPr="003E7EE5" w:rsidRDefault="00727A72">
      <w:pPr>
        <w:tabs>
          <w:tab w:val="left" w:pos="284"/>
        </w:tabs>
        <w:spacing w:before="120" w:after="120"/>
        <w:jc w:val="both"/>
        <w:outlineLvl w:val="0"/>
      </w:pPr>
    </w:p>
    <w:p w14:paraId="0A3C4E31" w14:textId="46905CB5" w:rsidR="00C43AA8" w:rsidRDefault="00C43AA8">
      <w:pPr>
        <w:tabs>
          <w:tab w:val="left" w:pos="284"/>
        </w:tabs>
        <w:spacing w:before="120" w:after="120"/>
        <w:jc w:val="both"/>
        <w:outlineLvl w:val="0"/>
      </w:pPr>
    </w:p>
    <w:p w14:paraId="39CA194B" w14:textId="77777777" w:rsidR="002C1FC6" w:rsidRPr="0093645A" w:rsidRDefault="002C1FC6" w:rsidP="002C1FC6">
      <w:pPr>
        <w:rPr>
          <w:b/>
        </w:rPr>
      </w:pPr>
      <w:r>
        <w:rPr>
          <w:b/>
        </w:rPr>
        <w:lastRenderedPageBreak/>
        <w:t xml:space="preserve">A1 - Pretest - Sample characteristics </w:t>
      </w:r>
    </w:p>
    <w:p w14:paraId="1939153C" w14:textId="77777777" w:rsidR="002C1FC6" w:rsidRDefault="002C1FC6" w:rsidP="002C1FC6"/>
    <w:tbl>
      <w:tblPr>
        <w:tblW w:w="0" w:type="auto"/>
        <w:tblLayout w:type="fixed"/>
        <w:tblLook w:val="04A0" w:firstRow="1" w:lastRow="0" w:firstColumn="1" w:lastColumn="0" w:noHBand="0" w:noVBand="1"/>
      </w:tblPr>
      <w:tblGrid>
        <w:gridCol w:w="2835"/>
        <w:gridCol w:w="2410"/>
        <w:gridCol w:w="992"/>
        <w:gridCol w:w="993"/>
      </w:tblGrid>
      <w:tr w:rsidR="002C1FC6" w:rsidRPr="00060295" w14:paraId="7EC836E7" w14:textId="77777777" w:rsidTr="003B3AC5">
        <w:tc>
          <w:tcPr>
            <w:tcW w:w="2835" w:type="dxa"/>
            <w:tcBorders>
              <w:top w:val="single" w:sz="4" w:space="0" w:color="auto"/>
              <w:bottom w:val="single" w:sz="4" w:space="0" w:color="auto"/>
            </w:tcBorders>
            <w:shd w:val="clear" w:color="auto" w:fill="auto"/>
            <w:vAlign w:val="center"/>
          </w:tcPr>
          <w:p w14:paraId="3DF0611C" w14:textId="77777777" w:rsidR="002C1FC6" w:rsidRPr="00060295" w:rsidRDefault="002C1FC6" w:rsidP="003B3AC5">
            <w:pPr>
              <w:spacing w:line="360" w:lineRule="auto"/>
              <w:rPr>
                <w:rFonts w:eastAsia="Calibri"/>
                <w:sz w:val="20"/>
                <w:szCs w:val="20"/>
              </w:rPr>
            </w:pPr>
          </w:p>
        </w:tc>
        <w:tc>
          <w:tcPr>
            <w:tcW w:w="2410" w:type="dxa"/>
            <w:tcBorders>
              <w:top w:val="single" w:sz="4" w:space="0" w:color="auto"/>
              <w:bottom w:val="single" w:sz="4" w:space="0" w:color="auto"/>
            </w:tcBorders>
            <w:shd w:val="clear" w:color="auto" w:fill="auto"/>
            <w:vAlign w:val="center"/>
          </w:tcPr>
          <w:p w14:paraId="49CA3F7F" w14:textId="77777777" w:rsidR="002C1FC6" w:rsidRPr="00060295" w:rsidRDefault="002C1FC6" w:rsidP="003B3AC5">
            <w:pPr>
              <w:spacing w:line="360" w:lineRule="auto"/>
              <w:jc w:val="right"/>
              <w:rPr>
                <w:rFonts w:eastAsia="Calibri"/>
                <w:sz w:val="20"/>
                <w:szCs w:val="20"/>
              </w:rPr>
            </w:pPr>
          </w:p>
        </w:tc>
        <w:tc>
          <w:tcPr>
            <w:tcW w:w="992" w:type="dxa"/>
            <w:tcBorders>
              <w:top w:val="single" w:sz="4" w:space="0" w:color="auto"/>
              <w:bottom w:val="single" w:sz="4" w:space="0" w:color="auto"/>
            </w:tcBorders>
            <w:shd w:val="clear" w:color="auto" w:fill="auto"/>
            <w:vAlign w:val="center"/>
          </w:tcPr>
          <w:p w14:paraId="6EF2BA2F" w14:textId="77777777" w:rsidR="002C1FC6" w:rsidRPr="00060295" w:rsidRDefault="002C1FC6" w:rsidP="003B3AC5">
            <w:pPr>
              <w:rPr>
                <w:rFonts w:eastAsia="Calibri"/>
                <w:sz w:val="20"/>
                <w:szCs w:val="20"/>
              </w:rPr>
            </w:pPr>
            <w:r w:rsidRPr="00060295">
              <w:rPr>
                <w:rFonts w:eastAsia="Calibri"/>
                <w:sz w:val="20"/>
                <w:szCs w:val="20"/>
              </w:rPr>
              <w:t>(</w:t>
            </w:r>
            <w:r w:rsidRPr="00060295">
              <w:rPr>
                <w:rFonts w:eastAsia="Calibri"/>
                <w:i/>
                <w:sz w:val="20"/>
                <w:szCs w:val="20"/>
              </w:rPr>
              <w:t>N</w:t>
            </w:r>
            <w:r w:rsidRPr="00060295">
              <w:rPr>
                <w:rFonts w:eastAsia="Calibri"/>
                <w:sz w:val="20"/>
                <w:szCs w:val="20"/>
              </w:rPr>
              <w:t xml:space="preserve"> = </w:t>
            </w:r>
            <w:r>
              <w:rPr>
                <w:rFonts w:eastAsia="Calibri"/>
                <w:sz w:val="20"/>
                <w:szCs w:val="20"/>
              </w:rPr>
              <w:t>85</w:t>
            </w:r>
            <w:r w:rsidRPr="00060295">
              <w:rPr>
                <w:rFonts w:eastAsia="Calibri"/>
                <w:sz w:val="20"/>
                <w:szCs w:val="20"/>
              </w:rPr>
              <w:t>)</w:t>
            </w:r>
          </w:p>
        </w:tc>
        <w:tc>
          <w:tcPr>
            <w:tcW w:w="993" w:type="dxa"/>
            <w:tcBorders>
              <w:top w:val="single" w:sz="4" w:space="0" w:color="auto"/>
              <w:bottom w:val="single" w:sz="4" w:space="0" w:color="auto"/>
            </w:tcBorders>
            <w:shd w:val="clear" w:color="auto" w:fill="auto"/>
            <w:vAlign w:val="center"/>
          </w:tcPr>
          <w:p w14:paraId="70DD8F1D" w14:textId="77777777" w:rsidR="002C1FC6" w:rsidRPr="00060295" w:rsidRDefault="002C1FC6" w:rsidP="003B3AC5">
            <w:pPr>
              <w:jc w:val="right"/>
              <w:rPr>
                <w:rFonts w:eastAsia="Calibri"/>
                <w:sz w:val="20"/>
                <w:szCs w:val="20"/>
              </w:rPr>
            </w:pPr>
            <w:r w:rsidRPr="00060295">
              <w:rPr>
                <w:rFonts w:eastAsia="Calibri"/>
                <w:sz w:val="20"/>
                <w:szCs w:val="20"/>
              </w:rPr>
              <w:t>%</w:t>
            </w:r>
          </w:p>
        </w:tc>
      </w:tr>
      <w:tr w:rsidR="002C1FC6" w:rsidRPr="00060295" w14:paraId="36BF5EA2" w14:textId="77777777" w:rsidTr="003B3AC5">
        <w:trPr>
          <w:trHeight w:val="256"/>
        </w:trPr>
        <w:tc>
          <w:tcPr>
            <w:tcW w:w="2835" w:type="dxa"/>
            <w:tcBorders>
              <w:top w:val="single" w:sz="4" w:space="0" w:color="auto"/>
            </w:tcBorders>
            <w:shd w:val="clear" w:color="auto" w:fill="auto"/>
          </w:tcPr>
          <w:p w14:paraId="61EF475C" w14:textId="77777777" w:rsidR="002C1FC6" w:rsidRPr="00060295" w:rsidRDefault="002C1FC6" w:rsidP="003B3AC5">
            <w:pPr>
              <w:rPr>
                <w:rFonts w:eastAsia="Calibri"/>
                <w:sz w:val="20"/>
                <w:szCs w:val="20"/>
              </w:rPr>
            </w:pPr>
            <w:r w:rsidRPr="00060295">
              <w:rPr>
                <w:rFonts w:eastAsia="Calibri"/>
                <w:sz w:val="20"/>
                <w:szCs w:val="20"/>
              </w:rPr>
              <w:t>Market</w:t>
            </w:r>
          </w:p>
        </w:tc>
        <w:tc>
          <w:tcPr>
            <w:tcW w:w="2410" w:type="dxa"/>
            <w:tcBorders>
              <w:top w:val="single" w:sz="4" w:space="0" w:color="auto"/>
            </w:tcBorders>
            <w:shd w:val="clear" w:color="auto" w:fill="auto"/>
            <w:vAlign w:val="center"/>
          </w:tcPr>
          <w:p w14:paraId="33916F9C" w14:textId="77777777" w:rsidR="002C1FC6" w:rsidRPr="00060295" w:rsidRDefault="002C1FC6" w:rsidP="003B3AC5">
            <w:pPr>
              <w:rPr>
                <w:rFonts w:eastAsia="Calibri"/>
                <w:sz w:val="20"/>
                <w:szCs w:val="20"/>
              </w:rPr>
            </w:pPr>
            <w:r w:rsidRPr="00060295">
              <w:rPr>
                <w:rFonts w:eastAsia="Calibri"/>
                <w:sz w:val="20"/>
                <w:szCs w:val="20"/>
              </w:rPr>
              <w:t>B2C</w:t>
            </w:r>
          </w:p>
        </w:tc>
        <w:tc>
          <w:tcPr>
            <w:tcW w:w="992" w:type="dxa"/>
            <w:tcBorders>
              <w:top w:val="single" w:sz="4" w:space="0" w:color="auto"/>
            </w:tcBorders>
            <w:shd w:val="clear" w:color="auto" w:fill="auto"/>
          </w:tcPr>
          <w:p w14:paraId="6D738FAE" w14:textId="77777777" w:rsidR="002C1FC6" w:rsidRPr="0004694C" w:rsidRDefault="002C1FC6" w:rsidP="003B3AC5">
            <w:pPr>
              <w:jc w:val="center"/>
              <w:rPr>
                <w:rFonts w:eastAsia="Calibri"/>
                <w:sz w:val="20"/>
                <w:szCs w:val="20"/>
              </w:rPr>
            </w:pPr>
            <w:r>
              <w:rPr>
                <w:rFonts w:eastAsia="Calibri"/>
                <w:sz w:val="20"/>
                <w:szCs w:val="20"/>
              </w:rPr>
              <w:t>58</w:t>
            </w:r>
          </w:p>
        </w:tc>
        <w:tc>
          <w:tcPr>
            <w:tcW w:w="993" w:type="dxa"/>
            <w:tcBorders>
              <w:top w:val="single" w:sz="4" w:space="0" w:color="auto"/>
            </w:tcBorders>
            <w:shd w:val="clear" w:color="auto" w:fill="auto"/>
          </w:tcPr>
          <w:p w14:paraId="055C0884" w14:textId="77777777" w:rsidR="002C1FC6" w:rsidRPr="00060295" w:rsidRDefault="002C1FC6" w:rsidP="003B3AC5">
            <w:pPr>
              <w:jc w:val="right"/>
              <w:rPr>
                <w:rFonts w:eastAsia="Calibri"/>
                <w:sz w:val="20"/>
                <w:szCs w:val="20"/>
              </w:rPr>
            </w:pPr>
            <w:r>
              <w:rPr>
                <w:rFonts w:eastAsia="Calibri"/>
                <w:sz w:val="20"/>
                <w:szCs w:val="20"/>
              </w:rPr>
              <w:t>68</w:t>
            </w:r>
            <w:r w:rsidRPr="00060295">
              <w:rPr>
                <w:rFonts w:eastAsia="Calibri"/>
                <w:sz w:val="20"/>
                <w:szCs w:val="20"/>
              </w:rPr>
              <w:t>.</w:t>
            </w:r>
            <w:r>
              <w:rPr>
                <w:rFonts w:eastAsia="Calibri"/>
                <w:sz w:val="20"/>
                <w:szCs w:val="20"/>
              </w:rPr>
              <w:t>2</w:t>
            </w:r>
            <w:r w:rsidRPr="00060295">
              <w:rPr>
                <w:rFonts w:eastAsia="Calibri"/>
                <w:sz w:val="20"/>
                <w:szCs w:val="20"/>
              </w:rPr>
              <w:t>%</w:t>
            </w:r>
          </w:p>
        </w:tc>
      </w:tr>
      <w:tr w:rsidR="002C1FC6" w:rsidRPr="00060295" w14:paraId="02C30FD5" w14:textId="77777777" w:rsidTr="003B3AC5">
        <w:tc>
          <w:tcPr>
            <w:tcW w:w="2835" w:type="dxa"/>
            <w:shd w:val="clear" w:color="auto" w:fill="auto"/>
          </w:tcPr>
          <w:p w14:paraId="669E4CE8" w14:textId="77777777" w:rsidR="002C1FC6" w:rsidRPr="00060295" w:rsidRDefault="002C1FC6" w:rsidP="003B3AC5">
            <w:pPr>
              <w:rPr>
                <w:rFonts w:eastAsia="Calibri"/>
                <w:sz w:val="20"/>
                <w:szCs w:val="20"/>
              </w:rPr>
            </w:pPr>
          </w:p>
        </w:tc>
        <w:tc>
          <w:tcPr>
            <w:tcW w:w="2410" w:type="dxa"/>
            <w:shd w:val="clear" w:color="auto" w:fill="auto"/>
            <w:vAlign w:val="center"/>
          </w:tcPr>
          <w:p w14:paraId="61F95B3D" w14:textId="77777777" w:rsidR="002C1FC6" w:rsidRPr="00060295" w:rsidRDefault="002C1FC6" w:rsidP="003B3AC5">
            <w:pPr>
              <w:rPr>
                <w:rFonts w:eastAsia="Calibri"/>
                <w:sz w:val="20"/>
                <w:szCs w:val="20"/>
              </w:rPr>
            </w:pPr>
            <w:r w:rsidRPr="00060295">
              <w:rPr>
                <w:rFonts w:eastAsia="Calibri"/>
                <w:sz w:val="20"/>
                <w:szCs w:val="20"/>
              </w:rPr>
              <w:t>B2B</w:t>
            </w:r>
          </w:p>
        </w:tc>
        <w:tc>
          <w:tcPr>
            <w:tcW w:w="992" w:type="dxa"/>
            <w:shd w:val="clear" w:color="auto" w:fill="auto"/>
          </w:tcPr>
          <w:p w14:paraId="362E0FC6" w14:textId="77777777" w:rsidR="002C1FC6" w:rsidRPr="0004694C" w:rsidRDefault="002C1FC6" w:rsidP="003B3AC5">
            <w:pPr>
              <w:jc w:val="center"/>
              <w:rPr>
                <w:rFonts w:eastAsia="Calibri"/>
                <w:sz w:val="20"/>
                <w:szCs w:val="20"/>
              </w:rPr>
            </w:pPr>
            <w:r>
              <w:rPr>
                <w:rFonts w:eastAsia="Calibri"/>
                <w:sz w:val="20"/>
                <w:szCs w:val="20"/>
              </w:rPr>
              <w:t>27</w:t>
            </w:r>
          </w:p>
        </w:tc>
        <w:tc>
          <w:tcPr>
            <w:tcW w:w="993" w:type="dxa"/>
            <w:shd w:val="clear" w:color="auto" w:fill="auto"/>
          </w:tcPr>
          <w:p w14:paraId="201FE5E4" w14:textId="77777777" w:rsidR="002C1FC6" w:rsidRPr="00060295" w:rsidRDefault="002C1FC6" w:rsidP="003B3AC5">
            <w:pPr>
              <w:jc w:val="right"/>
              <w:rPr>
                <w:rFonts w:eastAsia="Calibri"/>
                <w:sz w:val="20"/>
                <w:szCs w:val="20"/>
              </w:rPr>
            </w:pPr>
            <w:r>
              <w:rPr>
                <w:rFonts w:eastAsia="Calibri"/>
                <w:sz w:val="20"/>
                <w:szCs w:val="20"/>
              </w:rPr>
              <w:t>31</w:t>
            </w:r>
            <w:r w:rsidRPr="00060295">
              <w:rPr>
                <w:rFonts w:eastAsia="Calibri"/>
                <w:sz w:val="20"/>
                <w:szCs w:val="20"/>
              </w:rPr>
              <w:t>.</w:t>
            </w:r>
            <w:r>
              <w:rPr>
                <w:rFonts w:eastAsia="Calibri"/>
                <w:sz w:val="20"/>
                <w:szCs w:val="20"/>
              </w:rPr>
              <w:t>8</w:t>
            </w:r>
            <w:r w:rsidRPr="00060295">
              <w:rPr>
                <w:rFonts w:eastAsia="Calibri"/>
                <w:sz w:val="20"/>
                <w:szCs w:val="20"/>
              </w:rPr>
              <w:t>%</w:t>
            </w:r>
          </w:p>
        </w:tc>
      </w:tr>
      <w:tr w:rsidR="002C1FC6" w:rsidRPr="006107BE" w14:paraId="196F38FF" w14:textId="77777777" w:rsidTr="003B3AC5">
        <w:tc>
          <w:tcPr>
            <w:tcW w:w="2835" w:type="dxa"/>
            <w:shd w:val="clear" w:color="auto" w:fill="auto"/>
          </w:tcPr>
          <w:p w14:paraId="1043141B" w14:textId="77777777" w:rsidR="002C1FC6" w:rsidRPr="006107BE" w:rsidRDefault="002C1FC6" w:rsidP="003B3AC5">
            <w:pPr>
              <w:rPr>
                <w:rFonts w:eastAsia="Calibri"/>
                <w:sz w:val="8"/>
                <w:szCs w:val="8"/>
              </w:rPr>
            </w:pPr>
          </w:p>
        </w:tc>
        <w:tc>
          <w:tcPr>
            <w:tcW w:w="2410" w:type="dxa"/>
            <w:shd w:val="clear" w:color="auto" w:fill="auto"/>
            <w:vAlign w:val="center"/>
          </w:tcPr>
          <w:p w14:paraId="78670C5A" w14:textId="77777777" w:rsidR="002C1FC6" w:rsidRPr="006107BE" w:rsidRDefault="002C1FC6" w:rsidP="003B3AC5">
            <w:pPr>
              <w:rPr>
                <w:rFonts w:eastAsia="Calibri"/>
                <w:sz w:val="8"/>
                <w:szCs w:val="8"/>
              </w:rPr>
            </w:pPr>
          </w:p>
        </w:tc>
        <w:tc>
          <w:tcPr>
            <w:tcW w:w="992" w:type="dxa"/>
            <w:shd w:val="clear" w:color="auto" w:fill="auto"/>
          </w:tcPr>
          <w:p w14:paraId="2451C08C" w14:textId="77777777" w:rsidR="002C1FC6" w:rsidRPr="006107BE" w:rsidRDefault="002C1FC6" w:rsidP="003B3AC5">
            <w:pPr>
              <w:jc w:val="center"/>
              <w:rPr>
                <w:rFonts w:eastAsia="Calibri"/>
                <w:sz w:val="8"/>
                <w:szCs w:val="8"/>
              </w:rPr>
            </w:pPr>
          </w:p>
        </w:tc>
        <w:tc>
          <w:tcPr>
            <w:tcW w:w="993" w:type="dxa"/>
            <w:shd w:val="clear" w:color="auto" w:fill="auto"/>
          </w:tcPr>
          <w:p w14:paraId="6F548B41" w14:textId="77777777" w:rsidR="002C1FC6" w:rsidRPr="006107BE" w:rsidRDefault="002C1FC6" w:rsidP="003B3AC5">
            <w:pPr>
              <w:jc w:val="right"/>
              <w:rPr>
                <w:rFonts w:eastAsia="Calibri"/>
                <w:sz w:val="8"/>
                <w:szCs w:val="8"/>
              </w:rPr>
            </w:pPr>
          </w:p>
        </w:tc>
      </w:tr>
      <w:tr w:rsidR="002C1FC6" w:rsidRPr="00060295" w14:paraId="14B24A24" w14:textId="77777777" w:rsidTr="003B3AC5">
        <w:tc>
          <w:tcPr>
            <w:tcW w:w="2835" w:type="dxa"/>
            <w:shd w:val="clear" w:color="auto" w:fill="auto"/>
          </w:tcPr>
          <w:p w14:paraId="5AEA5631" w14:textId="77777777" w:rsidR="002C1FC6" w:rsidRPr="00060295" w:rsidRDefault="002C1FC6" w:rsidP="003B3AC5">
            <w:pPr>
              <w:rPr>
                <w:rFonts w:eastAsia="Calibri"/>
                <w:sz w:val="20"/>
                <w:szCs w:val="20"/>
              </w:rPr>
            </w:pPr>
            <w:r w:rsidRPr="00060295">
              <w:rPr>
                <w:rFonts w:eastAsia="Calibri"/>
                <w:sz w:val="20"/>
                <w:szCs w:val="20"/>
              </w:rPr>
              <w:t>Firm’s geographic scope</w:t>
            </w:r>
          </w:p>
        </w:tc>
        <w:tc>
          <w:tcPr>
            <w:tcW w:w="2410" w:type="dxa"/>
            <w:shd w:val="clear" w:color="auto" w:fill="auto"/>
            <w:vAlign w:val="center"/>
          </w:tcPr>
          <w:p w14:paraId="6AF9818C" w14:textId="77777777" w:rsidR="002C1FC6" w:rsidRPr="00060295" w:rsidRDefault="002C1FC6" w:rsidP="003B3AC5">
            <w:pPr>
              <w:rPr>
                <w:rFonts w:eastAsia="Calibri"/>
                <w:sz w:val="20"/>
                <w:szCs w:val="20"/>
              </w:rPr>
            </w:pPr>
            <w:r w:rsidRPr="00060295">
              <w:rPr>
                <w:rFonts w:eastAsia="Calibri"/>
                <w:sz w:val="20"/>
                <w:szCs w:val="20"/>
              </w:rPr>
              <w:t>Domestic</w:t>
            </w:r>
          </w:p>
        </w:tc>
        <w:tc>
          <w:tcPr>
            <w:tcW w:w="992" w:type="dxa"/>
            <w:shd w:val="clear" w:color="auto" w:fill="auto"/>
          </w:tcPr>
          <w:p w14:paraId="00EBB958" w14:textId="77777777" w:rsidR="002C1FC6" w:rsidRPr="0004694C" w:rsidRDefault="002C1FC6" w:rsidP="003B3AC5">
            <w:pPr>
              <w:jc w:val="center"/>
              <w:rPr>
                <w:rFonts w:eastAsia="Calibri"/>
                <w:sz w:val="20"/>
                <w:szCs w:val="20"/>
              </w:rPr>
            </w:pPr>
            <w:r>
              <w:rPr>
                <w:rFonts w:eastAsia="Calibri"/>
                <w:sz w:val="20"/>
                <w:szCs w:val="20"/>
              </w:rPr>
              <w:t>48</w:t>
            </w:r>
          </w:p>
        </w:tc>
        <w:tc>
          <w:tcPr>
            <w:tcW w:w="993" w:type="dxa"/>
            <w:shd w:val="clear" w:color="auto" w:fill="auto"/>
          </w:tcPr>
          <w:p w14:paraId="6E322495" w14:textId="77777777" w:rsidR="002C1FC6" w:rsidRPr="00060295" w:rsidRDefault="002C1FC6" w:rsidP="003B3AC5">
            <w:pPr>
              <w:jc w:val="right"/>
              <w:rPr>
                <w:rFonts w:eastAsia="Calibri"/>
                <w:sz w:val="20"/>
                <w:szCs w:val="20"/>
              </w:rPr>
            </w:pPr>
            <w:r w:rsidRPr="00060295">
              <w:rPr>
                <w:rFonts w:eastAsia="Calibri"/>
                <w:sz w:val="20"/>
                <w:szCs w:val="20"/>
              </w:rPr>
              <w:t>5</w:t>
            </w:r>
            <w:r>
              <w:rPr>
                <w:rFonts w:eastAsia="Calibri"/>
                <w:sz w:val="20"/>
                <w:szCs w:val="20"/>
              </w:rPr>
              <w:t>6</w:t>
            </w:r>
            <w:r w:rsidRPr="00060295">
              <w:rPr>
                <w:rFonts w:eastAsia="Calibri"/>
                <w:sz w:val="20"/>
                <w:szCs w:val="20"/>
              </w:rPr>
              <w:t>.</w:t>
            </w:r>
            <w:r>
              <w:rPr>
                <w:rFonts w:eastAsia="Calibri"/>
                <w:sz w:val="20"/>
                <w:szCs w:val="20"/>
              </w:rPr>
              <w:t>5</w:t>
            </w:r>
            <w:r w:rsidRPr="00060295">
              <w:rPr>
                <w:rFonts w:eastAsia="Calibri"/>
                <w:sz w:val="20"/>
                <w:szCs w:val="20"/>
              </w:rPr>
              <w:t>%</w:t>
            </w:r>
          </w:p>
        </w:tc>
      </w:tr>
      <w:tr w:rsidR="002C1FC6" w:rsidRPr="00060295" w14:paraId="0DB1333B" w14:textId="77777777" w:rsidTr="003B3AC5">
        <w:tc>
          <w:tcPr>
            <w:tcW w:w="2835" w:type="dxa"/>
            <w:shd w:val="clear" w:color="auto" w:fill="auto"/>
          </w:tcPr>
          <w:p w14:paraId="16D2F636" w14:textId="77777777" w:rsidR="002C1FC6" w:rsidRPr="00060295" w:rsidRDefault="002C1FC6" w:rsidP="003B3AC5">
            <w:pPr>
              <w:rPr>
                <w:rFonts w:eastAsia="Calibri"/>
                <w:sz w:val="20"/>
                <w:szCs w:val="20"/>
              </w:rPr>
            </w:pPr>
          </w:p>
        </w:tc>
        <w:tc>
          <w:tcPr>
            <w:tcW w:w="2410" w:type="dxa"/>
            <w:shd w:val="clear" w:color="auto" w:fill="auto"/>
            <w:vAlign w:val="center"/>
          </w:tcPr>
          <w:p w14:paraId="363C32C2" w14:textId="77777777" w:rsidR="002C1FC6" w:rsidRPr="00060295" w:rsidRDefault="002C1FC6" w:rsidP="003B3AC5">
            <w:pPr>
              <w:rPr>
                <w:rFonts w:eastAsia="Calibri"/>
                <w:sz w:val="20"/>
                <w:szCs w:val="20"/>
              </w:rPr>
            </w:pPr>
            <w:r w:rsidRPr="00060295">
              <w:rPr>
                <w:rFonts w:eastAsia="Calibri"/>
                <w:sz w:val="20"/>
                <w:szCs w:val="20"/>
              </w:rPr>
              <w:t>Multinational</w:t>
            </w:r>
          </w:p>
        </w:tc>
        <w:tc>
          <w:tcPr>
            <w:tcW w:w="992" w:type="dxa"/>
            <w:shd w:val="clear" w:color="auto" w:fill="auto"/>
          </w:tcPr>
          <w:p w14:paraId="3E741EB5" w14:textId="77777777" w:rsidR="002C1FC6" w:rsidRPr="0004694C" w:rsidRDefault="002C1FC6" w:rsidP="003B3AC5">
            <w:pPr>
              <w:jc w:val="center"/>
              <w:rPr>
                <w:rFonts w:eastAsia="Calibri"/>
                <w:sz w:val="20"/>
                <w:szCs w:val="20"/>
              </w:rPr>
            </w:pPr>
            <w:r>
              <w:rPr>
                <w:rFonts w:eastAsia="Calibri"/>
                <w:sz w:val="20"/>
                <w:szCs w:val="20"/>
              </w:rPr>
              <w:t>37</w:t>
            </w:r>
          </w:p>
        </w:tc>
        <w:tc>
          <w:tcPr>
            <w:tcW w:w="993" w:type="dxa"/>
            <w:shd w:val="clear" w:color="auto" w:fill="auto"/>
          </w:tcPr>
          <w:p w14:paraId="07CAE49E" w14:textId="77777777" w:rsidR="002C1FC6" w:rsidRPr="00060295" w:rsidRDefault="002C1FC6" w:rsidP="003B3AC5">
            <w:pPr>
              <w:jc w:val="right"/>
              <w:rPr>
                <w:rFonts w:eastAsia="Calibri"/>
                <w:sz w:val="20"/>
                <w:szCs w:val="20"/>
              </w:rPr>
            </w:pPr>
            <w:r w:rsidRPr="00060295">
              <w:rPr>
                <w:rFonts w:eastAsia="Calibri"/>
                <w:sz w:val="20"/>
                <w:szCs w:val="20"/>
              </w:rPr>
              <w:t>43.</w:t>
            </w:r>
            <w:r>
              <w:rPr>
                <w:rFonts w:eastAsia="Calibri"/>
                <w:sz w:val="20"/>
                <w:szCs w:val="20"/>
              </w:rPr>
              <w:t>5</w:t>
            </w:r>
            <w:r w:rsidRPr="00060295">
              <w:rPr>
                <w:rFonts w:eastAsia="Calibri"/>
                <w:sz w:val="20"/>
                <w:szCs w:val="20"/>
              </w:rPr>
              <w:t>%</w:t>
            </w:r>
          </w:p>
        </w:tc>
      </w:tr>
      <w:tr w:rsidR="002C1FC6" w:rsidRPr="006107BE" w14:paraId="44B4A870" w14:textId="77777777" w:rsidTr="003B3AC5">
        <w:tc>
          <w:tcPr>
            <w:tcW w:w="2835" w:type="dxa"/>
            <w:shd w:val="clear" w:color="auto" w:fill="auto"/>
          </w:tcPr>
          <w:p w14:paraId="620709E4" w14:textId="77777777" w:rsidR="002C1FC6" w:rsidRPr="006107BE" w:rsidRDefault="002C1FC6" w:rsidP="003B3AC5">
            <w:pPr>
              <w:rPr>
                <w:rFonts w:eastAsia="Calibri"/>
                <w:sz w:val="8"/>
                <w:szCs w:val="8"/>
              </w:rPr>
            </w:pPr>
          </w:p>
        </w:tc>
        <w:tc>
          <w:tcPr>
            <w:tcW w:w="2410" w:type="dxa"/>
            <w:shd w:val="clear" w:color="auto" w:fill="auto"/>
            <w:vAlign w:val="center"/>
          </w:tcPr>
          <w:p w14:paraId="43135728" w14:textId="77777777" w:rsidR="002C1FC6" w:rsidRPr="006107BE" w:rsidRDefault="002C1FC6" w:rsidP="003B3AC5">
            <w:pPr>
              <w:rPr>
                <w:rFonts w:eastAsia="Calibri"/>
                <w:sz w:val="8"/>
                <w:szCs w:val="8"/>
              </w:rPr>
            </w:pPr>
          </w:p>
        </w:tc>
        <w:tc>
          <w:tcPr>
            <w:tcW w:w="992" w:type="dxa"/>
            <w:shd w:val="clear" w:color="auto" w:fill="auto"/>
          </w:tcPr>
          <w:p w14:paraId="58035F83" w14:textId="77777777" w:rsidR="002C1FC6" w:rsidRPr="006107BE" w:rsidRDefault="002C1FC6" w:rsidP="003B3AC5">
            <w:pPr>
              <w:jc w:val="center"/>
              <w:rPr>
                <w:rFonts w:eastAsia="Calibri"/>
                <w:sz w:val="8"/>
                <w:szCs w:val="8"/>
              </w:rPr>
            </w:pPr>
          </w:p>
        </w:tc>
        <w:tc>
          <w:tcPr>
            <w:tcW w:w="993" w:type="dxa"/>
            <w:shd w:val="clear" w:color="auto" w:fill="auto"/>
          </w:tcPr>
          <w:p w14:paraId="14741775" w14:textId="77777777" w:rsidR="002C1FC6" w:rsidRPr="006107BE" w:rsidRDefault="002C1FC6" w:rsidP="003B3AC5">
            <w:pPr>
              <w:jc w:val="right"/>
              <w:rPr>
                <w:rFonts w:eastAsia="Calibri"/>
                <w:sz w:val="8"/>
                <w:szCs w:val="8"/>
              </w:rPr>
            </w:pPr>
          </w:p>
        </w:tc>
      </w:tr>
      <w:tr w:rsidR="002C1FC6" w:rsidRPr="00060295" w14:paraId="5618F493" w14:textId="77777777" w:rsidTr="003B3AC5">
        <w:tc>
          <w:tcPr>
            <w:tcW w:w="2835" w:type="dxa"/>
            <w:shd w:val="clear" w:color="auto" w:fill="auto"/>
          </w:tcPr>
          <w:p w14:paraId="61AEAEB9" w14:textId="77777777" w:rsidR="002C1FC6" w:rsidRPr="00060295" w:rsidRDefault="002C1FC6" w:rsidP="003B3AC5">
            <w:pPr>
              <w:rPr>
                <w:rFonts w:eastAsia="Calibri"/>
                <w:sz w:val="20"/>
                <w:szCs w:val="20"/>
              </w:rPr>
            </w:pPr>
            <w:bookmarkStart w:id="2" w:name="_Hlk32253915"/>
            <w:r w:rsidRPr="00060295">
              <w:rPr>
                <w:rFonts w:eastAsia="Calibri"/>
                <w:sz w:val="20"/>
                <w:szCs w:val="20"/>
              </w:rPr>
              <w:t>Job position of respondents</w:t>
            </w:r>
            <w:bookmarkEnd w:id="2"/>
          </w:p>
        </w:tc>
        <w:tc>
          <w:tcPr>
            <w:tcW w:w="2410" w:type="dxa"/>
            <w:shd w:val="clear" w:color="auto" w:fill="auto"/>
            <w:vAlign w:val="center"/>
          </w:tcPr>
          <w:p w14:paraId="0571C77A" w14:textId="77777777" w:rsidR="002C1FC6" w:rsidRPr="00060295" w:rsidRDefault="002C1FC6" w:rsidP="003B3AC5">
            <w:pPr>
              <w:rPr>
                <w:rFonts w:eastAsia="Calibri"/>
                <w:sz w:val="20"/>
                <w:szCs w:val="20"/>
              </w:rPr>
            </w:pPr>
            <w:r>
              <w:rPr>
                <w:rFonts w:eastAsia="Calibri"/>
                <w:sz w:val="20"/>
                <w:szCs w:val="20"/>
              </w:rPr>
              <w:t>Product/Marketing</w:t>
            </w:r>
          </w:p>
        </w:tc>
        <w:tc>
          <w:tcPr>
            <w:tcW w:w="992" w:type="dxa"/>
            <w:shd w:val="clear" w:color="auto" w:fill="auto"/>
          </w:tcPr>
          <w:p w14:paraId="78FE45BE" w14:textId="77777777" w:rsidR="002C1FC6" w:rsidRPr="0004694C" w:rsidRDefault="002C1FC6" w:rsidP="003B3AC5">
            <w:pPr>
              <w:jc w:val="center"/>
              <w:rPr>
                <w:rFonts w:eastAsia="Calibri"/>
                <w:sz w:val="20"/>
                <w:szCs w:val="20"/>
              </w:rPr>
            </w:pPr>
            <w:r>
              <w:rPr>
                <w:rFonts w:eastAsia="Calibri"/>
                <w:sz w:val="20"/>
                <w:szCs w:val="20"/>
              </w:rPr>
              <w:t>61</w:t>
            </w:r>
          </w:p>
        </w:tc>
        <w:tc>
          <w:tcPr>
            <w:tcW w:w="993" w:type="dxa"/>
            <w:shd w:val="clear" w:color="auto" w:fill="auto"/>
          </w:tcPr>
          <w:p w14:paraId="4DC69397" w14:textId="77777777" w:rsidR="002C1FC6" w:rsidRPr="00060295" w:rsidRDefault="002C1FC6" w:rsidP="003B3AC5">
            <w:pPr>
              <w:jc w:val="right"/>
              <w:rPr>
                <w:rFonts w:eastAsia="Calibri"/>
                <w:sz w:val="20"/>
                <w:szCs w:val="20"/>
              </w:rPr>
            </w:pPr>
            <w:r>
              <w:rPr>
                <w:rFonts w:eastAsia="Calibri"/>
                <w:sz w:val="20"/>
                <w:szCs w:val="20"/>
              </w:rPr>
              <w:t>71.7</w:t>
            </w:r>
            <w:r w:rsidRPr="00060295">
              <w:rPr>
                <w:rFonts w:eastAsia="Calibri"/>
                <w:sz w:val="20"/>
                <w:szCs w:val="20"/>
              </w:rPr>
              <w:t>%</w:t>
            </w:r>
          </w:p>
        </w:tc>
      </w:tr>
      <w:tr w:rsidR="002C1FC6" w:rsidRPr="00060295" w14:paraId="35C97B38" w14:textId="77777777" w:rsidTr="003B3AC5">
        <w:tc>
          <w:tcPr>
            <w:tcW w:w="2835" w:type="dxa"/>
            <w:shd w:val="clear" w:color="auto" w:fill="auto"/>
          </w:tcPr>
          <w:p w14:paraId="166B9AC0" w14:textId="77777777" w:rsidR="002C1FC6" w:rsidRPr="00060295" w:rsidRDefault="002C1FC6" w:rsidP="003B3AC5">
            <w:pPr>
              <w:rPr>
                <w:rFonts w:eastAsia="Calibri"/>
                <w:sz w:val="20"/>
                <w:szCs w:val="20"/>
              </w:rPr>
            </w:pPr>
          </w:p>
        </w:tc>
        <w:tc>
          <w:tcPr>
            <w:tcW w:w="2410" w:type="dxa"/>
            <w:shd w:val="clear" w:color="auto" w:fill="auto"/>
            <w:vAlign w:val="center"/>
          </w:tcPr>
          <w:p w14:paraId="391C6814" w14:textId="77777777" w:rsidR="002C1FC6" w:rsidRPr="00060295" w:rsidRDefault="002C1FC6" w:rsidP="003B3AC5">
            <w:pPr>
              <w:rPr>
                <w:rFonts w:eastAsia="Calibri"/>
                <w:sz w:val="20"/>
                <w:szCs w:val="20"/>
              </w:rPr>
            </w:pPr>
            <w:r w:rsidRPr="00060295">
              <w:rPr>
                <w:rFonts w:eastAsia="Calibri"/>
                <w:sz w:val="20"/>
                <w:szCs w:val="20"/>
              </w:rPr>
              <w:t>Other managerial position</w:t>
            </w:r>
          </w:p>
        </w:tc>
        <w:tc>
          <w:tcPr>
            <w:tcW w:w="992" w:type="dxa"/>
            <w:shd w:val="clear" w:color="auto" w:fill="auto"/>
          </w:tcPr>
          <w:p w14:paraId="11D1A72D" w14:textId="77777777" w:rsidR="002C1FC6" w:rsidRPr="0004694C" w:rsidRDefault="002C1FC6" w:rsidP="003B3AC5">
            <w:pPr>
              <w:jc w:val="center"/>
              <w:rPr>
                <w:rFonts w:eastAsia="Calibri"/>
                <w:sz w:val="20"/>
                <w:szCs w:val="20"/>
              </w:rPr>
            </w:pPr>
            <w:r>
              <w:rPr>
                <w:rFonts w:eastAsia="Calibri"/>
                <w:sz w:val="20"/>
                <w:szCs w:val="20"/>
              </w:rPr>
              <w:t>24</w:t>
            </w:r>
          </w:p>
        </w:tc>
        <w:tc>
          <w:tcPr>
            <w:tcW w:w="993" w:type="dxa"/>
            <w:shd w:val="clear" w:color="auto" w:fill="auto"/>
          </w:tcPr>
          <w:p w14:paraId="33073002" w14:textId="77777777" w:rsidR="002C1FC6" w:rsidRPr="00060295" w:rsidRDefault="002C1FC6" w:rsidP="003B3AC5">
            <w:pPr>
              <w:jc w:val="right"/>
              <w:rPr>
                <w:rFonts w:eastAsia="Calibri"/>
                <w:sz w:val="20"/>
                <w:szCs w:val="20"/>
              </w:rPr>
            </w:pPr>
            <w:r>
              <w:rPr>
                <w:rFonts w:eastAsia="Calibri"/>
                <w:sz w:val="20"/>
                <w:szCs w:val="20"/>
              </w:rPr>
              <w:t>28</w:t>
            </w:r>
            <w:r w:rsidRPr="00060295">
              <w:rPr>
                <w:rFonts w:eastAsia="Calibri"/>
                <w:sz w:val="20"/>
                <w:szCs w:val="20"/>
              </w:rPr>
              <w:t>.3%</w:t>
            </w:r>
          </w:p>
        </w:tc>
      </w:tr>
      <w:tr w:rsidR="002C1FC6" w:rsidRPr="006107BE" w14:paraId="214F7065" w14:textId="77777777" w:rsidTr="003B3AC5">
        <w:tc>
          <w:tcPr>
            <w:tcW w:w="2835" w:type="dxa"/>
            <w:shd w:val="clear" w:color="auto" w:fill="auto"/>
          </w:tcPr>
          <w:p w14:paraId="0D88D98E" w14:textId="77777777" w:rsidR="002C1FC6" w:rsidRPr="006107BE" w:rsidRDefault="002C1FC6" w:rsidP="003B3AC5">
            <w:pPr>
              <w:rPr>
                <w:rFonts w:eastAsia="Calibri"/>
                <w:sz w:val="8"/>
                <w:szCs w:val="8"/>
              </w:rPr>
            </w:pPr>
          </w:p>
        </w:tc>
        <w:tc>
          <w:tcPr>
            <w:tcW w:w="2410" w:type="dxa"/>
            <w:shd w:val="clear" w:color="auto" w:fill="auto"/>
            <w:vAlign w:val="center"/>
          </w:tcPr>
          <w:p w14:paraId="560ED7A1" w14:textId="77777777" w:rsidR="002C1FC6" w:rsidRPr="006107BE" w:rsidRDefault="002C1FC6" w:rsidP="003B3AC5">
            <w:pPr>
              <w:rPr>
                <w:rFonts w:eastAsia="Calibri"/>
                <w:sz w:val="8"/>
                <w:szCs w:val="8"/>
              </w:rPr>
            </w:pPr>
          </w:p>
        </w:tc>
        <w:tc>
          <w:tcPr>
            <w:tcW w:w="992" w:type="dxa"/>
            <w:shd w:val="clear" w:color="auto" w:fill="auto"/>
          </w:tcPr>
          <w:p w14:paraId="12731A6D" w14:textId="77777777" w:rsidR="002C1FC6" w:rsidRPr="006107BE" w:rsidRDefault="002C1FC6" w:rsidP="003B3AC5">
            <w:pPr>
              <w:jc w:val="center"/>
              <w:rPr>
                <w:rFonts w:eastAsia="Calibri"/>
                <w:sz w:val="8"/>
                <w:szCs w:val="8"/>
              </w:rPr>
            </w:pPr>
          </w:p>
        </w:tc>
        <w:tc>
          <w:tcPr>
            <w:tcW w:w="993" w:type="dxa"/>
            <w:shd w:val="clear" w:color="auto" w:fill="auto"/>
          </w:tcPr>
          <w:p w14:paraId="64C98064" w14:textId="77777777" w:rsidR="002C1FC6" w:rsidRPr="006107BE" w:rsidRDefault="002C1FC6" w:rsidP="003B3AC5">
            <w:pPr>
              <w:jc w:val="right"/>
              <w:rPr>
                <w:rFonts w:eastAsia="Calibri"/>
                <w:sz w:val="8"/>
                <w:szCs w:val="8"/>
              </w:rPr>
            </w:pPr>
          </w:p>
        </w:tc>
      </w:tr>
      <w:tr w:rsidR="002C1FC6" w:rsidRPr="00060295" w14:paraId="5D6911D4" w14:textId="77777777" w:rsidTr="003B3AC5">
        <w:tc>
          <w:tcPr>
            <w:tcW w:w="2835" w:type="dxa"/>
            <w:shd w:val="clear" w:color="auto" w:fill="auto"/>
            <w:vAlign w:val="center"/>
          </w:tcPr>
          <w:p w14:paraId="7F979406" w14:textId="77777777" w:rsidR="002C1FC6" w:rsidRPr="00060295" w:rsidRDefault="002C1FC6" w:rsidP="003B3AC5">
            <w:pPr>
              <w:rPr>
                <w:rFonts w:eastAsia="Calibri"/>
                <w:sz w:val="20"/>
                <w:szCs w:val="20"/>
              </w:rPr>
            </w:pPr>
            <w:r w:rsidRPr="00060295">
              <w:rPr>
                <w:rFonts w:eastAsia="Calibri"/>
                <w:sz w:val="20"/>
                <w:szCs w:val="20"/>
              </w:rPr>
              <w:t>Age of respondents (in years)</w:t>
            </w:r>
          </w:p>
        </w:tc>
        <w:tc>
          <w:tcPr>
            <w:tcW w:w="2410" w:type="dxa"/>
            <w:shd w:val="clear" w:color="auto" w:fill="auto"/>
            <w:vAlign w:val="center"/>
          </w:tcPr>
          <w:p w14:paraId="7516B95D" w14:textId="77777777" w:rsidR="002C1FC6" w:rsidRPr="00060295" w:rsidRDefault="002C1FC6" w:rsidP="003B3AC5">
            <w:pPr>
              <w:rPr>
                <w:rFonts w:eastAsia="Calibri"/>
                <w:sz w:val="20"/>
                <w:szCs w:val="20"/>
              </w:rPr>
            </w:pPr>
            <w:r w:rsidRPr="00060295">
              <w:rPr>
                <w:rFonts w:eastAsia="Calibri"/>
                <w:sz w:val="20"/>
                <w:szCs w:val="20"/>
              </w:rPr>
              <w:t>21–30</w:t>
            </w:r>
          </w:p>
        </w:tc>
        <w:tc>
          <w:tcPr>
            <w:tcW w:w="992" w:type="dxa"/>
            <w:shd w:val="clear" w:color="auto" w:fill="auto"/>
            <w:vAlign w:val="center"/>
          </w:tcPr>
          <w:p w14:paraId="03D2297D" w14:textId="77777777" w:rsidR="002C1FC6" w:rsidRPr="0004694C" w:rsidRDefault="002C1FC6" w:rsidP="003B3AC5">
            <w:pPr>
              <w:jc w:val="center"/>
              <w:rPr>
                <w:rFonts w:eastAsia="Calibri"/>
                <w:sz w:val="20"/>
                <w:szCs w:val="20"/>
              </w:rPr>
            </w:pPr>
            <w:r w:rsidRPr="00060295">
              <w:rPr>
                <w:rFonts w:eastAsia="Calibri"/>
                <w:sz w:val="20"/>
                <w:szCs w:val="20"/>
              </w:rPr>
              <w:t>4</w:t>
            </w:r>
            <w:r>
              <w:rPr>
                <w:rFonts w:eastAsia="Calibri"/>
                <w:sz w:val="20"/>
                <w:szCs w:val="20"/>
              </w:rPr>
              <w:t>6</w:t>
            </w:r>
          </w:p>
        </w:tc>
        <w:tc>
          <w:tcPr>
            <w:tcW w:w="993" w:type="dxa"/>
            <w:shd w:val="clear" w:color="auto" w:fill="auto"/>
            <w:vAlign w:val="center"/>
          </w:tcPr>
          <w:p w14:paraId="308E47E6" w14:textId="77777777" w:rsidR="002C1FC6" w:rsidRPr="00060295" w:rsidRDefault="002C1FC6" w:rsidP="003B3AC5">
            <w:pPr>
              <w:jc w:val="right"/>
              <w:rPr>
                <w:rFonts w:eastAsia="Calibri"/>
                <w:sz w:val="20"/>
                <w:szCs w:val="20"/>
              </w:rPr>
            </w:pPr>
            <w:r>
              <w:rPr>
                <w:rFonts w:eastAsia="Calibri"/>
                <w:sz w:val="20"/>
                <w:szCs w:val="20"/>
              </w:rPr>
              <w:t>54</w:t>
            </w:r>
            <w:r w:rsidRPr="00060295">
              <w:rPr>
                <w:rFonts w:eastAsia="Calibri"/>
                <w:sz w:val="20"/>
                <w:szCs w:val="20"/>
              </w:rPr>
              <w:t>.</w:t>
            </w:r>
            <w:r>
              <w:rPr>
                <w:rFonts w:eastAsia="Calibri"/>
                <w:sz w:val="20"/>
                <w:szCs w:val="20"/>
              </w:rPr>
              <w:t>1</w:t>
            </w:r>
            <w:r w:rsidRPr="00060295">
              <w:rPr>
                <w:rFonts w:eastAsia="Calibri"/>
                <w:sz w:val="20"/>
                <w:szCs w:val="20"/>
              </w:rPr>
              <w:t>%</w:t>
            </w:r>
          </w:p>
        </w:tc>
      </w:tr>
      <w:tr w:rsidR="002C1FC6" w:rsidRPr="00060295" w14:paraId="19D890B4" w14:textId="77777777" w:rsidTr="003B3AC5">
        <w:tc>
          <w:tcPr>
            <w:tcW w:w="2835" w:type="dxa"/>
            <w:shd w:val="clear" w:color="auto" w:fill="auto"/>
            <w:vAlign w:val="center"/>
          </w:tcPr>
          <w:p w14:paraId="22DDD29A" w14:textId="77777777" w:rsidR="002C1FC6" w:rsidRPr="00060295" w:rsidRDefault="002C1FC6" w:rsidP="003B3AC5">
            <w:pPr>
              <w:rPr>
                <w:rFonts w:eastAsia="Calibri"/>
                <w:sz w:val="20"/>
                <w:szCs w:val="20"/>
              </w:rPr>
            </w:pPr>
          </w:p>
        </w:tc>
        <w:tc>
          <w:tcPr>
            <w:tcW w:w="2410" w:type="dxa"/>
            <w:shd w:val="clear" w:color="auto" w:fill="auto"/>
            <w:vAlign w:val="center"/>
          </w:tcPr>
          <w:p w14:paraId="32E51698" w14:textId="77777777" w:rsidR="002C1FC6" w:rsidRPr="00060295" w:rsidRDefault="002C1FC6" w:rsidP="003B3AC5">
            <w:pPr>
              <w:rPr>
                <w:rFonts w:eastAsia="Calibri"/>
                <w:sz w:val="20"/>
                <w:szCs w:val="20"/>
              </w:rPr>
            </w:pPr>
            <w:r w:rsidRPr="00060295">
              <w:rPr>
                <w:rFonts w:eastAsia="Calibri"/>
                <w:sz w:val="20"/>
                <w:szCs w:val="20"/>
              </w:rPr>
              <w:t>31–40</w:t>
            </w:r>
          </w:p>
        </w:tc>
        <w:tc>
          <w:tcPr>
            <w:tcW w:w="992" w:type="dxa"/>
            <w:shd w:val="clear" w:color="auto" w:fill="auto"/>
            <w:vAlign w:val="center"/>
          </w:tcPr>
          <w:p w14:paraId="19A084FC" w14:textId="77777777" w:rsidR="002C1FC6" w:rsidRPr="0004694C" w:rsidRDefault="002C1FC6" w:rsidP="003B3AC5">
            <w:pPr>
              <w:jc w:val="center"/>
              <w:rPr>
                <w:rFonts w:eastAsia="Calibri"/>
                <w:sz w:val="20"/>
                <w:szCs w:val="20"/>
              </w:rPr>
            </w:pPr>
            <w:r>
              <w:rPr>
                <w:rFonts w:eastAsia="Calibri"/>
                <w:sz w:val="20"/>
                <w:szCs w:val="20"/>
              </w:rPr>
              <w:t>29</w:t>
            </w:r>
          </w:p>
        </w:tc>
        <w:tc>
          <w:tcPr>
            <w:tcW w:w="993" w:type="dxa"/>
            <w:shd w:val="clear" w:color="auto" w:fill="auto"/>
            <w:vAlign w:val="center"/>
          </w:tcPr>
          <w:p w14:paraId="3E1A8120" w14:textId="77777777" w:rsidR="002C1FC6" w:rsidRPr="00060295" w:rsidRDefault="002C1FC6" w:rsidP="003B3AC5">
            <w:pPr>
              <w:jc w:val="right"/>
              <w:rPr>
                <w:rFonts w:eastAsia="Calibri"/>
                <w:sz w:val="20"/>
                <w:szCs w:val="20"/>
              </w:rPr>
            </w:pPr>
            <w:r w:rsidRPr="00060295">
              <w:rPr>
                <w:rFonts w:eastAsia="Calibri"/>
                <w:sz w:val="20"/>
                <w:szCs w:val="20"/>
              </w:rPr>
              <w:t>3</w:t>
            </w:r>
            <w:r>
              <w:rPr>
                <w:rFonts w:eastAsia="Calibri"/>
                <w:sz w:val="20"/>
                <w:szCs w:val="20"/>
              </w:rPr>
              <w:t>4</w:t>
            </w:r>
            <w:r w:rsidRPr="00060295">
              <w:rPr>
                <w:rFonts w:eastAsia="Calibri"/>
                <w:sz w:val="20"/>
                <w:szCs w:val="20"/>
              </w:rPr>
              <w:t>.</w:t>
            </w:r>
            <w:r>
              <w:rPr>
                <w:rFonts w:eastAsia="Calibri"/>
                <w:sz w:val="20"/>
                <w:szCs w:val="20"/>
              </w:rPr>
              <w:t>1</w:t>
            </w:r>
            <w:r w:rsidRPr="00060295">
              <w:rPr>
                <w:rFonts w:eastAsia="Calibri"/>
                <w:sz w:val="20"/>
                <w:szCs w:val="20"/>
              </w:rPr>
              <w:t>%</w:t>
            </w:r>
          </w:p>
        </w:tc>
      </w:tr>
      <w:tr w:rsidR="002C1FC6" w:rsidRPr="00060295" w14:paraId="6A63C965" w14:textId="77777777" w:rsidTr="003B3AC5">
        <w:tc>
          <w:tcPr>
            <w:tcW w:w="2835" w:type="dxa"/>
            <w:shd w:val="clear" w:color="auto" w:fill="auto"/>
            <w:vAlign w:val="center"/>
          </w:tcPr>
          <w:p w14:paraId="24340855" w14:textId="77777777" w:rsidR="002C1FC6" w:rsidRPr="00060295" w:rsidRDefault="002C1FC6" w:rsidP="003B3AC5">
            <w:pPr>
              <w:rPr>
                <w:rFonts w:eastAsia="Calibri"/>
                <w:sz w:val="20"/>
                <w:szCs w:val="20"/>
              </w:rPr>
            </w:pPr>
          </w:p>
        </w:tc>
        <w:tc>
          <w:tcPr>
            <w:tcW w:w="2410" w:type="dxa"/>
            <w:shd w:val="clear" w:color="auto" w:fill="auto"/>
            <w:vAlign w:val="center"/>
          </w:tcPr>
          <w:p w14:paraId="7B306E88" w14:textId="77777777" w:rsidR="002C1FC6" w:rsidRPr="00060295" w:rsidRDefault="002C1FC6" w:rsidP="003B3AC5">
            <w:pPr>
              <w:rPr>
                <w:rFonts w:eastAsia="Calibri"/>
                <w:sz w:val="20"/>
                <w:szCs w:val="20"/>
              </w:rPr>
            </w:pPr>
            <w:r w:rsidRPr="00060295">
              <w:rPr>
                <w:rFonts w:eastAsia="Calibri"/>
                <w:sz w:val="20"/>
                <w:szCs w:val="20"/>
              </w:rPr>
              <w:t>41–50</w:t>
            </w:r>
          </w:p>
        </w:tc>
        <w:tc>
          <w:tcPr>
            <w:tcW w:w="992" w:type="dxa"/>
            <w:shd w:val="clear" w:color="auto" w:fill="auto"/>
            <w:vAlign w:val="center"/>
          </w:tcPr>
          <w:p w14:paraId="0C0D4674" w14:textId="77777777" w:rsidR="002C1FC6" w:rsidRPr="0004694C" w:rsidRDefault="002C1FC6" w:rsidP="003B3AC5">
            <w:pPr>
              <w:jc w:val="center"/>
              <w:rPr>
                <w:rFonts w:eastAsia="Calibri"/>
                <w:sz w:val="20"/>
                <w:szCs w:val="20"/>
              </w:rPr>
            </w:pPr>
            <w:r>
              <w:rPr>
                <w:rFonts w:eastAsia="Calibri"/>
                <w:sz w:val="20"/>
                <w:szCs w:val="20"/>
              </w:rPr>
              <w:t>10</w:t>
            </w:r>
          </w:p>
        </w:tc>
        <w:tc>
          <w:tcPr>
            <w:tcW w:w="993" w:type="dxa"/>
            <w:shd w:val="clear" w:color="auto" w:fill="auto"/>
            <w:vAlign w:val="center"/>
          </w:tcPr>
          <w:p w14:paraId="74548AF5" w14:textId="77777777" w:rsidR="002C1FC6" w:rsidRPr="00060295" w:rsidRDefault="002C1FC6" w:rsidP="003B3AC5">
            <w:pPr>
              <w:jc w:val="right"/>
              <w:rPr>
                <w:rFonts w:eastAsia="Calibri"/>
                <w:sz w:val="20"/>
                <w:szCs w:val="20"/>
              </w:rPr>
            </w:pPr>
            <w:r>
              <w:rPr>
                <w:rFonts w:eastAsia="Calibri"/>
                <w:sz w:val="20"/>
                <w:szCs w:val="20"/>
              </w:rPr>
              <w:t>11</w:t>
            </w:r>
            <w:r w:rsidRPr="00060295">
              <w:rPr>
                <w:rFonts w:eastAsia="Calibri"/>
                <w:sz w:val="20"/>
                <w:szCs w:val="20"/>
              </w:rPr>
              <w:t>.</w:t>
            </w:r>
            <w:r>
              <w:rPr>
                <w:rFonts w:eastAsia="Calibri"/>
                <w:sz w:val="20"/>
                <w:szCs w:val="20"/>
              </w:rPr>
              <w:t>8</w:t>
            </w:r>
            <w:r w:rsidRPr="00060295">
              <w:rPr>
                <w:rFonts w:eastAsia="Calibri"/>
                <w:sz w:val="20"/>
                <w:szCs w:val="20"/>
              </w:rPr>
              <w:t>%</w:t>
            </w:r>
          </w:p>
        </w:tc>
      </w:tr>
      <w:tr w:rsidR="002C1FC6" w:rsidRPr="006107BE" w14:paraId="1A0BD1D1" w14:textId="77777777" w:rsidTr="003B3AC5">
        <w:tc>
          <w:tcPr>
            <w:tcW w:w="2835" w:type="dxa"/>
            <w:shd w:val="clear" w:color="auto" w:fill="auto"/>
            <w:vAlign w:val="center"/>
          </w:tcPr>
          <w:p w14:paraId="11321337" w14:textId="77777777" w:rsidR="002C1FC6" w:rsidRPr="006107BE" w:rsidRDefault="002C1FC6" w:rsidP="003B3AC5">
            <w:pPr>
              <w:rPr>
                <w:rFonts w:eastAsia="Calibri"/>
                <w:sz w:val="8"/>
                <w:szCs w:val="8"/>
              </w:rPr>
            </w:pPr>
          </w:p>
        </w:tc>
        <w:tc>
          <w:tcPr>
            <w:tcW w:w="2410" w:type="dxa"/>
            <w:shd w:val="clear" w:color="auto" w:fill="auto"/>
            <w:vAlign w:val="center"/>
          </w:tcPr>
          <w:p w14:paraId="4917F18F" w14:textId="77777777" w:rsidR="002C1FC6" w:rsidRPr="006107BE" w:rsidRDefault="002C1FC6" w:rsidP="003B3AC5">
            <w:pPr>
              <w:rPr>
                <w:rFonts w:eastAsia="Calibri"/>
                <w:sz w:val="8"/>
                <w:szCs w:val="8"/>
              </w:rPr>
            </w:pPr>
          </w:p>
        </w:tc>
        <w:tc>
          <w:tcPr>
            <w:tcW w:w="992" w:type="dxa"/>
            <w:shd w:val="clear" w:color="auto" w:fill="auto"/>
            <w:vAlign w:val="center"/>
          </w:tcPr>
          <w:p w14:paraId="369AC6DA" w14:textId="77777777" w:rsidR="002C1FC6" w:rsidRPr="006107BE" w:rsidRDefault="002C1FC6" w:rsidP="003B3AC5">
            <w:pPr>
              <w:jc w:val="center"/>
              <w:rPr>
                <w:rFonts w:eastAsia="Calibri"/>
                <w:sz w:val="8"/>
                <w:szCs w:val="8"/>
              </w:rPr>
            </w:pPr>
          </w:p>
        </w:tc>
        <w:tc>
          <w:tcPr>
            <w:tcW w:w="993" w:type="dxa"/>
            <w:shd w:val="clear" w:color="auto" w:fill="auto"/>
            <w:vAlign w:val="center"/>
          </w:tcPr>
          <w:p w14:paraId="6ACB731B" w14:textId="77777777" w:rsidR="002C1FC6" w:rsidRPr="006107BE" w:rsidRDefault="002C1FC6" w:rsidP="003B3AC5">
            <w:pPr>
              <w:jc w:val="right"/>
              <w:rPr>
                <w:rFonts w:eastAsia="Calibri"/>
                <w:sz w:val="8"/>
                <w:szCs w:val="8"/>
              </w:rPr>
            </w:pPr>
          </w:p>
        </w:tc>
      </w:tr>
      <w:tr w:rsidR="002C1FC6" w:rsidRPr="00060295" w14:paraId="588B2BA6" w14:textId="77777777" w:rsidTr="003B3AC5">
        <w:tc>
          <w:tcPr>
            <w:tcW w:w="2835" w:type="dxa"/>
            <w:tcBorders>
              <w:bottom w:val="single" w:sz="4" w:space="0" w:color="auto"/>
            </w:tcBorders>
            <w:shd w:val="clear" w:color="auto" w:fill="auto"/>
          </w:tcPr>
          <w:p w14:paraId="527CEDE8" w14:textId="77777777" w:rsidR="002C1FC6" w:rsidRPr="00060295" w:rsidRDefault="002C1FC6" w:rsidP="003B3AC5">
            <w:pPr>
              <w:rPr>
                <w:rFonts w:eastAsia="Calibri"/>
                <w:sz w:val="20"/>
                <w:szCs w:val="20"/>
              </w:rPr>
            </w:pPr>
            <w:r w:rsidRPr="00060295">
              <w:rPr>
                <w:rFonts w:eastAsia="Calibri"/>
                <w:sz w:val="20"/>
                <w:szCs w:val="20"/>
              </w:rPr>
              <w:t>Professional experience</w:t>
            </w:r>
          </w:p>
        </w:tc>
        <w:tc>
          <w:tcPr>
            <w:tcW w:w="2410" w:type="dxa"/>
            <w:tcBorders>
              <w:bottom w:val="single" w:sz="4" w:space="0" w:color="auto"/>
            </w:tcBorders>
            <w:shd w:val="clear" w:color="auto" w:fill="auto"/>
            <w:vAlign w:val="center"/>
          </w:tcPr>
          <w:p w14:paraId="1DBFB2DA" w14:textId="77777777" w:rsidR="002C1FC6" w:rsidRPr="00060295" w:rsidRDefault="002C1FC6" w:rsidP="003B3AC5">
            <w:pPr>
              <w:rPr>
                <w:rFonts w:eastAsia="Calibri"/>
                <w:sz w:val="20"/>
                <w:szCs w:val="20"/>
              </w:rPr>
            </w:pPr>
            <w:r w:rsidRPr="00060295">
              <w:rPr>
                <w:rFonts w:eastAsia="Calibri"/>
                <w:sz w:val="20"/>
                <w:szCs w:val="20"/>
              </w:rPr>
              <w:t>&gt;5 years</w:t>
            </w:r>
          </w:p>
        </w:tc>
        <w:tc>
          <w:tcPr>
            <w:tcW w:w="992" w:type="dxa"/>
            <w:tcBorders>
              <w:bottom w:val="single" w:sz="4" w:space="0" w:color="auto"/>
            </w:tcBorders>
            <w:shd w:val="clear" w:color="auto" w:fill="auto"/>
          </w:tcPr>
          <w:p w14:paraId="5E3D194E" w14:textId="77777777" w:rsidR="002C1FC6" w:rsidRPr="00060295" w:rsidRDefault="002C1FC6" w:rsidP="003B3AC5">
            <w:pPr>
              <w:jc w:val="center"/>
              <w:rPr>
                <w:rFonts w:eastAsia="Calibri"/>
                <w:sz w:val="20"/>
                <w:szCs w:val="20"/>
              </w:rPr>
            </w:pPr>
            <w:r w:rsidRPr="00060295">
              <w:rPr>
                <w:rFonts w:eastAsia="Calibri"/>
                <w:sz w:val="20"/>
                <w:szCs w:val="20"/>
              </w:rPr>
              <w:t>134</w:t>
            </w:r>
          </w:p>
        </w:tc>
        <w:tc>
          <w:tcPr>
            <w:tcW w:w="993" w:type="dxa"/>
            <w:tcBorders>
              <w:bottom w:val="single" w:sz="4" w:space="0" w:color="auto"/>
            </w:tcBorders>
            <w:shd w:val="clear" w:color="auto" w:fill="auto"/>
          </w:tcPr>
          <w:p w14:paraId="6900A372" w14:textId="77777777" w:rsidR="002C1FC6" w:rsidRPr="00060295" w:rsidRDefault="002C1FC6" w:rsidP="003B3AC5">
            <w:pPr>
              <w:jc w:val="right"/>
              <w:rPr>
                <w:rFonts w:eastAsia="Calibri"/>
                <w:sz w:val="20"/>
                <w:szCs w:val="20"/>
              </w:rPr>
            </w:pPr>
            <w:r w:rsidRPr="00060295">
              <w:rPr>
                <w:rFonts w:eastAsia="Calibri"/>
                <w:sz w:val="20"/>
                <w:szCs w:val="20"/>
              </w:rPr>
              <w:t>100%</w:t>
            </w:r>
          </w:p>
        </w:tc>
      </w:tr>
    </w:tbl>
    <w:p w14:paraId="6E1653F9" w14:textId="77777777" w:rsidR="002C1FC6" w:rsidRDefault="002C1FC6" w:rsidP="002C1FC6">
      <w:pPr>
        <w:tabs>
          <w:tab w:val="left" w:pos="284"/>
        </w:tabs>
        <w:jc w:val="both"/>
      </w:pPr>
    </w:p>
    <w:p w14:paraId="69A05B09" w14:textId="77777777" w:rsidR="002C1FC6" w:rsidRDefault="002C1FC6" w:rsidP="002C1FC6">
      <w:pPr>
        <w:tabs>
          <w:tab w:val="left" w:pos="284"/>
        </w:tabs>
        <w:jc w:val="both"/>
        <w:rPr>
          <w:b/>
          <w:color w:val="000000" w:themeColor="text1"/>
        </w:rPr>
      </w:pPr>
    </w:p>
    <w:p w14:paraId="47D1518B" w14:textId="77777777" w:rsidR="002C1FC6" w:rsidRDefault="002C1FC6" w:rsidP="002C1FC6">
      <w:pPr>
        <w:tabs>
          <w:tab w:val="left" w:pos="284"/>
        </w:tabs>
        <w:jc w:val="both"/>
        <w:rPr>
          <w:b/>
          <w:color w:val="000000" w:themeColor="text1"/>
        </w:rPr>
      </w:pPr>
      <w:r>
        <w:rPr>
          <w:b/>
          <w:color w:val="000000" w:themeColor="text1"/>
        </w:rPr>
        <w:t>A2</w:t>
      </w:r>
      <w:r w:rsidRPr="004F28E7">
        <w:rPr>
          <w:b/>
          <w:color w:val="000000" w:themeColor="text1"/>
        </w:rPr>
        <w:t xml:space="preserve"> – </w:t>
      </w:r>
      <w:r>
        <w:rPr>
          <w:b/>
          <w:color w:val="000000" w:themeColor="text1"/>
        </w:rPr>
        <w:t>Main s</w:t>
      </w:r>
      <w:r w:rsidRPr="004F28E7">
        <w:rPr>
          <w:b/>
          <w:color w:val="000000" w:themeColor="text1"/>
        </w:rPr>
        <w:t xml:space="preserve">urvey </w:t>
      </w:r>
      <w:r>
        <w:rPr>
          <w:b/>
          <w:color w:val="000000" w:themeColor="text1"/>
        </w:rPr>
        <w:t>- S</w:t>
      </w:r>
      <w:r w:rsidRPr="004F28E7">
        <w:rPr>
          <w:b/>
          <w:color w:val="000000" w:themeColor="text1"/>
        </w:rPr>
        <w:t>ample characteristics</w:t>
      </w:r>
    </w:p>
    <w:tbl>
      <w:tblPr>
        <w:tblStyle w:val="PlainTable31"/>
        <w:tblW w:w="0" w:type="auto"/>
        <w:tblLook w:val="04A0" w:firstRow="1" w:lastRow="0" w:firstColumn="1" w:lastColumn="0" w:noHBand="0" w:noVBand="1"/>
      </w:tblPr>
      <w:tblGrid>
        <w:gridCol w:w="2660"/>
        <w:gridCol w:w="2693"/>
        <w:gridCol w:w="918"/>
        <w:gridCol w:w="907"/>
      </w:tblGrid>
      <w:tr w:rsidR="002C1FC6" w:rsidRPr="0086162F" w14:paraId="53F48FA7" w14:textId="77777777" w:rsidTr="003B3A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shd w:val="clear" w:color="auto" w:fill="auto"/>
          </w:tcPr>
          <w:p w14:paraId="44322334" w14:textId="77777777" w:rsidR="002C1FC6" w:rsidRPr="0086162F" w:rsidRDefault="002C1FC6" w:rsidP="003B3AC5">
            <w:pPr>
              <w:tabs>
                <w:tab w:val="left" w:pos="284"/>
              </w:tabs>
              <w:jc w:val="both"/>
              <w:rPr>
                <w:b w:val="0"/>
                <w:sz w:val="20"/>
              </w:rPr>
            </w:pPr>
          </w:p>
        </w:tc>
        <w:tc>
          <w:tcPr>
            <w:tcW w:w="2693" w:type="dxa"/>
            <w:shd w:val="clear" w:color="auto" w:fill="auto"/>
          </w:tcPr>
          <w:p w14:paraId="527D5656" w14:textId="77777777" w:rsidR="002C1FC6" w:rsidRPr="0086162F" w:rsidRDefault="002C1FC6" w:rsidP="003B3AC5">
            <w:pPr>
              <w:tabs>
                <w:tab w:val="left" w:pos="284"/>
              </w:tabs>
              <w:spacing w:before="40" w:after="40"/>
              <w:jc w:val="both"/>
              <w:cnfStyle w:val="100000000000" w:firstRow="1" w:lastRow="0" w:firstColumn="0" w:lastColumn="0" w:oddVBand="0" w:evenVBand="0" w:oddHBand="0" w:evenHBand="0" w:firstRowFirstColumn="0" w:firstRowLastColumn="0" w:lastRowFirstColumn="0" w:lastRowLastColumn="0"/>
              <w:rPr>
                <w:b w:val="0"/>
                <w:sz w:val="20"/>
              </w:rPr>
            </w:pPr>
          </w:p>
        </w:tc>
        <w:tc>
          <w:tcPr>
            <w:tcW w:w="907" w:type="dxa"/>
            <w:shd w:val="clear" w:color="auto" w:fill="auto"/>
          </w:tcPr>
          <w:p w14:paraId="2D65EFEB" w14:textId="77777777" w:rsidR="002C1FC6" w:rsidRPr="006107BE" w:rsidRDefault="002C1FC6" w:rsidP="003B3AC5">
            <w:pPr>
              <w:tabs>
                <w:tab w:val="left" w:pos="284"/>
              </w:tabs>
              <w:spacing w:before="40" w:after="40"/>
              <w:jc w:val="center"/>
              <w:cnfStyle w:val="100000000000" w:firstRow="1" w:lastRow="0" w:firstColumn="0" w:lastColumn="0" w:oddVBand="0" w:evenVBand="0" w:oddHBand="0" w:evenHBand="0" w:firstRowFirstColumn="0" w:firstRowLastColumn="0" w:lastRowFirstColumn="0" w:lastRowLastColumn="0"/>
              <w:rPr>
                <w:i/>
                <w:iCs/>
                <w:sz w:val="20"/>
              </w:rPr>
            </w:pPr>
            <w:r w:rsidRPr="006107BE">
              <w:rPr>
                <w:b w:val="0"/>
                <w:i/>
                <w:iCs/>
                <w:sz w:val="20"/>
              </w:rPr>
              <w:t>(N=245)</w:t>
            </w:r>
          </w:p>
        </w:tc>
        <w:tc>
          <w:tcPr>
            <w:tcW w:w="907" w:type="dxa"/>
            <w:shd w:val="clear" w:color="auto" w:fill="auto"/>
          </w:tcPr>
          <w:p w14:paraId="3AB1D992" w14:textId="77777777" w:rsidR="002C1FC6" w:rsidRPr="006107BE" w:rsidRDefault="002C1FC6" w:rsidP="003B3AC5">
            <w:pPr>
              <w:spacing w:before="40" w:after="40"/>
              <w:jc w:val="right"/>
              <w:cnfStyle w:val="100000000000" w:firstRow="1" w:lastRow="0" w:firstColumn="0" w:lastColumn="0" w:oddVBand="0" w:evenVBand="0" w:oddHBand="0" w:evenHBand="0" w:firstRowFirstColumn="0" w:firstRowLastColumn="0" w:lastRowFirstColumn="0" w:lastRowLastColumn="0"/>
              <w:rPr>
                <w:b w:val="0"/>
                <w:bCs w:val="0"/>
                <w:sz w:val="20"/>
              </w:rPr>
            </w:pPr>
            <w:r w:rsidRPr="006107BE">
              <w:rPr>
                <w:rFonts w:eastAsia="Calibri"/>
                <w:b w:val="0"/>
                <w:bCs w:val="0"/>
                <w:sz w:val="20"/>
                <w:szCs w:val="20"/>
              </w:rPr>
              <w:t>%</w:t>
            </w:r>
          </w:p>
        </w:tc>
      </w:tr>
      <w:tr w:rsidR="002C1FC6" w:rsidRPr="0086162F" w14:paraId="43299B96" w14:textId="77777777" w:rsidTr="003B3A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6837DCCC" w14:textId="77777777" w:rsidR="002C1FC6" w:rsidRPr="0086162F" w:rsidRDefault="002C1FC6" w:rsidP="003B3AC5">
            <w:pPr>
              <w:tabs>
                <w:tab w:val="left" w:pos="284"/>
              </w:tabs>
              <w:jc w:val="both"/>
              <w:rPr>
                <w:b w:val="0"/>
                <w:sz w:val="20"/>
                <w:szCs w:val="20"/>
              </w:rPr>
            </w:pPr>
            <w:r w:rsidRPr="0086162F">
              <w:rPr>
                <w:b w:val="0"/>
                <w:caps w:val="0"/>
                <w:sz w:val="20"/>
                <w:szCs w:val="20"/>
              </w:rPr>
              <w:t xml:space="preserve">Market </w:t>
            </w:r>
            <w:r w:rsidRPr="0086162F">
              <w:rPr>
                <w:caps w:val="0"/>
                <w:color w:val="000000" w:themeColor="text1"/>
                <w:sz w:val="20"/>
                <w:szCs w:val="20"/>
              </w:rPr>
              <w:t xml:space="preserve"> </w:t>
            </w:r>
          </w:p>
        </w:tc>
        <w:tc>
          <w:tcPr>
            <w:tcW w:w="2693" w:type="dxa"/>
            <w:shd w:val="clear" w:color="auto" w:fill="auto"/>
          </w:tcPr>
          <w:p w14:paraId="421E63DD"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B2C</w:t>
            </w:r>
          </w:p>
        </w:tc>
        <w:tc>
          <w:tcPr>
            <w:tcW w:w="907" w:type="dxa"/>
            <w:shd w:val="clear" w:color="auto" w:fill="auto"/>
          </w:tcPr>
          <w:p w14:paraId="22E9E263" w14:textId="77777777" w:rsidR="002C1FC6" w:rsidRPr="0086162F"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w:t>
            </w:r>
          </w:p>
        </w:tc>
        <w:tc>
          <w:tcPr>
            <w:tcW w:w="907" w:type="dxa"/>
            <w:shd w:val="clear" w:color="auto" w:fill="auto"/>
          </w:tcPr>
          <w:p w14:paraId="019EC649"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40.</w:t>
            </w:r>
            <w:r>
              <w:rPr>
                <w:sz w:val="20"/>
                <w:szCs w:val="20"/>
              </w:rPr>
              <w:t>0</w:t>
            </w:r>
            <w:r w:rsidRPr="0086162F">
              <w:rPr>
                <w:sz w:val="20"/>
                <w:szCs w:val="20"/>
              </w:rPr>
              <w:t>%</w:t>
            </w:r>
          </w:p>
        </w:tc>
      </w:tr>
      <w:tr w:rsidR="002C1FC6" w:rsidRPr="0086162F" w14:paraId="381EC521"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2E42A4C2" w14:textId="77777777" w:rsidR="002C1FC6" w:rsidRPr="0086162F" w:rsidRDefault="002C1FC6" w:rsidP="003B3AC5">
            <w:pPr>
              <w:tabs>
                <w:tab w:val="left" w:pos="284"/>
              </w:tabs>
              <w:jc w:val="both"/>
              <w:rPr>
                <w:b w:val="0"/>
                <w:sz w:val="20"/>
                <w:szCs w:val="20"/>
              </w:rPr>
            </w:pPr>
          </w:p>
        </w:tc>
        <w:tc>
          <w:tcPr>
            <w:tcW w:w="2693" w:type="dxa"/>
            <w:shd w:val="clear" w:color="auto" w:fill="auto"/>
          </w:tcPr>
          <w:p w14:paraId="4DB76E8F"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B2B</w:t>
            </w:r>
          </w:p>
        </w:tc>
        <w:tc>
          <w:tcPr>
            <w:tcW w:w="907" w:type="dxa"/>
            <w:shd w:val="clear" w:color="auto" w:fill="auto"/>
          </w:tcPr>
          <w:p w14:paraId="111933C0" w14:textId="77777777" w:rsidR="002C1FC6" w:rsidRPr="0086162F"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72</w:t>
            </w:r>
          </w:p>
        </w:tc>
        <w:tc>
          <w:tcPr>
            <w:tcW w:w="907" w:type="dxa"/>
            <w:shd w:val="clear" w:color="auto" w:fill="auto"/>
          </w:tcPr>
          <w:p w14:paraId="0EE31163"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29.</w:t>
            </w:r>
            <w:r>
              <w:rPr>
                <w:sz w:val="20"/>
                <w:szCs w:val="20"/>
              </w:rPr>
              <w:t>4</w:t>
            </w:r>
            <w:r w:rsidRPr="0086162F">
              <w:rPr>
                <w:sz w:val="20"/>
                <w:szCs w:val="20"/>
              </w:rPr>
              <w:t>%</w:t>
            </w:r>
          </w:p>
        </w:tc>
      </w:tr>
      <w:tr w:rsidR="002C1FC6" w:rsidRPr="0086162F" w14:paraId="7FDF1147" w14:textId="77777777" w:rsidTr="003B3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F7D4561" w14:textId="77777777" w:rsidR="002C1FC6" w:rsidRPr="0086162F" w:rsidRDefault="002C1FC6" w:rsidP="003B3AC5">
            <w:pPr>
              <w:tabs>
                <w:tab w:val="left" w:pos="284"/>
              </w:tabs>
              <w:jc w:val="both"/>
              <w:rPr>
                <w:b w:val="0"/>
                <w:sz w:val="20"/>
                <w:szCs w:val="20"/>
              </w:rPr>
            </w:pPr>
          </w:p>
        </w:tc>
        <w:tc>
          <w:tcPr>
            <w:tcW w:w="2693" w:type="dxa"/>
            <w:shd w:val="clear" w:color="auto" w:fill="auto"/>
          </w:tcPr>
          <w:p w14:paraId="53DB4B2A"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Both</w:t>
            </w:r>
          </w:p>
        </w:tc>
        <w:tc>
          <w:tcPr>
            <w:tcW w:w="907" w:type="dxa"/>
            <w:shd w:val="clear" w:color="auto" w:fill="auto"/>
          </w:tcPr>
          <w:p w14:paraId="1EDF7B8D" w14:textId="77777777" w:rsidR="002C1FC6" w:rsidRPr="0086162F"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75</w:t>
            </w:r>
          </w:p>
        </w:tc>
        <w:tc>
          <w:tcPr>
            <w:tcW w:w="907" w:type="dxa"/>
            <w:shd w:val="clear" w:color="auto" w:fill="auto"/>
          </w:tcPr>
          <w:p w14:paraId="7E939C45"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30.</w:t>
            </w:r>
            <w:r>
              <w:rPr>
                <w:sz w:val="20"/>
                <w:szCs w:val="20"/>
              </w:rPr>
              <w:t>6</w:t>
            </w:r>
            <w:r w:rsidRPr="0086162F">
              <w:rPr>
                <w:sz w:val="20"/>
                <w:szCs w:val="20"/>
              </w:rPr>
              <w:t>%</w:t>
            </w:r>
          </w:p>
        </w:tc>
      </w:tr>
      <w:tr w:rsidR="002C1FC6" w:rsidRPr="00211E68" w14:paraId="291DD798"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2BA6C78E" w14:textId="77777777" w:rsidR="002C1FC6" w:rsidRPr="00211E68" w:rsidRDefault="002C1FC6" w:rsidP="003B3AC5">
            <w:pPr>
              <w:tabs>
                <w:tab w:val="left" w:pos="284"/>
              </w:tabs>
              <w:jc w:val="both"/>
              <w:rPr>
                <w:b w:val="0"/>
                <w:sz w:val="8"/>
                <w:szCs w:val="8"/>
              </w:rPr>
            </w:pPr>
          </w:p>
        </w:tc>
        <w:tc>
          <w:tcPr>
            <w:tcW w:w="2693" w:type="dxa"/>
            <w:shd w:val="clear" w:color="auto" w:fill="auto"/>
          </w:tcPr>
          <w:p w14:paraId="384268AE" w14:textId="77777777" w:rsidR="002C1FC6" w:rsidRPr="00211E68"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8"/>
                <w:szCs w:val="8"/>
              </w:rPr>
            </w:pPr>
          </w:p>
        </w:tc>
        <w:tc>
          <w:tcPr>
            <w:tcW w:w="907" w:type="dxa"/>
            <w:shd w:val="clear" w:color="auto" w:fill="auto"/>
          </w:tcPr>
          <w:p w14:paraId="66B6A9BC" w14:textId="77777777" w:rsidR="002C1FC6" w:rsidRPr="00211E68"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8"/>
                <w:szCs w:val="8"/>
              </w:rPr>
            </w:pPr>
          </w:p>
        </w:tc>
        <w:tc>
          <w:tcPr>
            <w:tcW w:w="907" w:type="dxa"/>
            <w:shd w:val="clear" w:color="auto" w:fill="auto"/>
          </w:tcPr>
          <w:p w14:paraId="089A78ED" w14:textId="77777777" w:rsidR="002C1FC6" w:rsidRPr="00211E68"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8"/>
                <w:szCs w:val="8"/>
              </w:rPr>
            </w:pPr>
          </w:p>
        </w:tc>
      </w:tr>
      <w:tr w:rsidR="002C1FC6" w:rsidRPr="0086162F" w14:paraId="7E0FEAF3" w14:textId="77777777" w:rsidTr="003B3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78E49E3C" w14:textId="77777777" w:rsidR="002C1FC6" w:rsidRPr="0086162F" w:rsidRDefault="002C1FC6" w:rsidP="003B3AC5">
            <w:pPr>
              <w:tabs>
                <w:tab w:val="left" w:pos="284"/>
              </w:tabs>
              <w:jc w:val="both"/>
              <w:rPr>
                <w:b w:val="0"/>
                <w:sz w:val="20"/>
                <w:szCs w:val="20"/>
              </w:rPr>
            </w:pPr>
            <w:r w:rsidRPr="0086162F">
              <w:rPr>
                <w:b w:val="0"/>
                <w:caps w:val="0"/>
                <w:sz w:val="20"/>
                <w:szCs w:val="20"/>
              </w:rPr>
              <w:t>Type</w:t>
            </w:r>
          </w:p>
        </w:tc>
        <w:tc>
          <w:tcPr>
            <w:tcW w:w="2693" w:type="dxa"/>
            <w:shd w:val="clear" w:color="auto" w:fill="auto"/>
          </w:tcPr>
          <w:p w14:paraId="75975097"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Domestic</w:t>
            </w:r>
          </w:p>
        </w:tc>
        <w:tc>
          <w:tcPr>
            <w:tcW w:w="907" w:type="dxa"/>
            <w:shd w:val="clear" w:color="auto" w:fill="auto"/>
          </w:tcPr>
          <w:p w14:paraId="48FBA72B" w14:textId="77777777" w:rsidR="002C1FC6" w:rsidRPr="004679C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150</w:t>
            </w:r>
          </w:p>
        </w:tc>
        <w:tc>
          <w:tcPr>
            <w:tcW w:w="907" w:type="dxa"/>
            <w:shd w:val="clear" w:color="auto" w:fill="auto"/>
          </w:tcPr>
          <w:p w14:paraId="7948EF44"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6</w:t>
            </w:r>
            <w:r>
              <w:rPr>
                <w:sz w:val="20"/>
                <w:szCs w:val="20"/>
                <w:lang w:val="el-GR"/>
              </w:rPr>
              <w:t>1</w:t>
            </w:r>
            <w:r w:rsidRPr="0086162F">
              <w:rPr>
                <w:sz w:val="20"/>
                <w:szCs w:val="20"/>
              </w:rPr>
              <w:t>.</w:t>
            </w:r>
            <w:r>
              <w:rPr>
                <w:sz w:val="20"/>
                <w:szCs w:val="20"/>
                <w:lang w:val="el-GR"/>
              </w:rPr>
              <w:t>2</w:t>
            </w:r>
            <w:r w:rsidRPr="0086162F">
              <w:rPr>
                <w:sz w:val="20"/>
                <w:szCs w:val="20"/>
              </w:rPr>
              <w:t>%</w:t>
            </w:r>
          </w:p>
        </w:tc>
      </w:tr>
      <w:tr w:rsidR="002C1FC6" w:rsidRPr="0086162F" w14:paraId="3B053B25" w14:textId="77777777" w:rsidTr="003B3AC5">
        <w:trPr>
          <w:trHeight w:val="251"/>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43B57805" w14:textId="77777777" w:rsidR="002C1FC6" w:rsidRPr="0086162F" w:rsidRDefault="002C1FC6" w:rsidP="003B3AC5">
            <w:pPr>
              <w:tabs>
                <w:tab w:val="left" w:pos="284"/>
              </w:tabs>
              <w:jc w:val="both"/>
              <w:rPr>
                <w:b w:val="0"/>
                <w:sz w:val="20"/>
                <w:szCs w:val="20"/>
              </w:rPr>
            </w:pPr>
          </w:p>
        </w:tc>
        <w:tc>
          <w:tcPr>
            <w:tcW w:w="2693" w:type="dxa"/>
            <w:shd w:val="clear" w:color="auto" w:fill="auto"/>
          </w:tcPr>
          <w:p w14:paraId="23CA2884"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Multinational</w:t>
            </w:r>
          </w:p>
        </w:tc>
        <w:tc>
          <w:tcPr>
            <w:tcW w:w="907" w:type="dxa"/>
            <w:shd w:val="clear" w:color="auto" w:fill="auto"/>
          </w:tcPr>
          <w:p w14:paraId="1D811B7C"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95</w:t>
            </w:r>
          </w:p>
        </w:tc>
        <w:tc>
          <w:tcPr>
            <w:tcW w:w="907" w:type="dxa"/>
            <w:shd w:val="clear" w:color="auto" w:fill="auto"/>
          </w:tcPr>
          <w:p w14:paraId="7D081B1E"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3</w:t>
            </w:r>
            <w:r>
              <w:rPr>
                <w:sz w:val="20"/>
                <w:szCs w:val="20"/>
                <w:lang w:val="el-GR"/>
              </w:rPr>
              <w:t>8</w:t>
            </w:r>
            <w:r w:rsidRPr="0086162F">
              <w:rPr>
                <w:sz w:val="20"/>
                <w:szCs w:val="20"/>
              </w:rPr>
              <w:t>.</w:t>
            </w:r>
            <w:r>
              <w:rPr>
                <w:sz w:val="20"/>
                <w:szCs w:val="20"/>
                <w:lang w:val="el-GR"/>
              </w:rPr>
              <w:t>8</w:t>
            </w:r>
            <w:r w:rsidRPr="0086162F">
              <w:rPr>
                <w:sz w:val="20"/>
                <w:szCs w:val="20"/>
              </w:rPr>
              <w:t>%</w:t>
            </w:r>
          </w:p>
        </w:tc>
      </w:tr>
      <w:tr w:rsidR="002C1FC6" w:rsidRPr="00211E68" w14:paraId="093C3BC0" w14:textId="77777777" w:rsidTr="003B3AC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2BACDD6" w14:textId="77777777" w:rsidR="002C1FC6" w:rsidRPr="00211E68" w:rsidRDefault="002C1FC6" w:rsidP="003B3AC5">
            <w:pPr>
              <w:tabs>
                <w:tab w:val="left" w:pos="284"/>
              </w:tabs>
              <w:jc w:val="both"/>
              <w:rPr>
                <w:b w:val="0"/>
                <w:sz w:val="8"/>
                <w:szCs w:val="8"/>
              </w:rPr>
            </w:pPr>
          </w:p>
        </w:tc>
        <w:tc>
          <w:tcPr>
            <w:tcW w:w="2693" w:type="dxa"/>
            <w:shd w:val="clear" w:color="auto" w:fill="auto"/>
          </w:tcPr>
          <w:p w14:paraId="63776AF3" w14:textId="77777777" w:rsidR="002C1FC6" w:rsidRPr="00211E68"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774ECECE" w14:textId="77777777" w:rsidR="002C1FC6" w:rsidRPr="00211E68"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2560AF92" w14:textId="77777777" w:rsidR="002C1FC6" w:rsidRPr="00211E68"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8"/>
                <w:szCs w:val="8"/>
              </w:rPr>
            </w:pPr>
          </w:p>
        </w:tc>
      </w:tr>
      <w:tr w:rsidR="002C1FC6" w:rsidRPr="0086162F" w14:paraId="52A40AF2"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66CCE1B4" w14:textId="77777777" w:rsidR="002C1FC6" w:rsidRPr="0086162F" w:rsidRDefault="002C1FC6" w:rsidP="003B3AC5">
            <w:pPr>
              <w:tabs>
                <w:tab w:val="left" w:pos="284"/>
              </w:tabs>
              <w:jc w:val="both"/>
              <w:rPr>
                <w:b w:val="0"/>
                <w:sz w:val="20"/>
                <w:szCs w:val="20"/>
              </w:rPr>
            </w:pPr>
            <w:r w:rsidRPr="0086162F">
              <w:rPr>
                <w:b w:val="0"/>
                <w:caps w:val="0"/>
                <w:sz w:val="20"/>
                <w:szCs w:val="20"/>
              </w:rPr>
              <w:t>Sector</w:t>
            </w:r>
          </w:p>
        </w:tc>
        <w:tc>
          <w:tcPr>
            <w:tcW w:w="2693" w:type="dxa"/>
            <w:shd w:val="clear" w:color="auto" w:fill="auto"/>
          </w:tcPr>
          <w:p w14:paraId="5CFBB5FE"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FMCG</w:t>
            </w:r>
          </w:p>
        </w:tc>
        <w:tc>
          <w:tcPr>
            <w:tcW w:w="907" w:type="dxa"/>
            <w:shd w:val="clear" w:color="auto" w:fill="auto"/>
          </w:tcPr>
          <w:p w14:paraId="3F81B7ED"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62</w:t>
            </w:r>
          </w:p>
        </w:tc>
        <w:tc>
          <w:tcPr>
            <w:tcW w:w="907" w:type="dxa"/>
            <w:shd w:val="clear" w:color="auto" w:fill="auto"/>
          </w:tcPr>
          <w:p w14:paraId="6E79D317"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2</w:t>
            </w:r>
            <w:r>
              <w:rPr>
                <w:sz w:val="20"/>
                <w:szCs w:val="20"/>
                <w:lang w:val="el-GR"/>
              </w:rPr>
              <w:t>5</w:t>
            </w:r>
            <w:r w:rsidRPr="0086162F">
              <w:rPr>
                <w:sz w:val="20"/>
                <w:szCs w:val="20"/>
              </w:rPr>
              <w:t>.</w:t>
            </w:r>
            <w:r>
              <w:rPr>
                <w:sz w:val="20"/>
                <w:szCs w:val="20"/>
                <w:lang w:val="el-GR"/>
              </w:rPr>
              <w:t>3</w:t>
            </w:r>
            <w:r w:rsidRPr="0086162F">
              <w:rPr>
                <w:sz w:val="20"/>
                <w:szCs w:val="20"/>
              </w:rPr>
              <w:t>%</w:t>
            </w:r>
          </w:p>
        </w:tc>
      </w:tr>
      <w:tr w:rsidR="002C1FC6" w:rsidRPr="0086162F" w14:paraId="6A59ABA2" w14:textId="77777777" w:rsidTr="003B3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7A44CDD6" w14:textId="77777777" w:rsidR="002C1FC6" w:rsidRPr="0086162F" w:rsidRDefault="002C1FC6" w:rsidP="003B3AC5">
            <w:pPr>
              <w:tabs>
                <w:tab w:val="left" w:pos="284"/>
              </w:tabs>
              <w:jc w:val="both"/>
              <w:rPr>
                <w:b w:val="0"/>
                <w:sz w:val="20"/>
                <w:szCs w:val="20"/>
              </w:rPr>
            </w:pPr>
          </w:p>
        </w:tc>
        <w:tc>
          <w:tcPr>
            <w:tcW w:w="2693" w:type="dxa"/>
            <w:shd w:val="clear" w:color="auto" w:fill="auto"/>
          </w:tcPr>
          <w:p w14:paraId="3C998879"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Services</w:t>
            </w:r>
          </w:p>
        </w:tc>
        <w:tc>
          <w:tcPr>
            <w:tcW w:w="907" w:type="dxa"/>
            <w:shd w:val="clear" w:color="auto" w:fill="auto"/>
          </w:tcPr>
          <w:p w14:paraId="69155BDA" w14:textId="77777777" w:rsidR="002C1FC6" w:rsidRPr="004679C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66</w:t>
            </w:r>
          </w:p>
        </w:tc>
        <w:tc>
          <w:tcPr>
            <w:tcW w:w="907" w:type="dxa"/>
            <w:shd w:val="clear" w:color="auto" w:fill="auto"/>
          </w:tcPr>
          <w:p w14:paraId="7371A87D"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2</w:t>
            </w:r>
            <w:r>
              <w:rPr>
                <w:sz w:val="20"/>
                <w:szCs w:val="20"/>
                <w:lang w:val="el-GR"/>
              </w:rPr>
              <w:t>6</w:t>
            </w:r>
            <w:r w:rsidRPr="0086162F">
              <w:rPr>
                <w:sz w:val="20"/>
                <w:szCs w:val="20"/>
              </w:rPr>
              <w:t>.</w:t>
            </w:r>
            <w:r>
              <w:rPr>
                <w:sz w:val="20"/>
                <w:szCs w:val="20"/>
                <w:lang w:val="el-GR"/>
              </w:rPr>
              <w:t>9</w:t>
            </w:r>
            <w:r w:rsidRPr="0086162F">
              <w:rPr>
                <w:sz w:val="20"/>
                <w:szCs w:val="20"/>
              </w:rPr>
              <w:t>%</w:t>
            </w:r>
          </w:p>
        </w:tc>
      </w:tr>
      <w:tr w:rsidR="002C1FC6" w:rsidRPr="0086162F" w14:paraId="16A08EAA"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D1A592B" w14:textId="77777777" w:rsidR="002C1FC6" w:rsidRPr="0086162F" w:rsidRDefault="002C1FC6" w:rsidP="003B3AC5">
            <w:pPr>
              <w:tabs>
                <w:tab w:val="left" w:pos="284"/>
              </w:tabs>
              <w:jc w:val="both"/>
              <w:rPr>
                <w:b w:val="0"/>
                <w:sz w:val="20"/>
                <w:szCs w:val="20"/>
              </w:rPr>
            </w:pPr>
          </w:p>
        </w:tc>
        <w:tc>
          <w:tcPr>
            <w:tcW w:w="2693" w:type="dxa"/>
            <w:shd w:val="clear" w:color="auto" w:fill="auto"/>
          </w:tcPr>
          <w:p w14:paraId="46DB8F00"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Industrial Products</w:t>
            </w:r>
          </w:p>
        </w:tc>
        <w:tc>
          <w:tcPr>
            <w:tcW w:w="907" w:type="dxa"/>
            <w:shd w:val="clear" w:color="auto" w:fill="auto"/>
          </w:tcPr>
          <w:p w14:paraId="7009DEAB"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50</w:t>
            </w:r>
          </w:p>
        </w:tc>
        <w:tc>
          <w:tcPr>
            <w:tcW w:w="907" w:type="dxa"/>
            <w:shd w:val="clear" w:color="auto" w:fill="auto"/>
          </w:tcPr>
          <w:p w14:paraId="45B046FF"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l-GR"/>
              </w:rPr>
              <w:t>20</w:t>
            </w:r>
            <w:r w:rsidRPr="0086162F">
              <w:rPr>
                <w:sz w:val="20"/>
                <w:szCs w:val="20"/>
              </w:rPr>
              <w:t>.</w:t>
            </w:r>
            <w:r>
              <w:rPr>
                <w:sz w:val="20"/>
                <w:szCs w:val="20"/>
                <w:lang w:val="el-GR"/>
              </w:rPr>
              <w:t>4</w:t>
            </w:r>
            <w:r w:rsidRPr="0086162F">
              <w:rPr>
                <w:sz w:val="20"/>
                <w:szCs w:val="20"/>
              </w:rPr>
              <w:t>%</w:t>
            </w:r>
          </w:p>
        </w:tc>
      </w:tr>
      <w:tr w:rsidR="002C1FC6" w:rsidRPr="0086162F" w14:paraId="340717BE" w14:textId="77777777" w:rsidTr="003B3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288DC40F" w14:textId="77777777" w:rsidR="002C1FC6" w:rsidRPr="0086162F" w:rsidRDefault="002C1FC6" w:rsidP="003B3AC5">
            <w:pPr>
              <w:tabs>
                <w:tab w:val="left" w:pos="284"/>
              </w:tabs>
              <w:jc w:val="both"/>
              <w:rPr>
                <w:b w:val="0"/>
                <w:sz w:val="20"/>
                <w:szCs w:val="20"/>
              </w:rPr>
            </w:pPr>
          </w:p>
        </w:tc>
        <w:tc>
          <w:tcPr>
            <w:tcW w:w="2693" w:type="dxa"/>
            <w:shd w:val="clear" w:color="auto" w:fill="auto"/>
          </w:tcPr>
          <w:p w14:paraId="61A7450B" w14:textId="77777777" w:rsidR="002C1FC6" w:rsidRPr="0086162F"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Wholesalers &amp; Retailers</w:t>
            </w:r>
          </w:p>
        </w:tc>
        <w:tc>
          <w:tcPr>
            <w:tcW w:w="907" w:type="dxa"/>
            <w:shd w:val="clear" w:color="auto" w:fill="auto"/>
          </w:tcPr>
          <w:p w14:paraId="6910AFC7" w14:textId="77777777" w:rsidR="002C1FC6" w:rsidRPr="004679C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34</w:t>
            </w:r>
          </w:p>
        </w:tc>
        <w:tc>
          <w:tcPr>
            <w:tcW w:w="907" w:type="dxa"/>
            <w:shd w:val="clear" w:color="auto" w:fill="auto"/>
          </w:tcPr>
          <w:p w14:paraId="40345E01"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13.</w:t>
            </w:r>
            <w:r>
              <w:rPr>
                <w:sz w:val="20"/>
                <w:szCs w:val="20"/>
                <w:lang w:val="el-GR"/>
              </w:rPr>
              <w:t>9</w:t>
            </w:r>
            <w:r w:rsidRPr="0086162F">
              <w:rPr>
                <w:sz w:val="20"/>
                <w:szCs w:val="20"/>
              </w:rPr>
              <w:t>%</w:t>
            </w:r>
          </w:p>
        </w:tc>
      </w:tr>
      <w:tr w:rsidR="002C1FC6" w:rsidRPr="0086162F" w14:paraId="5E481233"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F26A387" w14:textId="77777777" w:rsidR="002C1FC6" w:rsidRPr="0086162F" w:rsidRDefault="002C1FC6" w:rsidP="003B3AC5">
            <w:pPr>
              <w:tabs>
                <w:tab w:val="left" w:pos="284"/>
              </w:tabs>
              <w:jc w:val="both"/>
              <w:rPr>
                <w:b w:val="0"/>
                <w:sz w:val="20"/>
                <w:szCs w:val="20"/>
              </w:rPr>
            </w:pPr>
          </w:p>
        </w:tc>
        <w:tc>
          <w:tcPr>
            <w:tcW w:w="2693" w:type="dxa"/>
            <w:shd w:val="clear" w:color="auto" w:fill="auto"/>
          </w:tcPr>
          <w:p w14:paraId="585C1ACE"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Construction-Remaking-Other</w:t>
            </w:r>
          </w:p>
        </w:tc>
        <w:tc>
          <w:tcPr>
            <w:tcW w:w="907" w:type="dxa"/>
            <w:shd w:val="clear" w:color="auto" w:fill="auto"/>
          </w:tcPr>
          <w:p w14:paraId="607D237B"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33</w:t>
            </w:r>
          </w:p>
        </w:tc>
        <w:tc>
          <w:tcPr>
            <w:tcW w:w="907" w:type="dxa"/>
            <w:shd w:val="clear" w:color="auto" w:fill="auto"/>
          </w:tcPr>
          <w:p w14:paraId="3BC70CEF"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13.</w:t>
            </w:r>
            <w:r>
              <w:rPr>
                <w:sz w:val="20"/>
                <w:szCs w:val="20"/>
                <w:lang w:val="el-GR"/>
              </w:rPr>
              <w:t>5</w:t>
            </w:r>
            <w:r w:rsidRPr="0086162F">
              <w:rPr>
                <w:sz w:val="20"/>
                <w:szCs w:val="20"/>
              </w:rPr>
              <w:t>%</w:t>
            </w:r>
          </w:p>
        </w:tc>
      </w:tr>
      <w:tr w:rsidR="002C1FC6" w:rsidRPr="00211E68" w14:paraId="49FF37FB" w14:textId="77777777" w:rsidTr="003B3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DEF2584" w14:textId="77777777" w:rsidR="002C1FC6" w:rsidRPr="00211E68" w:rsidRDefault="002C1FC6" w:rsidP="003B3AC5">
            <w:pPr>
              <w:tabs>
                <w:tab w:val="left" w:pos="284"/>
              </w:tabs>
              <w:jc w:val="both"/>
              <w:rPr>
                <w:b w:val="0"/>
                <w:sz w:val="8"/>
                <w:szCs w:val="8"/>
              </w:rPr>
            </w:pPr>
          </w:p>
        </w:tc>
        <w:tc>
          <w:tcPr>
            <w:tcW w:w="2693" w:type="dxa"/>
            <w:shd w:val="clear" w:color="auto" w:fill="auto"/>
          </w:tcPr>
          <w:p w14:paraId="2A7EFD84" w14:textId="77777777" w:rsidR="002C1FC6" w:rsidRPr="00211E68"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64D06C25" w14:textId="77777777" w:rsidR="002C1FC6" w:rsidRPr="00211E68"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2AD1B450" w14:textId="77777777" w:rsidR="002C1FC6" w:rsidRPr="00211E68"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8"/>
                <w:szCs w:val="8"/>
              </w:rPr>
            </w:pPr>
          </w:p>
        </w:tc>
      </w:tr>
      <w:tr w:rsidR="002C1FC6" w:rsidRPr="0086162F" w14:paraId="7654EF82"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F1366A2" w14:textId="77777777" w:rsidR="002C1FC6" w:rsidRPr="0086162F" w:rsidRDefault="002C1FC6" w:rsidP="003B3AC5">
            <w:pPr>
              <w:tabs>
                <w:tab w:val="left" w:pos="284"/>
              </w:tabs>
              <w:jc w:val="both"/>
              <w:rPr>
                <w:b w:val="0"/>
                <w:sz w:val="20"/>
                <w:szCs w:val="20"/>
              </w:rPr>
            </w:pPr>
            <w:r w:rsidRPr="0086162F">
              <w:rPr>
                <w:b w:val="0"/>
                <w:caps w:val="0"/>
                <w:sz w:val="20"/>
                <w:szCs w:val="20"/>
              </w:rPr>
              <w:t>Age of company (in years)</w:t>
            </w:r>
          </w:p>
        </w:tc>
        <w:tc>
          <w:tcPr>
            <w:tcW w:w="2693" w:type="dxa"/>
            <w:shd w:val="clear" w:color="auto" w:fill="auto"/>
          </w:tcPr>
          <w:p w14:paraId="06553583"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1-5</w:t>
            </w:r>
          </w:p>
        </w:tc>
        <w:tc>
          <w:tcPr>
            <w:tcW w:w="907" w:type="dxa"/>
            <w:shd w:val="clear" w:color="auto" w:fill="auto"/>
          </w:tcPr>
          <w:p w14:paraId="0DF2A235"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19</w:t>
            </w:r>
          </w:p>
        </w:tc>
        <w:tc>
          <w:tcPr>
            <w:tcW w:w="907" w:type="dxa"/>
            <w:shd w:val="clear" w:color="auto" w:fill="auto"/>
          </w:tcPr>
          <w:p w14:paraId="304586E6"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7.</w:t>
            </w:r>
            <w:r>
              <w:rPr>
                <w:sz w:val="20"/>
                <w:szCs w:val="20"/>
                <w:lang w:val="el-GR"/>
              </w:rPr>
              <w:t>8</w:t>
            </w:r>
            <w:r w:rsidRPr="0086162F">
              <w:rPr>
                <w:sz w:val="20"/>
                <w:szCs w:val="20"/>
              </w:rPr>
              <w:t>%</w:t>
            </w:r>
          </w:p>
        </w:tc>
      </w:tr>
      <w:tr w:rsidR="002C1FC6" w:rsidRPr="0086162F" w14:paraId="1C912958" w14:textId="77777777" w:rsidTr="003B3AC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337532C8"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3229F35B"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6-10</w:t>
            </w:r>
          </w:p>
        </w:tc>
        <w:tc>
          <w:tcPr>
            <w:tcW w:w="907" w:type="dxa"/>
            <w:shd w:val="clear" w:color="auto" w:fill="auto"/>
          </w:tcPr>
          <w:p w14:paraId="0E69B597" w14:textId="77777777" w:rsidR="002C1FC6" w:rsidRPr="004679C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25</w:t>
            </w:r>
          </w:p>
        </w:tc>
        <w:tc>
          <w:tcPr>
            <w:tcW w:w="907" w:type="dxa"/>
            <w:shd w:val="clear" w:color="auto" w:fill="auto"/>
          </w:tcPr>
          <w:p w14:paraId="086818EE"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10.</w:t>
            </w:r>
            <w:r>
              <w:rPr>
                <w:sz w:val="20"/>
                <w:szCs w:val="20"/>
                <w:lang w:val="el-GR"/>
              </w:rPr>
              <w:t>2</w:t>
            </w:r>
            <w:r w:rsidRPr="0086162F">
              <w:rPr>
                <w:sz w:val="20"/>
                <w:szCs w:val="20"/>
              </w:rPr>
              <w:t>%</w:t>
            </w:r>
          </w:p>
        </w:tc>
      </w:tr>
      <w:tr w:rsidR="002C1FC6" w:rsidRPr="0086162F" w14:paraId="745F4358" w14:textId="77777777" w:rsidTr="003B3AC5">
        <w:trPr>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7EBE85E"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003E17FF"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11-20</w:t>
            </w:r>
          </w:p>
        </w:tc>
        <w:tc>
          <w:tcPr>
            <w:tcW w:w="907" w:type="dxa"/>
            <w:shd w:val="clear" w:color="auto" w:fill="auto"/>
          </w:tcPr>
          <w:p w14:paraId="692B4DCD"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38</w:t>
            </w:r>
          </w:p>
        </w:tc>
        <w:tc>
          <w:tcPr>
            <w:tcW w:w="907" w:type="dxa"/>
            <w:shd w:val="clear" w:color="auto" w:fill="auto"/>
          </w:tcPr>
          <w:p w14:paraId="3D54AC35"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15</w:t>
            </w:r>
            <w:r>
              <w:rPr>
                <w:sz w:val="20"/>
                <w:szCs w:val="20"/>
                <w:lang w:val="el-GR"/>
              </w:rPr>
              <w:t>.5</w:t>
            </w:r>
            <w:r w:rsidRPr="0086162F">
              <w:rPr>
                <w:sz w:val="20"/>
                <w:szCs w:val="20"/>
              </w:rPr>
              <w:t>%</w:t>
            </w:r>
          </w:p>
        </w:tc>
      </w:tr>
      <w:tr w:rsidR="002C1FC6" w:rsidRPr="0086162F" w14:paraId="581D54E6" w14:textId="77777777" w:rsidTr="003B3AC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5A77BDC"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05476830"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21-40</w:t>
            </w:r>
          </w:p>
        </w:tc>
        <w:tc>
          <w:tcPr>
            <w:tcW w:w="907" w:type="dxa"/>
            <w:shd w:val="clear" w:color="auto" w:fill="auto"/>
          </w:tcPr>
          <w:p w14:paraId="1F74B4EF" w14:textId="77777777" w:rsidR="002C1FC6" w:rsidRPr="004679C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59</w:t>
            </w:r>
          </w:p>
        </w:tc>
        <w:tc>
          <w:tcPr>
            <w:tcW w:w="907" w:type="dxa"/>
            <w:shd w:val="clear" w:color="auto" w:fill="auto"/>
          </w:tcPr>
          <w:p w14:paraId="5B4DF0D7"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2</w:t>
            </w:r>
            <w:r>
              <w:rPr>
                <w:sz w:val="20"/>
                <w:szCs w:val="20"/>
                <w:lang w:val="el-GR"/>
              </w:rPr>
              <w:t>4</w:t>
            </w:r>
            <w:r w:rsidRPr="0086162F">
              <w:rPr>
                <w:sz w:val="20"/>
                <w:szCs w:val="20"/>
              </w:rPr>
              <w:t>.</w:t>
            </w:r>
            <w:r>
              <w:rPr>
                <w:sz w:val="20"/>
                <w:szCs w:val="20"/>
                <w:lang w:val="el-GR"/>
              </w:rPr>
              <w:t>1</w:t>
            </w:r>
            <w:r w:rsidRPr="0086162F">
              <w:rPr>
                <w:sz w:val="20"/>
                <w:szCs w:val="20"/>
              </w:rPr>
              <w:t>%</w:t>
            </w:r>
          </w:p>
        </w:tc>
      </w:tr>
      <w:tr w:rsidR="002C1FC6" w:rsidRPr="0086162F" w14:paraId="3E6BD960" w14:textId="77777777" w:rsidTr="003B3AC5">
        <w:trPr>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784EF1DD"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07A1A439"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&gt;40</w:t>
            </w:r>
          </w:p>
        </w:tc>
        <w:tc>
          <w:tcPr>
            <w:tcW w:w="907" w:type="dxa"/>
            <w:shd w:val="clear" w:color="auto" w:fill="auto"/>
          </w:tcPr>
          <w:p w14:paraId="5F25D8A0"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104</w:t>
            </w:r>
          </w:p>
        </w:tc>
        <w:tc>
          <w:tcPr>
            <w:tcW w:w="907" w:type="dxa"/>
            <w:shd w:val="clear" w:color="auto" w:fill="auto"/>
          </w:tcPr>
          <w:p w14:paraId="49F45BA0"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4</w:t>
            </w:r>
            <w:r>
              <w:rPr>
                <w:sz w:val="20"/>
                <w:szCs w:val="20"/>
                <w:lang w:val="el-GR"/>
              </w:rPr>
              <w:t>2</w:t>
            </w:r>
            <w:r w:rsidRPr="0086162F">
              <w:rPr>
                <w:sz w:val="20"/>
                <w:szCs w:val="20"/>
              </w:rPr>
              <w:t>.</w:t>
            </w:r>
            <w:r>
              <w:rPr>
                <w:sz w:val="20"/>
                <w:szCs w:val="20"/>
                <w:lang w:val="el-GR"/>
              </w:rPr>
              <w:t>4</w:t>
            </w:r>
            <w:r w:rsidRPr="0086162F">
              <w:rPr>
                <w:sz w:val="20"/>
                <w:szCs w:val="20"/>
              </w:rPr>
              <w:t>%</w:t>
            </w:r>
          </w:p>
        </w:tc>
      </w:tr>
      <w:tr w:rsidR="002C1FC6" w:rsidRPr="00211E68" w14:paraId="29AB03A6" w14:textId="77777777" w:rsidTr="003B3AC5">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4A7EFFF5" w14:textId="77777777" w:rsidR="002C1FC6" w:rsidRPr="00211E68" w:rsidRDefault="002C1FC6" w:rsidP="003B3AC5">
            <w:pPr>
              <w:tabs>
                <w:tab w:val="left" w:pos="284"/>
              </w:tabs>
              <w:jc w:val="both"/>
              <w:rPr>
                <w:b w:val="0"/>
                <w:caps w:val="0"/>
                <w:sz w:val="8"/>
                <w:szCs w:val="8"/>
              </w:rPr>
            </w:pPr>
          </w:p>
        </w:tc>
        <w:tc>
          <w:tcPr>
            <w:tcW w:w="2693" w:type="dxa"/>
            <w:shd w:val="clear" w:color="auto" w:fill="auto"/>
          </w:tcPr>
          <w:p w14:paraId="052E29CE" w14:textId="77777777" w:rsidR="002C1FC6" w:rsidRPr="00211E68"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57068878" w14:textId="77777777" w:rsidR="002C1FC6" w:rsidRPr="00211E68"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30AE4C1F" w14:textId="77777777" w:rsidR="002C1FC6" w:rsidRPr="00211E68"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8"/>
                <w:szCs w:val="8"/>
              </w:rPr>
            </w:pPr>
          </w:p>
        </w:tc>
      </w:tr>
      <w:tr w:rsidR="002C1FC6" w:rsidRPr="0086162F" w14:paraId="194F565D"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20B7CE99" w14:textId="77777777" w:rsidR="002C1FC6" w:rsidRPr="0086162F" w:rsidRDefault="002C1FC6" w:rsidP="003B3AC5">
            <w:pPr>
              <w:tabs>
                <w:tab w:val="left" w:pos="284"/>
              </w:tabs>
              <w:jc w:val="both"/>
              <w:rPr>
                <w:b w:val="0"/>
                <w:sz w:val="20"/>
                <w:szCs w:val="20"/>
              </w:rPr>
            </w:pPr>
            <w:r w:rsidRPr="0086162F">
              <w:rPr>
                <w:b w:val="0"/>
                <w:caps w:val="0"/>
                <w:sz w:val="20"/>
                <w:szCs w:val="20"/>
              </w:rPr>
              <w:t>Number of employees</w:t>
            </w:r>
          </w:p>
        </w:tc>
        <w:tc>
          <w:tcPr>
            <w:tcW w:w="2693" w:type="dxa"/>
            <w:shd w:val="clear" w:color="auto" w:fill="auto"/>
          </w:tcPr>
          <w:p w14:paraId="467D8E83"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11-50</w:t>
            </w:r>
          </w:p>
        </w:tc>
        <w:tc>
          <w:tcPr>
            <w:tcW w:w="907" w:type="dxa"/>
            <w:shd w:val="clear" w:color="auto" w:fill="auto"/>
          </w:tcPr>
          <w:p w14:paraId="59D103A4"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61</w:t>
            </w:r>
          </w:p>
        </w:tc>
        <w:tc>
          <w:tcPr>
            <w:tcW w:w="907" w:type="dxa"/>
            <w:shd w:val="clear" w:color="auto" w:fill="auto"/>
          </w:tcPr>
          <w:p w14:paraId="4285926E"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2</w:t>
            </w:r>
            <w:r>
              <w:rPr>
                <w:sz w:val="20"/>
                <w:szCs w:val="20"/>
                <w:lang w:val="el-GR"/>
              </w:rPr>
              <w:t>4.9</w:t>
            </w:r>
            <w:r w:rsidRPr="0086162F">
              <w:rPr>
                <w:sz w:val="20"/>
                <w:szCs w:val="20"/>
              </w:rPr>
              <w:t>%</w:t>
            </w:r>
          </w:p>
        </w:tc>
      </w:tr>
      <w:tr w:rsidR="002C1FC6" w:rsidRPr="0086162F" w14:paraId="1E335A95" w14:textId="77777777" w:rsidTr="003B3AC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3B0DD71"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032BFF9D"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51-250</w:t>
            </w:r>
          </w:p>
        </w:tc>
        <w:tc>
          <w:tcPr>
            <w:tcW w:w="907" w:type="dxa"/>
            <w:shd w:val="clear" w:color="auto" w:fill="auto"/>
          </w:tcPr>
          <w:p w14:paraId="49F9C90E" w14:textId="77777777" w:rsidR="002C1FC6" w:rsidRPr="004679C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73</w:t>
            </w:r>
          </w:p>
        </w:tc>
        <w:tc>
          <w:tcPr>
            <w:tcW w:w="907" w:type="dxa"/>
            <w:shd w:val="clear" w:color="auto" w:fill="auto"/>
          </w:tcPr>
          <w:p w14:paraId="0EA2FF93"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l-GR"/>
              </w:rPr>
              <w:t>29</w:t>
            </w:r>
            <w:r w:rsidRPr="0086162F">
              <w:rPr>
                <w:sz w:val="20"/>
                <w:szCs w:val="20"/>
              </w:rPr>
              <w:t>.</w:t>
            </w:r>
            <w:r>
              <w:rPr>
                <w:sz w:val="20"/>
                <w:szCs w:val="20"/>
                <w:lang w:val="el-GR"/>
              </w:rPr>
              <w:t>8</w:t>
            </w:r>
            <w:r w:rsidRPr="0086162F">
              <w:rPr>
                <w:sz w:val="20"/>
                <w:szCs w:val="20"/>
              </w:rPr>
              <w:t>%</w:t>
            </w:r>
          </w:p>
        </w:tc>
      </w:tr>
      <w:tr w:rsidR="002C1FC6" w:rsidRPr="0086162F" w14:paraId="0A359A6D" w14:textId="77777777" w:rsidTr="003B3AC5">
        <w:trPr>
          <w:trHeight w:val="265"/>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3326D81A"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743D2C58"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&gt;250</w:t>
            </w:r>
          </w:p>
        </w:tc>
        <w:tc>
          <w:tcPr>
            <w:tcW w:w="907" w:type="dxa"/>
            <w:shd w:val="clear" w:color="auto" w:fill="auto"/>
          </w:tcPr>
          <w:p w14:paraId="69DB1012" w14:textId="77777777" w:rsidR="002C1FC6" w:rsidRPr="004679C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111</w:t>
            </w:r>
          </w:p>
        </w:tc>
        <w:tc>
          <w:tcPr>
            <w:tcW w:w="907" w:type="dxa"/>
            <w:shd w:val="clear" w:color="auto" w:fill="auto"/>
          </w:tcPr>
          <w:p w14:paraId="14047628"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4</w:t>
            </w:r>
            <w:r>
              <w:rPr>
                <w:sz w:val="20"/>
                <w:szCs w:val="20"/>
                <w:lang w:val="el-GR"/>
              </w:rPr>
              <w:t>5</w:t>
            </w:r>
            <w:r w:rsidRPr="0086162F">
              <w:rPr>
                <w:sz w:val="20"/>
                <w:szCs w:val="20"/>
              </w:rPr>
              <w:t>.</w:t>
            </w:r>
            <w:r>
              <w:rPr>
                <w:sz w:val="20"/>
                <w:szCs w:val="20"/>
                <w:lang w:val="el-GR"/>
              </w:rPr>
              <w:t>3</w:t>
            </w:r>
            <w:r w:rsidRPr="0086162F">
              <w:rPr>
                <w:sz w:val="20"/>
                <w:szCs w:val="20"/>
              </w:rPr>
              <w:t>%</w:t>
            </w:r>
          </w:p>
        </w:tc>
      </w:tr>
      <w:tr w:rsidR="002C1FC6" w:rsidRPr="00211E68" w14:paraId="599612DA" w14:textId="77777777" w:rsidTr="003B3AC5">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4571FC6C" w14:textId="77777777" w:rsidR="002C1FC6" w:rsidRPr="00211E68" w:rsidRDefault="002C1FC6" w:rsidP="003B3AC5">
            <w:pPr>
              <w:tabs>
                <w:tab w:val="left" w:pos="284"/>
              </w:tabs>
              <w:jc w:val="both"/>
              <w:rPr>
                <w:b w:val="0"/>
                <w:caps w:val="0"/>
                <w:sz w:val="8"/>
                <w:szCs w:val="8"/>
              </w:rPr>
            </w:pPr>
          </w:p>
        </w:tc>
        <w:tc>
          <w:tcPr>
            <w:tcW w:w="2693" w:type="dxa"/>
            <w:shd w:val="clear" w:color="auto" w:fill="auto"/>
          </w:tcPr>
          <w:p w14:paraId="40ED973F" w14:textId="77777777" w:rsidR="002C1FC6" w:rsidRPr="00211E68"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75D027D2" w14:textId="77777777" w:rsidR="002C1FC6" w:rsidRPr="00211E68"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8"/>
                <w:szCs w:val="8"/>
              </w:rPr>
            </w:pPr>
          </w:p>
        </w:tc>
        <w:tc>
          <w:tcPr>
            <w:tcW w:w="907" w:type="dxa"/>
            <w:shd w:val="clear" w:color="auto" w:fill="auto"/>
          </w:tcPr>
          <w:p w14:paraId="4D949E9F" w14:textId="77777777" w:rsidR="002C1FC6" w:rsidRPr="00211E68"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8"/>
                <w:szCs w:val="8"/>
              </w:rPr>
            </w:pPr>
          </w:p>
        </w:tc>
      </w:tr>
      <w:tr w:rsidR="002C1FC6" w:rsidRPr="0086162F" w14:paraId="0AA4FF68" w14:textId="77777777" w:rsidTr="003B3AC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6D5E0DE8" w14:textId="77777777" w:rsidR="002C1FC6" w:rsidRPr="0086162F" w:rsidRDefault="002C1FC6" w:rsidP="003B3AC5">
            <w:pPr>
              <w:tabs>
                <w:tab w:val="left" w:pos="284"/>
              </w:tabs>
              <w:jc w:val="both"/>
              <w:rPr>
                <w:b w:val="0"/>
                <w:sz w:val="20"/>
                <w:szCs w:val="20"/>
              </w:rPr>
            </w:pPr>
            <w:r w:rsidRPr="0086162F">
              <w:rPr>
                <w:b w:val="0"/>
                <w:caps w:val="0"/>
                <w:sz w:val="20"/>
                <w:szCs w:val="20"/>
              </w:rPr>
              <w:t>Job title</w:t>
            </w:r>
          </w:p>
        </w:tc>
        <w:tc>
          <w:tcPr>
            <w:tcW w:w="2693" w:type="dxa"/>
            <w:shd w:val="clear" w:color="auto" w:fill="auto"/>
          </w:tcPr>
          <w:p w14:paraId="4C487FE1"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Marketing manager</w:t>
            </w:r>
          </w:p>
        </w:tc>
        <w:tc>
          <w:tcPr>
            <w:tcW w:w="907" w:type="dxa"/>
            <w:shd w:val="clear" w:color="auto" w:fill="auto"/>
          </w:tcPr>
          <w:p w14:paraId="145ECBA9" w14:textId="77777777" w:rsidR="002C1FC6" w:rsidRPr="00BB2059"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124</w:t>
            </w:r>
          </w:p>
        </w:tc>
        <w:tc>
          <w:tcPr>
            <w:tcW w:w="907" w:type="dxa"/>
            <w:shd w:val="clear" w:color="auto" w:fill="auto"/>
          </w:tcPr>
          <w:p w14:paraId="13B7BB9C"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50.</w:t>
            </w:r>
            <w:r>
              <w:rPr>
                <w:sz w:val="20"/>
                <w:szCs w:val="20"/>
                <w:lang w:val="el-GR"/>
              </w:rPr>
              <w:t>6</w:t>
            </w:r>
            <w:r w:rsidRPr="0086162F">
              <w:rPr>
                <w:sz w:val="20"/>
                <w:szCs w:val="20"/>
              </w:rPr>
              <w:t>%</w:t>
            </w:r>
          </w:p>
        </w:tc>
      </w:tr>
      <w:tr w:rsidR="002C1FC6" w:rsidRPr="0086162F" w14:paraId="7A911FC0" w14:textId="77777777" w:rsidTr="003B3AC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76E6E0F1"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1250652E"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Product manager</w:t>
            </w:r>
          </w:p>
        </w:tc>
        <w:tc>
          <w:tcPr>
            <w:tcW w:w="907" w:type="dxa"/>
            <w:shd w:val="clear" w:color="auto" w:fill="auto"/>
          </w:tcPr>
          <w:p w14:paraId="31465148" w14:textId="77777777" w:rsidR="002C1FC6" w:rsidRPr="00FF5903"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43</w:t>
            </w:r>
          </w:p>
        </w:tc>
        <w:tc>
          <w:tcPr>
            <w:tcW w:w="907" w:type="dxa"/>
            <w:shd w:val="clear" w:color="auto" w:fill="auto"/>
          </w:tcPr>
          <w:p w14:paraId="71A8FA24"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l-GR"/>
              </w:rPr>
              <w:t>17.5</w:t>
            </w:r>
            <w:r w:rsidRPr="0086162F">
              <w:rPr>
                <w:sz w:val="20"/>
                <w:szCs w:val="20"/>
              </w:rPr>
              <w:t>%</w:t>
            </w:r>
          </w:p>
        </w:tc>
      </w:tr>
      <w:tr w:rsidR="002C1FC6" w:rsidRPr="0086162F" w14:paraId="11D4199D" w14:textId="77777777" w:rsidTr="003B3AC5">
        <w:trPr>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2C7BFF83"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2C061AAF"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CSR/Sustainability manager</w:t>
            </w:r>
          </w:p>
        </w:tc>
        <w:tc>
          <w:tcPr>
            <w:tcW w:w="907" w:type="dxa"/>
            <w:shd w:val="clear" w:color="auto" w:fill="auto"/>
          </w:tcPr>
          <w:p w14:paraId="013A7A1A" w14:textId="77777777" w:rsidR="002C1FC6" w:rsidRPr="00FF5903"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38</w:t>
            </w:r>
          </w:p>
        </w:tc>
        <w:tc>
          <w:tcPr>
            <w:tcW w:w="907" w:type="dxa"/>
            <w:shd w:val="clear" w:color="auto" w:fill="auto"/>
          </w:tcPr>
          <w:p w14:paraId="3B6AF8B5"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1</w:t>
            </w:r>
            <w:r>
              <w:rPr>
                <w:sz w:val="20"/>
                <w:szCs w:val="20"/>
                <w:lang w:val="el-GR"/>
              </w:rPr>
              <w:t>5</w:t>
            </w:r>
            <w:r w:rsidRPr="0086162F">
              <w:rPr>
                <w:sz w:val="20"/>
                <w:szCs w:val="20"/>
              </w:rPr>
              <w:t>.</w:t>
            </w:r>
            <w:r>
              <w:rPr>
                <w:sz w:val="20"/>
                <w:szCs w:val="20"/>
                <w:lang w:val="el-GR"/>
              </w:rPr>
              <w:t>5</w:t>
            </w:r>
            <w:r w:rsidRPr="0086162F">
              <w:rPr>
                <w:sz w:val="20"/>
                <w:szCs w:val="20"/>
              </w:rPr>
              <w:t>%</w:t>
            </w:r>
          </w:p>
        </w:tc>
      </w:tr>
      <w:tr w:rsidR="002C1FC6" w:rsidRPr="0086162F" w14:paraId="61CA8D2B" w14:textId="77777777" w:rsidTr="003B3AC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0E76385"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17E1A3BC"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CEO</w:t>
            </w:r>
          </w:p>
        </w:tc>
        <w:tc>
          <w:tcPr>
            <w:tcW w:w="907" w:type="dxa"/>
            <w:shd w:val="clear" w:color="auto" w:fill="auto"/>
          </w:tcPr>
          <w:p w14:paraId="46532289" w14:textId="77777777" w:rsidR="002C1FC6" w:rsidRPr="00FF5903"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40</w:t>
            </w:r>
          </w:p>
        </w:tc>
        <w:tc>
          <w:tcPr>
            <w:tcW w:w="907" w:type="dxa"/>
            <w:shd w:val="clear" w:color="auto" w:fill="auto"/>
          </w:tcPr>
          <w:p w14:paraId="7E60C74B"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1</w:t>
            </w:r>
            <w:r>
              <w:rPr>
                <w:sz w:val="20"/>
                <w:szCs w:val="20"/>
                <w:lang w:val="el-GR"/>
              </w:rPr>
              <w:t>6</w:t>
            </w:r>
            <w:r w:rsidRPr="0086162F">
              <w:rPr>
                <w:sz w:val="20"/>
                <w:szCs w:val="20"/>
              </w:rPr>
              <w:t>.</w:t>
            </w:r>
            <w:r>
              <w:rPr>
                <w:sz w:val="20"/>
                <w:szCs w:val="20"/>
                <w:lang w:val="el-GR"/>
              </w:rPr>
              <w:t>4</w:t>
            </w:r>
            <w:r w:rsidRPr="0086162F">
              <w:rPr>
                <w:sz w:val="20"/>
                <w:szCs w:val="20"/>
              </w:rPr>
              <w:t>%</w:t>
            </w:r>
          </w:p>
        </w:tc>
      </w:tr>
      <w:tr w:rsidR="002C1FC6" w:rsidRPr="00211E68" w14:paraId="64653293" w14:textId="77777777" w:rsidTr="003B3AC5">
        <w:trPr>
          <w:trHeight w:val="107"/>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32968D4E" w14:textId="77777777" w:rsidR="002C1FC6" w:rsidRPr="00211E68" w:rsidRDefault="002C1FC6" w:rsidP="003B3AC5">
            <w:pPr>
              <w:tabs>
                <w:tab w:val="left" w:pos="284"/>
              </w:tabs>
              <w:jc w:val="both"/>
              <w:rPr>
                <w:b w:val="0"/>
                <w:caps w:val="0"/>
                <w:sz w:val="8"/>
                <w:szCs w:val="8"/>
              </w:rPr>
            </w:pPr>
          </w:p>
        </w:tc>
        <w:tc>
          <w:tcPr>
            <w:tcW w:w="2693" w:type="dxa"/>
            <w:shd w:val="clear" w:color="auto" w:fill="auto"/>
          </w:tcPr>
          <w:p w14:paraId="54B7A547" w14:textId="77777777" w:rsidR="002C1FC6" w:rsidRPr="00211E68"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8"/>
                <w:szCs w:val="8"/>
              </w:rPr>
            </w:pPr>
          </w:p>
        </w:tc>
        <w:tc>
          <w:tcPr>
            <w:tcW w:w="907" w:type="dxa"/>
            <w:shd w:val="clear" w:color="auto" w:fill="auto"/>
          </w:tcPr>
          <w:p w14:paraId="244C7A9F" w14:textId="77777777" w:rsidR="002C1FC6" w:rsidRPr="00211E68"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8"/>
                <w:szCs w:val="8"/>
              </w:rPr>
            </w:pPr>
          </w:p>
        </w:tc>
        <w:tc>
          <w:tcPr>
            <w:tcW w:w="907" w:type="dxa"/>
            <w:shd w:val="clear" w:color="auto" w:fill="auto"/>
          </w:tcPr>
          <w:p w14:paraId="2508F9D5" w14:textId="77777777" w:rsidR="002C1FC6" w:rsidRPr="00211E68"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8"/>
                <w:szCs w:val="8"/>
              </w:rPr>
            </w:pPr>
          </w:p>
        </w:tc>
      </w:tr>
      <w:tr w:rsidR="002C1FC6" w:rsidRPr="0086162F" w14:paraId="17255265" w14:textId="77777777" w:rsidTr="003B3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9521536" w14:textId="77777777" w:rsidR="002C1FC6" w:rsidRPr="0086162F" w:rsidRDefault="002C1FC6" w:rsidP="003B3AC5">
            <w:pPr>
              <w:tabs>
                <w:tab w:val="left" w:pos="284"/>
              </w:tabs>
              <w:jc w:val="both"/>
              <w:rPr>
                <w:b w:val="0"/>
                <w:sz w:val="20"/>
                <w:szCs w:val="20"/>
              </w:rPr>
            </w:pPr>
            <w:r w:rsidRPr="0086162F">
              <w:rPr>
                <w:b w:val="0"/>
                <w:caps w:val="0"/>
                <w:sz w:val="20"/>
                <w:szCs w:val="20"/>
              </w:rPr>
              <w:t>Age of respondents (in years)</w:t>
            </w:r>
          </w:p>
        </w:tc>
        <w:tc>
          <w:tcPr>
            <w:tcW w:w="2693" w:type="dxa"/>
            <w:shd w:val="clear" w:color="auto" w:fill="auto"/>
          </w:tcPr>
          <w:p w14:paraId="7D0469FE"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21-30</w:t>
            </w:r>
          </w:p>
        </w:tc>
        <w:tc>
          <w:tcPr>
            <w:tcW w:w="907" w:type="dxa"/>
            <w:shd w:val="clear" w:color="auto" w:fill="auto"/>
          </w:tcPr>
          <w:p w14:paraId="2D632A03" w14:textId="77777777" w:rsidR="002C1FC6" w:rsidRPr="00211E68"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65</w:t>
            </w:r>
          </w:p>
        </w:tc>
        <w:tc>
          <w:tcPr>
            <w:tcW w:w="907" w:type="dxa"/>
            <w:shd w:val="clear" w:color="auto" w:fill="auto"/>
          </w:tcPr>
          <w:p w14:paraId="504F8EC7"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2</w:t>
            </w:r>
            <w:r>
              <w:rPr>
                <w:sz w:val="20"/>
                <w:szCs w:val="20"/>
                <w:lang w:val="el-GR"/>
              </w:rPr>
              <w:t>6</w:t>
            </w:r>
            <w:r w:rsidRPr="0086162F">
              <w:rPr>
                <w:sz w:val="20"/>
                <w:szCs w:val="20"/>
              </w:rPr>
              <w:t>.</w:t>
            </w:r>
            <w:r>
              <w:rPr>
                <w:sz w:val="20"/>
                <w:szCs w:val="20"/>
                <w:lang w:val="el-GR"/>
              </w:rPr>
              <w:t>5</w:t>
            </w:r>
            <w:r w:rsidRPr="0086162F">
              <w:rPr>
                <w:sz w:val="20"/>
                <w:szCs w:val="20"/>
              </w:rPr>
              <w:t>%</w:t>
            </w:r>
          </w:p>
        </w:tc>
      </w:tr>
      <w:tr w:rsidR="002C1FC6" w:rsidRPr="0086162F" w14:paraId="1B38BD0D" w14:textId="77777777" w:rsidTr="003B3AC5">
        <w:trPr>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DD6A7F7"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7EF655D7"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31-40</w:t>
            </w:r>
          </w:p>
        </w:tc>
        <w:tc>
          <w:tcPr>
            <w:tcW w:w="907" w:type="dxa"/>
            <w:shd w:val="clear" w:color="auto" w:fill="auto"/>
          </w:tcPr>
          <w:p w14:paraId="4B481244" w14:textId="77777777" w:rsidR="002C1FC6" w:rsidRPr="00211E68"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111</w:t>
            </w:r>
          </w:p>
        </w:tc>
        <w:tc>
          <w:tcPr>
            <w:tcW w:w="907" w:type="dxa"/>
            <w:shd w:val="clear" w:color="auto" w:fill="auto"/>
          </w:tcPr>
          <w:p w14:paraId="26F1899B"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4</w:t>
            </w:r>
            <w:r>
              <w:rPr>
                <w:sz w:val="20"/>
                <w:szCs w:val="20"/>
                <w:lang w:val="el-GR"/>
              </w:rPr>
              <w:t>5</w:t>
            </w:r>
            <w:r w:rsidRPr="0086162F">
              <w:rPr>
                <w:sz w:val="20"/>
                <w:szCs w:val="20"/>
              </w:rPr>
              <w:t>.</w:t>
            </w:r>
            <w:r>
              <w:rPr>
                <w:sz w:val="20"/>
                <w:szCs w:val="20"/>
                <w:lang w:val="el-GR"/>
              </w:rPr>
              <w:t>3</w:t>
            </w:r>
            <w:r w:rsidRPr="0086162F">
              <w:rPr>
                <w:sz w:val="20"/>
                <w:szCs w:val="20"/>
              </w:rPr>
              <w:t>%</w:t>
            </w:r>
          </w:p>
        </w:tc>
      </w:tr>
      <w:tr w:rsidR="002C1FC6" w:rsidRPr="0086162F" w14:paraId="007CE346" w14:textId="77777777" w:rsidTr="003B3AC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6AB968F9"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65FCFCB6"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41-50</w:t>
            </w:r>
          </w:p>
        </w:tc>
        <w:tc>
          <w:tcPr>
            <w:tcW w:w="907" w:type="dxa"/>
            <w:shd w:val="clear" w:color="auto" w:fill="auto"/>
          </w:tcPr>
          <w:p w14:paraId="3577AD4E" w14:textId="77777777" w:rsidR="002C1FC6" w:rsidRPr="00211E68"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56</w:t>
            </w:r>
          </w:p>
        </w:tc>
        <w:tc>
          <w:tcPr>
            <w:tcW w:w="907" w:type="dxa"/>
            <w:shd w:val="clear" w:color="auto" w:fill="auto"/>
          </w:tcPr>
          <w:p w14:paraId="4B406559"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22.</w:t>
            </w:r>
            <w:r>
              <w:rPr>
                <w:sz w:val="20"/>
                <w:szCs w:val="20"/>
                <w:lang w:val="el-GR"/>
              </w:rPr>
              <w:t>9</w:t>
            </w:r>
            <w:r w:rsidRPr="0086162F">
              <w:rPr>
                <w:sz w:val="20"/>
                <w:szCs w:val="20"/>
              </w:rPr>
              <w:t>%</w:t>
            </w:r>
          </w:p>
        </w:tc>
      </w:tr>
      <w:tr w:rsidR="002C1FC6" w:rsidRPr="0086162F" w14:paraId="11815565" w14:textId="77777777" w:rsidTr="003B3AC5">
        <w:trPr>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227A309"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55A6695C" w14:textId="77777777" w:rsidR="002C1FC6" w:rsidRPr="0086162F" w:rsidRDefault="002C1FC6" w:rsidP="003B3AC5">
            <w:pPr>
              <w:tabs>
                <w:tab w:val="left" w:pos="284"/>
              </w:tabs>
              <w:jc w:val="both"/>
              <w:cnfStyle w:val="000000000000" w:firstRow="0" w:lastRow="0" w:firstColumn="0" w:lastColumn="0" w:oddVBand="0" w:evenVBand="0" w:oddHBand="0" w:evenHBand="0" w:firstRowFirstColumn="0" w:firstRowLastColumn="0" w:lastRowFirstColumn="0" w:lastRowLastColumn="0"/>
              <w:rPr>
                <w:sz w:val="20"/>
                <w:szCs w:val="20"/>
              </w:rPr>
            </w:pPr>
            <w:r w:rsidRPr="0086162F">
              <w:rPr>
                <w:sz w:val="20"/>
                <w:szCs w:val="20"/>
              </w:rPr>
              <w:t>51-60</w:t>
            </w:r>
          </w:p>
        </w:tc>
        <w:tc>
          <w:tcPr>
            <w:tcW w:w="907" w:type="dxa"/>
            <w:shd w:val="clear" w:color="auto" w:fill="auto"/>
          </w:tcPr>
          <w:p w14:paraId="6C24D299" w14:textId="77777777" w:rsidR="002C1FC6" w:rsidRPr="00211E68"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Pr>
                <w:sz w:val="20"/>
                <w:szCs w:val="20"/>
                <w:lang w:val="el-GR"/>
              </w:rPr>
              <w:t>10</w:t>
            </w:r>
          </w:p>
        </w:tc>
        <w:tc>
          <w:tcPr>
            <w:tcW w:w="907" w:type="dxa"/>
            <w:shd w:val="clear" w:color="auto" w:fill="auto"/>
          </w:tcPr>
          <w:p w14:paraId="5BB0322A" w14:textId="77777777" w:rsidR="002C1FC6" w:rsidRPr="0086162F" w:rsidRDefault="002C1FC6" w:rsidP="003B3AC5">
            <w:pPr>
              <w:tabs>
                <w:tab w:val="left" w:pos="284"/>
              </w:tabs>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l-GR"/>
              </w:rPr>
              <w:t>4</w:t>
            </w:r>
            <w:r w:rsidRPr="0086162F">
              <w:rPr>
                <w:sz w:val="20"/>
                <w:szCs w:val="20"/>
              </w:rPr>
              <w:t>.</w:t>
            </w:r>
            <w:r>
              <w:rPr>
                <w:sz w:val="20"/>
                <w:szCs w:val="20"/>
                <w:lang w:val="el-GR"/>
              </w:rPr>
              <w:t>1</w:t>
            </w:r>
            <w:r w:rsidRPr="0086162F">
              <w:rPr>
                <w:sz w:val="20"/>
                <w:szCs w:val="20"/>
              </w:rPr>
              <w:t>%</w:t>
            </w:r>
          </w:p>
        </w:tc>
      </w:tr>
      <w:tr w:rsidR="002C1FC6" w:rsidRPr="0086162F" w14:paraId="65B47F4A" w14:textId="77777777" w:rsidTr="003B3AC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29B5B8E4" w14:textId="77777777" w:rsidR="002C1FC6" w:rsidRPr="0086162F" w:rsidRDefault="002C1FC6" w:rsidP="003B3AC5">
            <w:pPr>
              <w:tabs>
                <w:tab w:val="left" w:pos="284"/>
              </w:tabs>
              <w:jc w:val="both"/>
              <w:rPr>
                <w:b w:val="0"/>
                <w:caps w:val="0"/>
                <w:sz w:val="20"/>
                <w:szCs w:val="20"/>
              </w:rPr>
            </w:pPr>
          </w:p>
        </w:tc>
        <w:tc>
          <w:tcPr>
            <w:tcW w:w="2693" w:type="dxa"/>
            <w:shd w:val="clear" w:color="auto" w:fill="auto"/>
          </w:tcPr>
          <w:p w14:paraId="3B82DB52" w14:textId="77777777" w:rsidR="002C1FC6" w:rsidRPr="0086162F" w:rsidRDefault="002C1FC6" w:rsidP="003B3AC5">
            <w:pPr>
              <w:tabs>
                <w:tab w:val="left" w:pos="284"/>
              </w:tabs>
              <w:jc w:val="both"/>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&gt;60</w:t>
            </w:r>
          </w:p>
        </w:tc>
        <w:tc>
          <w:tcPr>
            <w:tcW w:w="907" w:type="dxa"/>
            <w:shd w:val="clear" w:color="auto" w:fill="auto"/>
          </w:tcPr>
          <w:p w14:paraId="2624A01F" w14:textId="77777777" w:rsidR="002C1FC6" w:rsidRPr="00211E68"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Pr>
                <w:sz w:val="20"/>
                <w:szCs w:val="20"/>
                <w:lang w:val="el-GR"/>
              </w:rPr>
              <w:t>3</w:t>
            </w:r>
          </w:p>
        </w:tc>
        <w:tc>
          <w:tcPr>
            <w:tcW w:w="907" w:type="dxa"/>
            <w:shd w:val="clear" w:color="auto" w:fill="auto"/>
          </w:tcPr>
          <w:p w14:paraId="661F9C1A" w14:textId="77777777" w:rsidR="002C1FC6" w:rsidRPr="0086162F" w:rsidRDefault="002C1FC6" w:rsidP="003B3AC5">
            <w:pPr>
              <w:tabs>
                <w:tab w:val="left" w:pos="284"/>
              </w:tabs>
              <w:jc w:val="right"/>
              <w:cnfStyle w:val="000000100000" w:firstRow="0" w:lastRow="0" w:firstColumn="0" w:lastColumn="0" w:oddVBand="0" w:evenVBand="0" w:oddHBand="1" w:evenHBand="0" w:firstRowFirstColumn="0" w:firstRowLastColumn="0" w:lastRowFirstColumn="0" w:lastRowLastColumn="0"/>
              <w:rPr>
                <w:sz w:val="20"/>
                <w:szCs w:val="20"/>
              </w:rPr>
            </w:pPr>
            <w:r w:rsidRPr="0086162F">
              <w:rPr>
                <w:sz w:val="20"/>
                <w:szCs w:val="20"/>
              </w:rPr>
              <w:t>1.</w:t>
            </w:r>
            <w:r>
              <w:rPr>
                <w:sz w:val="20"/>
                <w:szCs w:val="20"/>
                <w:lang w:val="el-GR"/>
              </w:rPr>
              <w:t>2</w:t>
            </w:r>
            <w:r w:rsidRPr="0086162F">
              <w:rPr>
                <w:sz w:val="20"/>
                <w:szCs w:val="20"/>
              </w:rPr>
              <w:t>%</w:t>
            </w:r>
          </w:p>
        </w:tc>
      </w:tr>
    </w:tbl>
    <w:p w14:paraId="58841EA9" w14:textId="77777777" w:rsidR="002C1FC6" w:rsidRDefault="002C1FC6" w:rsidP="002C1FC6">
      <w:pPr>
        <w:tabs>
          <w:tab w:val="left" w:pos="284"/>
        </w:tabs>
        <w:jc w:val="both"/>
        <w:rPr>
          <w:b/>
          <w:color w:val="000000" w:themeColor="text1"/>
        </w:rPr>
      </w:pPr>
    </w:p>
    <w:p w14:paraId="5F991EFF" w14:textId="77777777" w:rsidR="002C1FC6" w:rsidRDefault="002C1FC6" w:rsidP="002C1FC6">
      <w:pPr>
        <w:tabs>
          <w:tab w:val="left" w:pos="284"/>
        </w:tabs>
        <w:jc w:val="both"/>
        <w:rPr>
          <w:b/>
          <w:color w:val="000000" w:themeColor="text1"/>
        </w:rPr>
      </w:pPr>
    </w:p>
    <w:p w14:paraId="1047022B" w14:textId="77777777" w:rsidR="002C1FC6" w:rsidRDefault="002C1FC6" w:rsidP="002C1FC6">
      <w:pPr>
        <w:spacing w:after="120"/>
        <w:rPr>
          <w:b/>
        </w:rPr>
      </w:pPr>
    </w:p>
    <w:p w14:paraId="0F2AE3D2" w14:textId="77777777" w:rsidR="002C1FC6" w:rsidRDefault="002C1FC6" w:rsidP="002C1FC6">
      <w:pPr>
        <w:spacing w:after="120"/>
        <w:rPr>
          <w:b/>
        </w:rPr>
      </w:pPr>
    </w:p>
    <w:p w14:paraId="7B72AB9A" w14:textId="77777777" w:rsidR="002C1FC6" w:rsidRDefault="002C1FC6" w:rsidP="002C1FC6">
      <w:pPr>
        <w:spacing w:after="120"/>
        <w:rPr>
          <w:b/>
        </w:rPr>
      </w:pPr>
    </w:p>
    <w:p w14:paraId="792E3B9D" w14:textId="77777777" w:rsidR="002C1FC6" w:rsidRDefault="002C1FC6" w:rsidP="002C1FC6">
      <w:pPr>
        <w:spacing w:after="120"/>
        <w:rPr>
          <w:b/>
        </w:rPr>
      </w:pPr>
    </w:p>
    <w:p w14:paraId="7DB1DBDC" w14:textId="77777777" w:rsidR="002C1FC6" w:rsidRPr="00BD1FF8" w:rsidRDefault="002C1FC6" w:rsidP="002C1FC6">
      <w:pPr>
        <w:spacing w:after="120"/>
        <w:rPr>
          <w:b/>
        </w:rPr>
      </w:pPr>
      <w:r w:rsidRPr="00C306A9">
        <w:rPr>
          <w:b/>
        </w:rPr>
        <w:lastRenderedPageBreak/>
        <w:t>A3 – Early-Late respondents’ comparisons</w:t>
      </w:r>
    </w:p>
    <w:p w14:paraId="2B4C816E" w14:textId="77777777" w:rsidR="002C1FC6" w:rsidRDefault="002C1FC6" w:rsidP="002C1FC6">
      <w:pPr>
        <w:pStyle w:val="ListParagraph"/>
        <w:spacing w:after="0" w:line="240" w:lineRule="auto"/>
        <w:ind w:left="426"/>
        <w:jc w:val="both"/>
        <w:outlineLvl w:val="0"/>
        <w:rPr>
          <w:rFonts w:ascii="Times New Roman" w:hAnsi="Times New Roman"/>
          <w:bCs/>
        </w:rPr>
      </w:pPr>
    </w:p>
    <w:tbl>
      <w:tblPr>
        <w:tblStyle w:val="TableGrid"/>
        <w:tblW w:w="0" w:type="auto"/>
        <w:tblInd w:w="-5" w:type="dxa"/>
        <w:tblLayout w:type="fixed"/>
        <w:tblLook w:val="04A0" w:firstRow="1" w:lastRow="0" w:firstColumn="1" w:lastColumn="0" w:noHBand="0" w:noVBand="1"/>
      </w:tblPr>
      <w:tblGrid>
        <w:gridCol w:w="1129"/>
        <w:gridCol w:w="1701"/>
        <w:gridCol w:w="1842"/>
        <w:gridCol w:w="1701"/>
      </w:tblGrid>
      <w:tr w:rsidR="002C1FC6" w14:paraId="67578D07" w14:textId="77777777" w:rsidTr="003B3AC5">
        <w:tc>
          <w:tcPr>
            <w:tcW w:w="1129" w:type="dxa"/>
            <w:tcBorders>
              <w:top w:val="single" w:sz="4" w:space="0" w:color="auto"/>
              <w:left w:val="nil"/>
              <w:bottom w:val="single" w:sz="4" w:space="0" w:color="auto"/>
              <w:right w:val="nil"/>
            </w:tcBorders>
            <w:vAlign w:val="center"/>
          </w:tcPr>
          <w:p w14:paraId="310E3234"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p>
        </w:tc>
        <w:tc>
          <w:tcPr>
            <w:tcW w:w="1701" w:type="dxa"/>
            <w:tcBorders>
              <w:top w:val="single" w:sz="4" w:space="0" w:color="auto"/>
              <w:left w:val="nil"/>
              <w:bottom w:val="single" w:sz="4" w:space="0" w:color="auto"/>
              <w:right w:val="nil"/>
            </w:tcBorders>
            <w:vAlign w:val="center"/>
          </w:tcPr>
          <w:p w14:paraId="08A8B52F" w14:textId="77777777" w:rsidR="002C1FC6" w:rsidRPr="00BD1FF8" w:rsidRDefault="002C1FC6" w:rsidP="003B3AC5">
            <w:pPr>
              <w:pStyle w:val="ListParagraph"/>
              <w:spacing w:after="0" w:line="240" w:lineRule="auto"/>
              <w:ind w:left="0"/>
              <w:jc w:val="center"/>
              <w:outlineLvl w:val="0"/>
              <w:rPr>
                <w:rFonts w:ascii="Times New Roman" w:hAnsi="Times New Roman"/>
                <w:b/>
                <w:sz w:val="20"/>
                <w:szCs w:val="20"/>
              </w:rPr>
            </w:pPr>
            <w:r w:rsidRPr="00BD1FF8">
              <w:rPr>
                <w:rFonts w:ascii="Times New Roman" w:hAnsi="Times New Roman"/>
                <w:b/>
                <w:sz w:val="20"/>
                <w:szCs w:val="20"/>
              </w:rPr>
              <w:t>t (p)</w:t>
            </w:r>
          </w:p>
        </w:tc>
        <w:tc>
          <w:tcPr>
            <w:tcW w:w="1842" w:type="dxa"/>
            <w:tcBorders>
              <w:top w:val="single" w:sz="4" w:space="0" w:color="auto"/>
              <w:left w:val="nil"/>
              <w:bottom w:val="single" w:sz="4" w:space="0" w:color="auto"/>
              <w:right w:val="nil"/>
            </w:tcBorders>
            <w:vAlign w:val="center"/>
          </w:tcPr>
          <w:p w14:paraId="4B3B79B5" w14:textId="77777777" w:rsidR="002C1FC6" w:rsidRPr="00BD1FF8" w:rsidRDefault="002C1FC6" w:rsidP="003B3AC5">
            <w:pPr>
              <w:pStyle w:val="ListParagraph"/>
              <w:spacing w:after="0" w:line="240" w:lineRule="auto"/>
              <w:ind w:left="0"/>
              <w:jc w:val="center"/>
              <w:outlineLvl w:val="0"/>
              <w:rPr>
                <w:rFonts w:ascii="Times New Roman" w:hAnsi="Times New Roman"/>
                <w:b/>
                <w:sz w:val="20"/>
                <w:szCs w:val="20"/>
              </w:rPr>
            </w:pPr>
            <w:r w:rsidRPr="00BD1FF8">
              <w:rPr>
                <w:rFonts w:ascii="Times New Roman" w:hAnsi="Times New Roman"/>
                <w:b/>
                <w:sz w:val="20"/>
                <w:szCs w:val="20"/>
              </w:rPr>
              <w:t>Early Respondents</w:t>
            </w:r>
          </w:p>
          <w:p w14:paraId="43B8DFFB" w14:textId="77777777" w:rsidR="002C1FC6" w:rsidRPr="00BD1FF8" w:rsidRDefault="002C1FC6" w:rsidP="003B3AC5">
            <w:pPr>
              <w:pStyle w:val="ListParagraph"/>
              <w:spacing w:after="0" w:line="240" w:lineRule="auto"/>
              <w:ind w:left="0"/>
              <w:jc w:val="center"/>
              <w:outlineLvl w:val="0"/>
              <w:rPr>
                <w:rFonts w:ascii="Times New Roman" w:hAnsi="Times New Roman"/>
                <w:b/>
                <w:sz w:val="20"/>
                <w:szCs w:val="20"/>
              </w:rPr>
            </w:pPr>
            <w:r w:rsidRPr="00BD1FF8">
              <w:rPr>
                <w:rFonts w:ascii="Times New Roman" w:hAnsi="Times New Roman"/>
                <w:b/>
                <w:sz w:val="20"/>
                <w:szCs w:val="20"/>
              </w:rPr>
              <w:t>N=122</w:t>
            </w:r>
          </w:p>
        </w:tc>
        <w:tc>
          <w:tcPr>
            <w:tcW w:w="1701" w:type="dxa"/>
            <w:tcBorders>
              <w:top w:val="single" w:sz="4" w:space="0" w:color="auto"/>
              <w:left w:val="nil"/>
              <w:bottom w:val="single" w:sz="4" w:space="0" w:color="auto"/>
              <w:right w:val="nil"/>
            </w:tcBorders>
            <w:vAlign w:val="center"/>
          </w:tcPr>
          <w:p w14:paraId="2675881C" w14:textId="77777777" w:rsidR="002C1FC6" w:rsidRPr="00BD1FF8" w:rsidRDefault="002C1FC6" w:rsidP="003B3AC5">
            <w:pPr>
              <w:pStyle w:val="ListParagraph"/>
              <w:spacing w:after="0" w:line="240" w:lineRule="auto"/>
              <w:ind w:left="0"/>
              <w:jc w:val="center"/>
              <w:outlineLvl w:val="0"/>
              <w:rPr>
                <w:rFonts w:ascii="Times New Roman" w:hAnsi="Times New Roman"/>
                <w:b/>
                <w:sz w:val="20"/>
                <w:szCs w:val="20"/>
              </w:rPr>
            </w:pPr>
            <w:r w:rsidRPr="00BD1FF8">
              <w:rPr>
                <w:rFonts w:ascii="Times New Roman" w:hAnsi="Times New Roman"/>
                <w:b/>
                <w:sz w:val="20"/>
                <w:szCs w:val="20"/>
              </w:rPr>
              <w:t>Late Respondents</w:t>
            </w:r>
          </w:p>
          <w:p w14:paraId="05F3718B" w14:textId="77777777" w:rsidR="002C1FC6" w:rsidRPr="00BD1FF8" w:rsidRDefault="002C1FC6" w:rsidP="003B3AC5">
            <w:pPr>
              <w:pStyle w:val="ListParagraph"/>
              <w:spacing w:after="0" w:line="240" w:lineRule="auto"/>
              <w:ind w:left="0"/>
              <w:jc w:val="center"/>
              <w:outlineLvl w:val="0"/>
              <w:rPr>
                <w:rFonts w:ascii="Times New Roman" w:hAnsi="Times New Roman"/>
                <w:b/>
                <w:sz w:val="20"/>
                <w:szCs w:val="20"/>
              </w:rPr>
            </w:pPr>
            <w:r w:rsidRPr="00BD1FF8">
              <w:rPr>
                <w:rFonts w:ascii="Times New Roman" w:hAnsi="Times New Roman"/>
                <w:b/>
                <w:sz w:val="20"/>
                <w:szCs w:val="20"/>
              </w:rPr>
              <w:t>N=123</w:t>
            </w:r>
          </w:p>
        </w:tc>
      </w:tr>
      <w:tr w:rsidR="002C1FC6" w14:paraId="5ABE0771" w14:textId="77777777" w:rsidTr="003B3AC5">
        <w:tc>
          <w:tcPr>
            <w:tcW w:w="1129" w:type="dxa"/>
            <w:tcBorders>
              <w:top w:val="single" w:sz="4" w:space="0" w:color="auto"/>
              <w:left w:val="nil"/>
              <w:bottom w:val="nil"/>
              <w:right w:val="nil"/>
            </w:tcBorders>
            <w:vAlign w:val="center"/>
          </w:tcPr>
          <w:p w14:paraId="24CA33D7"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CS</w:t>
            </w:r>
          </w:p>
        </w:tc>
        <w:tc>
          <w:tcPr>
            <w:tcW w:w="1701" w:type="dxa"/>
            <w:tcBorders>
              <w:top w:val="single" w:sz="4" w:space="0" w:color="auto"/>
              <w:left w:val="nil"/>
              <w:bottom w:val="nil"/>
              <w:right w:val="nil"/>
            </w:tcBorders>
            <w:vAlign w:val="center"/>
          </w:tcPr>
          <w:p w14:paraId="7C3380F7"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-.422 (.673)</w:t>
            </w:r>
          </w:p>
        </w:tc>
        <w:tc>
          <w:tcPr>
            <w:tcW w:w="1842" w:type="dxa"/>
            <w:tcBorders>
              <w:top w:val="single" w:sz="4" w:space="0" w:color="auto"/>
              <w:left w:val="nil"/>
              <w:bottom w:val="nil"/>
              <w:right w:val="nil"/>
            </w:tcBorders>
            <w:vAlign w:val="center"/>
          </w:tcPr>
          <w:p w14:paraId="5EE776F8"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4.45 (1.64)</w:t>
            </w:r>
          </w:p>
        </w:tc>
        <w:tc>
          <w:tcPr>
            <w:tcW w:w="1701" w:type="dxa"/>
            <w:tcBorders>
              <w:top w:val="single" w:sz="4" w:space="0" w:color="auto"/>
              <w:left w:val="nil"/>
              <w:bottom w:val="nil"/>
              <w:right w:val="nil"/>
            </w:tcBorders>
            <w:vAlign w:val="center"/>
          </w:tcPr>
          <w:p w14:paraId="70CBEFDE"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4.54 (1.49)</w:t>
            </w:r>
          </w:p>
        </w:tc>
      </w:tr>
      <w:tr w:rsidR="002C1FC6" w14:paraId="198CE551" w14:textId="77777777" w:rsidTr="003B3AC5">
        <w:tc>
          <w:tcPr>
            <w:tcW w:w="1129" w:type="dxa"/>
            <w:tcBorders>
              <w:top w:val="nil"/>
              <w:left w:val="nil"/>
              <w:bottom w:val="nil"/>
              <w:right w:val="nil"/>
            </w:tcBorders>
            <w:vAlign w:val="center"/>
          </w:tcPr>
          <w:p w14:paraId="47305430"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SSP</w:t>
            </w:r>
          </w:p>
        </w:tc>
        <w:tc>
          <w:tcPr>
            <w:tcW w:w="1701" w:type="dxa"/>
            <w:tcBorders>
              <w:top w:val="nil"/>
              <w:left w:val="nil"/>
              <w:bottom w:val="nil"/>
              <w:right w:val="nil"/>
            </w:tcBorders>
            <w:vAlign w:val="center"/>
          </w:tcPr>
          <w:p w14:paraId="241AA2FC"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1.733 (.084)</w:t>
            </w:r>
          </w:p>
        </w:tc>
        <w:tc>
          <w:tcPr>
            <w:tcW w:w="1842" w:type="dxa"/>
            <w:tcBorders>
              <w:top w:val="nil"/>
              <w:left w:val="nil"/>
              <w:bottom w:val="nil"/>
              <w:right w:val="nil"/>
            </w:tcBorders>
            <w:vAlign w:val="center"/>
          </w:tcPr>
          <w:p w14:paraId="2CEB6674"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4.66 (1.11)</w:t>
            </w:r>
          </w:p>
        </w:tc>
        <w:tc>
          <w:tcPr>
            <w:tcW w:w="1701" w:type="dxa"/>
            <w:tcBorders>
              <w:top w:val="nil"/>
              <w:left w:val="nil"/>
              <w:bottom w:val="nil"/>
              <w:right w:val="nil"/>
            </w:tcBorders>
            <w:vAlign w:val="center"/>
          </w:tcPr>
          <w:p w14:paraId="5DC63FDD"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4.39 (1.34)</w:t>
            </w:r>
          </w:p>
        </w:tc>
      </w:tr>
      <w:tr w:rsidR="002C1FC6" w14:paraId="7BC1DCE7" w14:textId="77777777" w:rsidTr="003B3AC5">
        <w:tc>
          <w:tcPr>
            <w:tcW w:w="1129" w:type="dxa"/>
            <w:tcBorders>
              <w:top w:val="nil"/>
              <w:left w:val="nil"/>
              <w:bottom w:val="nil"/>
              <w:right w:val="nil"/>
            </w:tcBorders>
            <w:vAlign w:val="center"/>
          </w:tcPr>
          <w:p w14:paraId="4D461AB5"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GMS</w:t>
            </w:r>
          </w:p>
        </w:tc>
        <w:tc>
          <w:tcPr>
            <w:tcW w:w="1701" w:type="dxa"/>
            <w:tcBorders>
              <w:top w:val="nil"/>
              <w:left w:val="nil"/>
              <w:bottom w:val="nil"/>
              <w:right w:val="nil"/>
            </w:tcBorders>
            <w:vAlign w:val="center"/>
          </w:tcPr>
          <w:p w14:paraId="157B7A22"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-.465 (.642)</w:t>
            </w:r>
          </w:p>
        </w:tc>
        <w:tc>
          <w:tcPr>
            <w:tcW w:w="1842" w:type="dxa"/>
            <w:tcBorders>
              <w:top w:val="nil"/>
              <w:left w:val="nil"/>
              <w:bottom w:val="nil"/>
              <w:right w:val="nil"/>
            </w:tcBorders>
            <w:vAlign w:val="center"/>
          </w:tcPr>
          <w:p w14:paraId="3D091ECD"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4.02 (1.38)</w:t>
            </w:r>
          </w:p>
        </w:tc>
        <w:tc>
          <w:tcPr>
            <w:tcW w:w="1701" w:type="dxa"/>
            <w:tcBorders>
              <w:top w:val="nil"/>
              <w:left w:val="nil"/>
              <w:bottom w:val="nil"/>
              <w:right w:val="nil"/>
            </w:tcBorders>
            <w:vAlign w:val="center"/>
          </w:tcPr>
          <w:p w14:paraId="21EF7E02"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4.10 (1.34)</w:t>
            </w:r>
          </w:p>
        </w:tc>
      </w:tr>
      <w:tr w:rsidR="002C1FC6" w14:paraId="5CFC2400" w14:textId="77777777" w:rsidTr="003B3AC5">
        <w:tc>
          <w:tcPr>
            <w:tcW w:w="1129" w:type="dxa"/>
            <w:tcBorders>
              <w:top w:val="nil"/>
              <w:left w:val="nil"/>
              <w:bottom w:val="nil"/>
              <w:right w:val="nil"/>
            </w:tcBorders>
            <w:vAlign w:val="center"/>
          </w:tcPr>
          <w:p w14:paraId="57448360"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GMR</w:t>
            </w:r>
          </w:p>
        </w:tc>
        <w:tc>
          <w:tcPr>
            <w:tcW w:w="1701" w:type="dxa"/>
            <w:tcBorders>
              <w:top w:val="nil"/>
              <w:left w:val="nil"/>
              <w:bottom w:val="nil"/>
              <w:right w:val="nil"/>
            </w:tcBorders>
            <w:vAlign w:val="center"/>
          </w:tcPr>
          <w:p w14:paraId="7A70E4A5"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-.622 (.535)</w:t>
            </w:r>
          </w:p>
        </w:tc>
        <w:tc>
          <w:tcPr>
            <w:tcW w:w="1842" w:type="dxa"/>
            <w:tcBorders>
              <w:top w:val="nil"/>
              <w:left w:val="nil"/>
              <w:bottom w:val="nil"/>
              <w:right w:val="nil"/>
            </w:tcBorders>
            <w:vAlign w:val="center"/>
          </w:tcPr>
          <w:p w14:paraId="580087EC"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3.49 (1.49)</w:t>
            </w:r>
          </w:p>
        </w:tc>
        <w:tc>
          <w:tcPr>
            <w:tcW w:w="1701" w:type="dxa"/>
            <w:tcBorders>
              <w:top w:val="nil"/>
              <w:left w:val="nil"/>
              <w:bottom w:val="nil"/>
              <w:right w:val="nil"/>
            </w:tcBorders>
            <w:vAlign w:val="center"/>
          </w:tcPr>
          <w:p w14:paraId="276B5DD9"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3.60 (1.26)</w:t>
            </w:r>
          </w:p>
        </w:tc>
      </w:tr>
      <w:tr w:rsidR="002C1FC6" w14:paraId="674430D2" w14:textId="77777777" w:rsidTr="003B3AC5">
        <w:tc>
          <w:tcPr>
            <w:tcW w:w="1129" w:type="dxa"/>
            <w:tcBorders>
              <w:top w:val="nil"/>
              <w:left w:val="nil"/>
              <w:bottom w:val="nil"/>
              <w:right w:val="nil"/>
            </w:tcBorders>
            <w:vAlign w:val="center"/>
          </w:tcPr>
          <w:p w14:paraId="4FFDE97E"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OR</w:t>
            </w:r>
          </w:p>
        </w:tc>
        <w:tc>
          <w:tcPr>
            <w:tcW w:w="1701" w:type="dxa"/>
            <w:tcBorders>
              <w:top w:val="nil"/>
              <w:left w:val="nil"/>
              <w:bottom w:val="nil"/>
              <w:right w:val="nil"/>
            </w:tcBorders>
            <w:vAlign w:val="center"/>
          </w:tcPr>
          <w:p w14:paraId="5AF36A47"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.437 (.663)</w:t>
            </w:r>
          </w:p>
        </w:tc>
        <w:tc>
          <w:tcPr>
            <w:tcW w:w="1842" w:type="dxa"/>
            <w:tcBorders>
              <w:top w:val="nil"/>
              <w:left w:val="nil"/>
              <w:bottom w:val="nil"/>
              <w:right w:val="nil"/>
            </w:tcBorders>
            <w:vAlign w:val="center"/>
          </w:tcPr>
          <w:p w14:paraId="47410806"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4.66 (1.07)</w:t>
            </w:r>
          </w:p>
        </w:tc>
        <w:tc>
          <w:tcPr>
            <w:tcW w:w="1701" w:type="dxa"/>
            <w:tcBorders>
              <w:top w:val="nil"/>
              <w:left w:val="nil"/>
              <w:bottom w:val="nil"/>
              <w:right w:val="nil"/>
            </w:tcBorders>
            <w:vAlign w:val="center"/>
          </w:tcPr>
          <w:p w14:paraId="24DDAD0A"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4.62 (1.05)</w:t>
            </w:r>
          </w:p>
        </w:tc>
      </w:tr>
      <w:tr w:rsidR="002C1FC6" w14:paraId="5B03CB15" w14:textId="77777777" w:rsidTr="003B3AC5">
        <w:tc>
          <w:tcPr>
            <w:tcW w:w="1129" w:type="dxa"/>
            <w:tcBorders>
              <w:top w:val="nil"/>
              <w:left w:val="nil"/>
              <w:bottom w:val="single" w:sz="4" w:space="0" w:color="auto"/>
              <w:right w:val="nil"/>
            </w:tcBorders>
            <w:vAlign w:val="center"/>
          </w:tcPr>
          <w:p w14:paraId="3E11E079"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FR</w:t>
            </w:r>
          </w:p>
        </w:tc>
        <w:tc>
          <w:tcPr>
            <w:tcW w:w="1701" w:type="dxa"/>
            <w:tcBorders>
              <w:top w:val="nil"/>
              <w:left w:val="nil"/>
              <w:bottom w:val="single" w:sz="4" w:space="0" w:color="auto"/>
              <w:right w:val="nil"/>
            </w:tcBorders>
            <w:vAlign w:val="center"/>
          </w:tcPr>
          <w:p w14:paraId="4EDD6948"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.426 (.670)</w:t>
            </w:r>
          </w:p>
        </w:tc>
        <w:tc>
          <w:tcPr>
            <w:tcW w:w="1842" w:type="dxa"/>
            <w:tcBorders>
              <w:top w:val="nil"/>
              <w:left w:val="nil"/>
              <w:bottom w:val="single" w:sz="4" w:space="0" w:color="auto"/>
              <w:right w:val="nil"/>
            </w:tcBorders>
            <w:vAlign w:val="center"/>
          </w:tcPr>
          <w:p w14:paraId="1F1CDB81"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4.35 (1.22)</w:t>
            </w:r>
          </w:p>
        </w:tc>
        <w:tc>
          <w:tcPr>
            <w:tcW w:w="1701" w:type="dxa"/>
            <w:tcBorders>
              <w:top w:val="nil"/>
              <w:left w:val="nil"/>
              <w:bottom w:val="single" w:sz="4" w:space="0" w:color="auto"/>
              <w:right w:val="nil"/>
            </w:tcBorders>
            <w:vAlign w:val="center"/>
          </w:tcPr>
          <w:p w14:paraId="311DB05E" w14:textId="77777777" w:rsidR="002C1FC6" w:rsidRPr="00BD1FF8" w:rsidRDefault="002C1FC6" w:rsidP="003B3AC5">
            <w:pPr>
              <w:pStyle w:val="ListParagraph"/>
              <w:spacing w:after="0" w:line="240" w:lineRule="auto"/>
              <w:ind w:left="0"/>
              <w:jc w:val="center"/>
              <w:outlineLvl w:val="0"/>
              <w:rPr>
                <w:rFonts w:ascii="Times New Roman" w:hAnsi="Times New Roman"/>
                <w:bCs/>
                <w:sz w:val="20"/>
                <w:szCs w:val="20"/>
              </w:rPr>
            </w:pPr>
            <w:r w:rsidRPr="00BD1FF8">
              <w:rPr>
                <w:rFonts w:ascii="Times New Roman" w:hAnsi="Times New Roman"/>
                <w:bCs/>
                <w:sz w:val="20"/>
                <w:szCs w:val="20"/>
              </w:rPr>
              <w:t>4.28 (1.21)</w:t>
            </w:r>
          </w:p>
        </w:tc>
      </w:tr>
    </w:tbl>
    <w:p w14:paraId="3B92C2AA" w14:textId="77777777" w:rsidR="002C1FC6" w:rsidRDefault="002C1FC6" w:rsidP="002C1FC6">
      <w:pPr>
        <w:spacing w:after="120"/>
        <w:rPr>
          <w:b/>
        </w:rPr>
      </w:pPr>
    </w:p>
    <w:p w14:paraId="0842CC07" w14:textId="77777777" w:rsidR="002C1FC6" w:rsidRDefault="002C1FC6" w:rsidP="002C1FC6">
      <w:pPr>
        <w:spacing w:after="120"/>
        <w:rPr>
          <w:b/>
        </w:rPr>
      </w:pPr>
    </w:p>
    <w:p w14:paraId="0599DAF9" w14:textId="77777777" w:rsidR="002C1FC6" w:rsidRDefault="002C1FC6" w:rsidP="002C1FC6">
      <w:pPr>
        <w:spacing w:after="120"/>
        <w:rPr>
          <w:b/>
        </w:rPr>
      </w:pPr>
      <w:r>
        <w:rPr>
          <w:b/>
        </w:rPr>
        <w:t>A4 - Common method variance test using marker variable</w:t>
      </w:r>
    </w:p>
    <w:p w14:paraId="7A723F4C" w14:textId="77777777" w:rsidR="002C1FC6" w:rsidRPr="00B057DD" w:rsidRDefault="002C1FC6" w:rsidP="002C1FC6">
      <w:pPr>
        <w:rPr>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2339"/>
        <w:gridCol w:w="2409"/>
      </w:tblGrid>
      <w:tr w:rsidR="002C1FC6" w:rsidRPr="004613A2" w14:paraId="537512D5" w14:textId="77777777" w:rsidTr="003B3AC5">
        <w:tc>
          <w:tcPr>
            <w:tcW w:w="2056" w:type="dxa"/>
            <w:tcBorders>
              <w:top w:val="single" w:sz="4" w:space="0" w:color="auto"/>
              <w:bottom w:val="single" w:sz="4" w:space="0" w:color="auto"/>
            </w:tcBorders>
            <w:vAlign w:val="center"/>
          </w:tcPr>
          <w:p w14:paraId="0BF33355" w14:textId="77777777" w:rsidR="002C1FC6" w:rsidRPr="004613A2" w:rsidRDefault="002C1FC6" w:rsidP="003B3AC5">
            <w:pPr>
              <w:jc w:val="both"/>
              <w:rPr>
                <w:b/>
                <w:sz w:val="20"/>
              </w:rPr>
            </w:pPr>
            <w:r w:rsidRPr="004613A2">
              <w:rPr>
                <w:b/>
                <w:sz w:val="20"/>
              </w:rPr>
              <w:t>Correlation between</w:t>
            </w:r>
          </w:p>
        </w:tc>
        <w:tc>
          <w:tcPr>
            <w:tcW w:w="2339" w:type="dxa"/>
            <w:tcBorders>
              <w:top w:val="single" w:sz="4" w:space="0" w:color="auto"/>
              <w:bottom w:val="single" w:sz="4" w:space="0" w:color="auto"/>
            </w:tcBorders>
            <w:vAlign w:val="center"/>
          </w:tcPr>
          <w:p w14:paraId="0C050CF0" w14:textId="77777777" w:rsidR="002C1FC6" w:rsidRPr="004613A2" w:rsidRDefault="002C1FC6" w:rsidP="003B3AC5">
            <w:pPr>
              <w:jc w:val="center"/>
              <w:rPr>
                <w:b/>
                <w:sz w:val="20"/>
              </w:rPr>
            </w:pPr>
            <w:r w:rsidRPr="004613A2">
              <w:rPr>
                <w:b/>
                <w:sz w:val="20"/>
              </w:rPr>
              <w:t>Original correlation</w:t>
            </w:r>
          </w:p>
        </w:tc>
        <w:tc>
          <w:tcPr>
            <w:tcW w:w="2409" w:type="dxa"/>
            <w:tcBorders>
              <w:top w:val="single" w:sz="4" w:space="0" w:color="auto"/>
              <w:bottom w:val="single" w:sz="4" w:space="0" w:color="auto"/>
            </w:tcBorders>
            <w:vAlign w:val="center"/>
          </w:tcPr>
          <w:p w14:paraId="38CE0A7C" w14:textId="77777777" w:rsidR="002C1FC6" w:rsidRPr="004613A2" w:rsidRDefault="002C1FC6" w:rsidP="003B3AC5">
            <w:pPr>
              <w:jc w:val="center"/>
              <w:rPr>
                <w:b/>
                <w:sz w:val="20"/>
              </w:rPr>
            </w:pPr>
            <w:r w:rsidRPr="004613A2">
              <w:rPr>
                <w:b/>
                <w:sz w:val="20"/>
              </w:rPr>
              <w:t>Marker-variable corrected correlation</w:t>
            </w:r>
          </w:p>
        </w:tc>
      </w:tr>
      <w:tr w:rsidR="002C1FC6" w:rsidRPr="004613A2" w14:paraId="5EE84C9D" w14:textId="77777777" w:rsidTr="003B3AC5">
        <w:tc>
          <w:tcPr>
            <w:tcW w:w="2056" w:type="dxa"/>
            <w:tcBorders>
              <w:top w:val="single" w:sz="4" w:space="0" w:color="auto"/>
            </w:tcBorders>
            <w:vAlign w:val="center"/>
          </w:tcPr>
          <w:p w14:paraId="4D6062C6" w14:textId="77777777" w:rsidR="002C1FC6" w:rsidRPr="00585D5F" w:rsidRDefault="002C1FC6" w:rsidP="003B3AC5">
            <w:pPr>
              <w:rPr>
                <w:sz w:val="20"/>
                <w:lang w:val="en-GB"/>
              </w:rPr>
            </w:pPr>
            <w:r>
              <w:rPr>
                <w:sz w:val="20"/>
                <w:lang w:val="en-GB"/>
              </w:rPr>
              <w:t>CS</w:t>
            </w:r>
            <w:r w:rsidRPr="00585D5F">
              <w:rPr>
                <w:sz w:val="20"/>
                <w:lang w:val="en-GB"/>
              </w:rPr>
              <w:t xml:space="preserve"> – </w:t>
            </w:r>
            <w:r>
              <w:rPr>
                <w:sz w:val="20"/>
                <w:lang w:val="en-GB"/>
              </w:rPr>
              <w:t>SSP</w:t>
            </w:r>
          </w:p>
        </w:tc>
        <w:tc>
          <w:tcPr>
            <w:tcW w:w="2339" w:type="dxa"/>
            <w:tcBorders>
              <w:top w:val="single" w:sz="4" w:space="0" w:color="auto"/>
            </w:tcBorders>
            <w:vAlign w:val="center"/>
          </w:tcPr>
          <w:p w14:paraId="05BA2744" w14:textId="77777777" w:rsidR="002C1FC6" w:rsidRPr="004613A2" w:rsidRDefault="002C1FC6" w:rsidP="003B3AC5">
            <w:pPr>
              <w:jc w:val="center"/>
              <w:rPr>
                <w:sz w:val="20"/>
              </w:rPr>
            </w:pPr>
            <w:r>
              <w:rPr>
                <w:sz w:val="20"/>
              </w:rPr>
              <w:t>0.566***</w:t>
            </w:r>
          </w:p>
        </w:tc>
        <w:tc>
          <w:tcPr>
            <w:tcW w:w="2409" w:type="dxa"/>
            <w:tcBorders>
              <w:top w:val="single" w:sz="4" w:space="0" w:color="auto"/>
            </w:tcBorders>
            <w:vAlign w:val="center"/>
          </w:tcPr>
          <w:p w14:paraId="51810D4E" w14:textId="77777777" w:rsidR="002C1FC6" w:rsidRPr="004613A2" w:rsidRDefault="002C1FC6" w:rsidP="003B3AC5">
            <w:pPr>
              <w:jc w:val="center"/>
              <w:rPr>
                <w:sz w:val="20"/>
              </w:rPr>
            </w:pPr>
            <w:r>
              <w:rPr>
                <w:sz w:val="20"/>
              </w:rPr>
              <w:t>0.566***</w:t>
            </w:r>
          </w:p>
        </w:tc>
      </w:tr>
      <w:tr w:rsidR="002C1FC6" w:rsidRPr="004613A2" w14:paraId="064441EF" w14:textId="77777777" w:rsidTr="003B3AC5">
        <w:tc>
          <w:tcPr>
            <w:tcW w:w="2056" w:type="dxa"/>
            <w:vAlign w:val="center"/>
          </w:tcPr>
          <w:p w14:paraId="10D016BA" w14:textId="77777777" w:rsidR="002C1FC6" w:rsidRPr="00585D5F" w:rsidRDefault="002C1FC6" w:rsidP="003B3AC5">
            <w:pPr>
              <w:rPr>
                <w:sz w:val="20"/>
                <w:lang w:val="en-GB"/>
              </w:rPr>
            </w:pPr>
            <w:r>
              <w:rPr>
                <w:sz w:val="20"/>
                <w:lang w:val="en-GB"/>
              </w:rPr>
              <w:t>CS</w:t>
            </w:r>
            <w:r w:rsidRPr="00585D5F">
              <w:rPr>
                <w:sz w:val="20"/>
                <w:lang w:val="en-GB"/>
              </w:rPr>
              <w:t xml:space="preserve"> – </w:t>
            </w:r>
            <w:r>
              <w:rPr>
                <w:sz w:val="20"/>
                <w:lang w:val="en-GB"/>
              </w:rPr>
              <w:t>GMS</w:t>
            </w:r>
          </w:p>
        </w:tc>
        <w:tc>
          <w:tcPr>
            <w:tcW w:w="2339" w:type="dxa"/>
            <w:vAlign w:val="center"/>
          </w:tcPr>
          <w:p w14:paraId="1A04A26F" w14:textId="77777777" w:rsidR="002C1FC6" w:rsidRPr="004613A2" w:rsidRDefault="002C1FC6" w:rsidP="003B3AC5">
            <w:pPr>
              <w:jc w:val="center"/>
              <w:rPr>
                <w:sz w:val="20"/>
              </w:rPr>
            </w:pPr>
            <w:r>
              <w:rPr>
                <w:sz w:val="20"/>
              </w:rPr>
              <w:t>0.714***</w:t>
            </w:r>
          </w:p>
        </w:tc>
        <w:tc>
          <w:tcPr>
            <w:tcW w:w="2409" w:type="dxa"/>
            <w:vAlign w:val="center"/>
          </w:tcPr>
          <w:p w14:paraId="3ED82D07" w14:textId="77777777" w:rsidR="002C1FC6" w:rsidRPr="004613A2" w:rsidRDefault="002C1FC6" w:rsidP="003B3AC5">
            <w:pPr>
              <w:jc w:val="center"/>
              <w:rPr>
                <w:sz w:val="20"/>
              </w:rPr>
            </w:pPr>
            <w:r>
              <w:rPr>
                <w:sz w:val="20"/>
              </w:rPr>
              <w:t>0.714***</w:t>
            </w:r>
          </w:p>
        </w:tc>
      </w:tr>
      <w:tr w:rsidR="002C1FC6" w:rsidRPr="004613A2" w14:paraId="62291640" w14:textId="77777777" w:rsidTr="003B3AC5">
        <w:tc>
          <w:tcPr>
            <w:tcW w:w="2056" w:type="dxa"/>
            <w:vAlign w:val="center"/>
          </w:tcPr>
          <w:p w14:paraId="03A21FE1" w14:textId="77777777" w:rsidR="002C1FC6" w:rsidRPr="004613A2" w:rsidRDefault="002C1FC6" w:rsidP="003B3AC5">
            <w:pPr>
              <w:rPr>
                <w:sz w:val="20"/>
              </w:rPr>
            </w:pPr>
            <w:r>
              <w:rPr>
                <w:sz w:val="20"/>
              </w:rPr>
              <w:t>CS – GMR</w:t>
            </w:r>
          </w:p>
        </w:tc>
        <w:tc>
          <w:tcPr>
            <w:tcW w:w="2339" w:type="dxa"/>
            <w:vAlign w:val="center"/>
          </w:tcPr>
          <w:p w14:paraId="7DADBB19" w14:textId="77777777" w:rsidR="002C1FC6" w:rsidRPr="004613A2" w:rsidRDefault="002C1FC6" w:rsidP="003B3AC5">
            <w:pPr>
              <w:jc w:val="center"/>
              <w:rPr>
                <w:sz w:val="20"/>
              </w:rPr>
            </w:pPr>
            <w:r>
              <w:rPr>
                <w:sz w:val="20"/>
              </w:rPr>
              <w:t>0.471***</w:t>
            </w:r>
          </w:p>
        </w:tc>
        <w:tc>
          <w:tcPr>
            <w:tcW w:w="2409" w:type="dxa"/>
            <w:vAlign w:val="center"/>
          </w:tcPr>
          <w:p w14:paraId="0CEFAF69" w14:textId="77777777" w:rsidR="002C1FC6" w:rsidRPr="004613A2" w:rsidRDefault="002C1FC6" w:rsidP="003B3AC5">
            <w:pPr>
              <w:jc w:val="center"/>
              <w:rPr>
                <w:sz w:val="20"/>
              </w:rPr>
            </w:pPr>
            <w:r>
              <w:rPr>
                <w:sz w:val="20"/>
              </w:rPr>
              <w:t>0.471***</w:t>
            </w:r>
          </w:p>
        </w:tc>
      </w:tr>
      <w:tr w:rsidR="002C1FC6" w:rsidRPr="004613A2" w14:paraId="17D9D630" w14:textId="77777777" w:rsidTr="003B3AC5">
        <w:tc>
          <w:tcPr>
            <w:tcW w:w="2056" w:type="dxa"/>
            <w:vAlign w:val="center"/>
          </w:tcPr>
          <w:p w14:paraId="5D477D8C" w14:textId="77777777" w:rsidR="002C1FC6" w:rsidRPr="004613A2" w:rsidRDefault="002C1FC6" w:rsidP="003B3AC5">
            <w:pPr>
              <w:rPr>
                <w:sz w:val="20"/>
              </w:rPr>
            </w:pPr>
            <w:r>
              <w:rPr>
                <w:sz w:val="20"/>
              </w:rPr>
              <w:t>CS – OR</w:t>
            </w:r>
          </w:p>
        </w:tc>
        <w:tc>
          <w:tcPr>
            <w:tcW w:w="2339" w:type="dxa"/>
            <w:vAlign w:val="center"/>
          </w:tcPr>
          <w:p w14:paraId="1AA85E12" w14:textId="77777777" w:rsidR="002C1FC6" w:rsidRPr="004613A2" w:rsidRDefault="002C1FC6" w:rsidP="003B3AC5">
            <w:pPr>
              <w:jc w:val="center"/>
              <w:rPr>
                <w:sz w:val="20"/>
              </w:rPr>
            </w:pPr>
            <w:r>
              <w:rPr>
                <w:sz w:val="20"/>
              </w:rPr>
              <w:t>0.343***</w:t>
            </w:r>
          </w:p>
        </w:tc>
        <w:tc>
          <w:tcPr>
            <w:tcW w:w="2409" w:type="dxa"/>
            <w:vAlign w:val="center"/>
          </w:tcPr>
          <w:p w14:paraId="482D95D5" w14:textId="77777777" w:rsidR="002C1FC6" w:rsidRPr="004613A2" w:rsidRDefault="002C1FC6" w:rsidP="003B3AC5">
            <w:pPr>
              <w:jc w:val="center"/>
              <w:rPr>
                <w:sz w:val="20"/>
              </w:rPr>
            </w:pPr>
            <w:r>
              <w:rPr>
                <w:sz w:val="20"/>
              </w:rPr>
              <w:t>0.343***</w:t>
            </w:r>
          </w:p>
        </w:tc>
      </w:tr>
      <w:tr w:rsidR="002C1FC6" w:rsidRPr="004613A2" w14:paraId="5D65C173" w14:textId="77777777" w:rsidTr="003B3AC5">
        <w:tc>
          <w:tcPr>
            <w:tcW w:w="2056" w:type="dxa"/>
            <w:vAlign w:val="center"/>
          </w:tcPr>
          <w:p w14:paraId="1AFA9FB2" w14:textId="77777777" w:rsidR="002C1FC6" w:rsidRDefault="002C1FC6" w:rsidP="003B3AC5">
            <w:pPr>
              <w:rPr>
                <w:sz w:val="20"/>
              </w:rPr>
            </w:pPr>
            <w:r>
              <w:rPr>
                <w:sz w:val="20"/>
              </w:rPr>
              <w:t>CS – FR</w:t>
            </w:r>
          </w:p>
        </w:tc>
        <w:tc>
          <w:tcPr>
            <w:tcW w:w="2339" w:type="dxa"/>
            <w:vAlign w:val="center"/>
          </w:tcPr>
          <w:p w14:paraId="1BCD223E" w14:textId="77777777" w:rsidR="002C1FC6" w:rsidRDefault="002C1FC6" w:rsidP="003B3AC5">
            <w:pPr>
              <w:jc w:val="center"/>
              <w:rPr>
                <w:sz w:val="20"/>
              </w:rPr>
            </w:pPr>
            <w:r>
              <w:rPr>
                <w:sz w:val="20"/>
              </w:rPr>
              <w:t>0.216***</w:t>
            </w:r>
          </w:p>
        </w:tc>
        <w:tc>
          <w:tcPr>
            <w:tcW w:w="2409" w:type="dxa"/>
            <w:vAlign w:val="center"/>
          </w:tcPr>
          <w:p w14:paraId="27A76F4E" w14:textId="77777777" w:rsidR="002C1FC6" w:rsidRDefault="002C1FC6" w:rsidP="003B3AC5">
            <w:pPr>
              <w:jc w:val="center"/>
              <w:rPr>
                <w:sz w:val="20"/>
              </w:rPr>
            </w:pPr>
            <w:r>
              <w:rPr>
                <w:sz w:val="20"/>
              </w:rPr>
              <w:t>0.216***</w:t>
            </w:r>
          </w:p>
        </w:tc>
      </w:tr>
      <w:tr w:rsidR="002C1FC6" w:rsidRPr="004613A2" w14:paraId="3C23B4E9" w14:textId="77777777" w:rsidTr="003B3AC5">
        <w:tc>
          <w:tcPr>
            <w:tcW w:w="2056" w:type="dxa"/>
            <w:vAlign w:val="center"/>
          </w:tcPr>
          <w:p w14:paraId="23BB48DF" w14:textId="77777777" w:rsidR="002C1FC6" w:rsidRDefault="002C1FC6" w:rsidP="003B3AC5">
            <w:pPr>
              <w:rPr>
                <w:sz w:val="20"/>
              </w:rPr>
            </w:pPr>
            <w:r>
              <w:rPr>
                <w:sz w:val="20"/>
                <w:lang w:val="en-GB"/>
              </w:rPr>
              <w:t>SSP</w:t>
            </w:r>
            <w:r w:rsidRPr="00585D5F">
              <w:rPr>
                <w:sz w:val="20"/>
                <w:lang w:val="en-GB"/>
              </w:rPr>
              <w:t xml:space="preserve"> – </w:t>
            </w:r>
            <w:r>
              <w:rPr>
                <w:sz w:val="20"/>
                <w:lang w:val="en-GB"/>
              </w:rPr>
              <w:t>GMS</w:t>
            </w:r>
          </w:p>
        </w:tc>
        <w:tc>
          <w:tcPr>
            <w:tcW w:w="2339" w:type="dxa"/>
            <w:vAlign w:val="center"/>
          </w:tcPr>
          <w:p w14:paraId="62E762A9" w14:textId="77777777" w:rsidR="002C1FC6" w:rsidRDefault="002C1FC6" w:rsidP="003B3AC5">
            <w:pPr>
              <w:jc w:val="center"/>
              <w:rPr>
                <w:sz w:val="20"/>
              </w:rPr>
            </w:pPr>
            <w:r>
              <w:rPr>
                <w:sz w:val="20"/>
              </w:rPr>
              <w:t>0.606***</w:t>
            </w:r>
          </w:p>
        </w:tc>
        <w:tc>
          <w:tcPr>
            <w:tcW w:w="2409" w:type="dxa"/>
            <w:vAlign w:val="center"/>
          </w:tcPr>
          <w:p w14:paraId="61C0CA74" w14:textId="77777777" w:rsidR="002C1FC6" w:rsidRDefault="002C1FC6" w:rsidP="003B3AC5">
            <w:pPr>
              <w:jc w:val="center"/>
              <w:rPr>
                <w:sz w:val="20"/>
              </w:rPr>
            </w:pPr>
            <w:r>
              <w:rPr>
                <w:sz w:val="20"/>
              </w:rPr>
              <w:t>0.607***</w:t>
            </w:r>
          </w:p>
        </w:tc>
      </w:tr>
      <w:tr w:rsidR="002C1FC6" w:rsidRPr="004613A2" w14:paraId="3F19B487" w14:textId="77777777" w:rsidTr="003B3AC5">
        <w:tc>
          <w:tcPr>
            <w:tcW w:w="2056" w:type="dxa"/>
            <w:vAlign w:val="center"/>
          </w:tcPr>
          <w:p w14:paraId="40E01048" w14:textId="77777777" w:rsidR="002C1FC6" w:rsidRDefault="002C1FC6" w:rsidP="003B3AC5">
            <w:pPr>
              <w:rPr>
                <w:sz w:val="20"/>
              </w:rPr>
            </w:pPr>
            <w:r>
              <w:rPr>
                <w:sz w:val="20"/>
                <w:lang w:val="en-GB"/>
              </w:rPr>
              <w:t>SSP</w:t>
            </w:r>
            <w:r w:rsidRPr="00585D5F">
              <w:rPr>
                <w:sz w:val="20"/>
                <w:lang w:val="en-GB"/>
              </w:rPr>
              <w:t xml:space="preserve"> </w:t>
            </w:r>
            <w:r>
              <w:rPr>
                <w:sz w:val="20"/>
              </w:rPr>
              <w:t>– GMR</w:t>
            </w:r>
          </w:p>
        </w:tc>
        <w:tc>
          <w:tcPr>
            <w:tcW w:w="2339" w:type="dxa"/>
            <w:vAlign w:val="center"/>
          </w:tcPr>
          <w:p w14:paraId="6EDD787D" w14:textId="77777777" w:rsidR="002C1FC6" w:rsidRDefault="002C1FC6" w:rsidP="003B3AC5">
            <w:pPr>
              <w:jc w:val="center"/>
              <w:rPr>
                <w:sz w:val="20"/>
              </w:rPr>
            </w:pPr>
            <w:r>
              <w:rPr>
                <w:sz w:val="20"/>
              </w:rPr>
              <w:t>0.324***</w:t>
            </w:r>
          </w:p>
        </w:tc>
        <w:tc>
          <w:tcPr>
            <w:tcW w:w="2409" w:type="dxa"/>
            <w:vAlign w:val="center"/>
          </w:tcPr>
          <w:p w14:paraId="4164478D" w14:textId="77777777" w:rsidR="002C1FC6" w:rsidRDefault="002C1FC6" w:rsidP="003B3AC5">
            <w:pPr>
              <w:jc w:val="center"/>
              <w:rPr>
                <w:sz w:val="20"/>
              </w:rPr>
            </w:pPr>
            <w:r>
              <w:rPr>
                <w:sz w:val="20"/>
              </w:rPr>
              <w:t>0.324***</w:t>
            </w:r>
          </w:p>
        </w:tc>
      </w:tr>
      <w:tr w:rsidR="002C1FC6" w:rsidRPr="004613A2" w14:paraId="3E0A956A" w14:textId="77777777" w:rsidTr="003B3AC5">
        <w:tc>
          <w:tcPr>
            <w:tcW w:w="2056" w:type="dxa"/>
            <w:vAlign w:val="center"/>
          </w:tcPr>
          <w:p w14:paraId="582F83BF" w14:textId="77777777" w:rsidR="002C1FC6" w:rsidRDefault="002C1FC6" w:rsidP="003B3AC5">
            <w:pPr>
              <w:rPr>
                <w:sz w:val="20"/>
              </w:rPr>
            </w:pPr>
            <w:r>
              <w:rPr>
                <w:sz w:val="20"/>
                <w:lang w:val="en-GB"/>
              </w:rPr>
              <w:t>SSP</w:t>
            </w:r>
            <w:r w:rsidRPr="00585D5F">
              <w:rPr>
                <w:sz w:val="20"/>
                <w:lang w:val="en-GB"/>
              </w:rPr>
              <w:t xml:space="preserve"> </w:t>
            </w:r>
            <w:r>
              <w:rPr>
                <w:sz w:val="20"/>
              </w:rPr>
              <w:t>– OR</w:t>
            </w:r>
          </w:p>
        </w:tc>
        <w:tc>
          <w:tcPr>
            <w:tcW w:w="2339" w:type="dxa"/>
            <w:vAlign w:val="center"/>
          </w:tcPr>
          <w:p w14:paraId="31DE1506" w14:textId="77777777" w:rsidR="002C1FC6" w:rsidRDefault="002C1FC6" w:rsidP="003B3AC5">
            <w:pPr>
              <w:jc w:val="center"/>
              <w:rPr>
                <w:sz w:val="20"/>
              </w:rPr>
            </w:pPr>
            <w:r>
              <w:rPr>
                <w:sz w:val="20"/>
              </w:rPr>
              <w:t>0.312***</w:t>
            </w:r>
          </w:p>
        </w:tc>
        <w:tc>
          <w:tcPr>
            <w:tcW w:w="2409" w:type="dxa"/>
            <w:vAlign w:val="center"/>
          </w:tcPr>
          <w:p w14:paraId="2FD94A77" w14:textId="77777777" w:rsidR="002C1FC6" w:rsidRDefault="002C1FC6" w:rsidP="003B3AC5">
            <w:pPr>
              <w:jc w:val="center"/>
              <w:rPr>
                <w:sz w:val="20"/>
              </w:rPr>
            </w:pPr>
            <w:r>
              <w:rPr>
                <w:sz w:val="20"/>
              </w:rPr>
              <w:t>0.313***</w:t>
            </w:r>
          </w:p>
        </w:tc>
      </w:tr>
      <w:tr w:rsidR="002C1FC6" w:rsidRPr="004613A2" w14:paraId="6303C7CB" w14:textId="77777777" w:rsidTr="003B3AC5">
        <w:tc>
          <w:tcPr>
            <w:tcW w:w="2056" w:type="dxa"/>
            <w:vAlign w:val="center"/>
          </w:tcPr>
          <w:p w14:paraId="3712E9B6" w14:textId="77777777" w:rsidR="002C1FC6" w:rsidRDefault="002C1FC6" w:rsidP="003B3AC5">
            <w:pPr>
              <w:rPr>
                <w:sz w:val="20"/>
              </w:rPr>
            </w:pPr>
            <w:r>
              <w:rPr>
                <w:sz w:val="20"/>
                <w:lang w:val="en-GB"/>
              </w:rPr>
              <w:t>SSP</w:t>
            </w:r>
            <w:r w:rsidRPr="00585D5F">
              <w:rPr>
                <w:sz w:val="20"/>
                <w:lang w:val="en-GB"/>
              </w:rPr>
              <w:t xml:space="preserve"> </w:t>
            </w:r>
            <w:r>
              <w:rPr>
                <w:sz w:val="20"/>
              </w:rPr>
              <w:t>– FR</w:t>
            </w:r>
          </w:p>
        </w:tc>
        <w:tc>
          <w:tcPr>
            <w:tcW w:w="2339" w:type="dxa"/>
            <w:vAlign w:val="center"/>
          </w:tcPr>
          <w:p w14:paraId="6B9CBBAA" w14:textId="77777777" w:rsidR="002C1FC6" w:rsidRDefault="002C1FC6" w:rsidP="003B3AC5">
            <w:pPr>
              <w:jc w:val="center"/>
              <w:rPr>
                <w:sz w:val="20"/>
              </w:rPr>
            </w:pPr>
            <w:r>
              <w:rPr>
                <w:sz w:val="20"/>
              </w:rPr>
              <w:t>0.223***</w:t>
            </w:r>
          </w:p>
        </w:tc>
        <w:tc>
          <w:tcPr>
            <w:tcW w:w="2409" w:type="dxa"/>
            <w:vAlign w:val="center"/>
          </w:tcPr>
          <w:p w14:paraId="76D84CB6" w14:textId="77777777" w:rsidR="002C1FC6" w:rsidRDefault="002C1FC6" w:rsidP="003B3AC5">
            <w:pPr>
              <w:jc w:val="center"/>
              <w:rPr>
                <w:sz w:val="20"/>
              </w:rPr>
            </w:pPr>
            <w:r>
              <w:rPr>
                <w:sz w:val="20"/>
              </w:rPr>
              <w:t>0.225***</w:t>
            </w:r>
          </w:p>
        </w:tc>
      </w:tr>
      <w:tr w:rsidR="002C1FC6" w:rsidRPr="004613A2" w14:paraId="02B1913A" w14:textId="77777777" w:rsidTr="003B3AC5">
        <w:tc>
          <w:tcPr>
            <w:tcW w:w="2056" w:type="dxa"/>
            <w:vAlign w:val="center"/>
          </w:tcPr>
          <w:p w14:paraId="2314A352" w14:textId="77777777" w:rsidR="002C1FC6" w:rsidRDefault="002C1FC6" w:rsidP="003B3AC5">
            <w:pPr>
              <w:rPr>
                <w:sz w:val="20"/>
              </w:rPr>
            </w:pPr>
            <w:r>
              <w:rPr>
                <w:sz w:val="20"/>
                <w:lang w:val="en-GB"/>
              </w:rPr>
              <w:t>GMS</w:t>
            </w:r>
            <w:r w:rsidRPr="00585D5F">
              <w:rPr>
                <w:sz w:val="20"/>
                <w:lang w:val="en-GB"/>
              </w:rPr>
              <w:t xml:space="preserve"> </w:t>
            </w:r>
            <w:r>
              <w:rPr>
                <w:sz w:val="20"/>
              </w:rPr>
              <w:t>– GMR</w:t>
            </w:r>
          </w:p>
        </w:tc>
        <w:tc>
          <w:tcPr>
            <w:tcW w:w="2339" w:type="dxa"/>
            <w:vAlign w:val="center"/>
          </w:tcPr>
          <w:p w14:paraId="69CA3BD5" w14:textId="77777777" w:rsidR="002C1FC6" w:rsidRDefault="002C1FC6" w:rsidP="003B3AC5">
            <w:pPr>
              <w:jc w:val="center"/>
              <w:rPr>
                <w:sz w:val="20"/>
              </w:rPr>
            </w:pPr>
            <w:r>
              <w:rPr>
                <w:sz w:val="20"/>
              </w:rPr>
              <w:t>0.436***</w:t>
            </w:r>
          </w:p>
        </w:tc>
        <w:tc>
          <w:tcPr>
            <w:tcW w:w="2409" w:type="dxa"/>
            <w:vAlign w:val="center"/>
          </w:tcPr>
          <w:p w14:paraId="0E663951" w14:textId="77777777" w:rsidR="002C1FC6" w:rsidRDefault="002C1FC6" w:rsidP="003B3AC5">
            <w:pPr>
              <w:jc w:val="center"/>
              <w:rPr>
                <w:sz w:val="20"/>
              </w:rPr>
            </w:pPr>
            <w:r>
              <w:rPr>
                <w:sz w:val="20"/>
              </w:rPr>
              <w:t>0.435***</w:t>
            </w:r>
          </w:p>
        </w:tc>
      </w:tr>
      <w:tr w:rsidR="002C1FC6" w:rsidRPr="004613A2" w14:paraId="34FCCAEA" w14:textId="77777777" w:rsidTr="003B3AC5">
        <w:tc>
          <w:tcPr>
            <w:tcW w:w="2056" w:type="dxa"/>
            <w:vAlign w:val="center"/>
          </w:tcPr>
          <w:p w14:paraId="711D0568" w14:textId="77777777" w:rsidR="002C1FC6" w:rsidRDefault="002C1FC6" w:rsidP="003B3AC5">
            <w:pPr>
              <w:rPr>
                <w:sz w:val="20"/>
              </w:rPr>
            </w:pPr>
            <w:r>
              <w:rPr>
                <w:sz w:val="20"/>
                <w:lang w:val="en-GB"/>
              </w:rPr>
              <w:t>GMS</w:t>
            </w:r>
            <w:r w:rsidRPr="00585D5F">
              <w:rPr>
                <w:sz w:val="20"/>
                <w:lang w:val="en-GB"/>
              </w:rPr>
              <w:t xml:space="preserve"> </w:t>
            </w:r>
            <w:r>
              <w:rPr>
                <w:sz w:val="20"/>
              </w:rPr>
              <w:t>– OR</w:t>
            </w:r>
          </w:p>
        </w:tc>
        <w:tc>
          <w:tcPr>
            <w:tcW w:w="2339" w:type="dxa"/>
            <w:vAlign w:val="center"/>
          </w:tcPr>
          <w:p w14:paraId="01654E7D" w14:textId="77777777" w:rsidR="002C1FC6" w:rsidRDefault="002C1FC6" w:rsidP="003B3AC5">
            <w:pPr>
              <w:jc w:val="center"/>
              <w:rPr>
                <w:sz w:val="20"/>
              </w:rPr>
            </w:pPr>
            <w:r>
              <w:rPr>
                <w:sz w:val="20"/>
              </w:rPr>
              <w:t>0.367***</w:t>
            </w:r>
          </w:p>
        </w:tc>
        <w:tc>
          <w:tcPr>
            <w:tcW w:w="2409" w:type="dxa"/>
            <w:vAlign w:val="center"/>
          </w:tcPr>
          <w:p w14:paraId="2680C470" w14:textId="77777777" w:rsidR="002C1FC6" w:rsidRDefault="002C1FC6" w:rsidP="003B3AC5">
            <w:pPr>
              <w:jc w:val="center"/>
              <w:rPr>
                <w:sz w:val="20"/>
              </w:rPr>
            </w:pPr>
            <w:r>
              <w:rPr>
                <w:sz w:val="20"/>
              </w:rPr>
              <w:t>0.365***</w:t>
            </w:r>
          </w:p>
        </w:tc>
      </w:tr>
      <w:tr w:rsidR="002C1FC6" w:rsidRPr="004613A2" w14:paraId="1050E4C8" w14:textId="77777777" w:rsidTr="003B3AC5">
        <w:tc>
          <w:tcPr>
            <w:tcW w:w="2056" w:type="dxa"/>
            <w:vAlign w:val="center"/>
          </w:tcPr>
          <w:p w14:paraId="61014A43" w14:textId="77777777" w:rsidR="002C1FC6" w:rsidRDefault="002C1FC6" w:rsidP="003B3AC5">
            <w:pPr>
              <w:rPr>
                <w:sz w:val="20"/>
              </w:rPr>
            </w:pPr>
            <w:r>
              <w:rPr>
                <w:sz w:val="20"/>
                <w:lang w:val="en-GB"/>
              </w:rPr>
              <w:t>GMS</w:t>
            </w:r>
            <w:r w:rsidRPr="00585D5F">
              <w:rPr>
                <w:sz w:val="20"/>
                <w:lang w:val="en-GB"/>
              </w:rPr>
              <w:t xml:space="preserve"> </w:t>
            </w:r>
            <w:r>
              <w:rPr>
                <w:sz w:val="20"/>
              </w:rPr>
              <w:t>– FR</w:t>
            </w:r>
          </w:p>
        </w:tc>
        <w:tc>
          <w:tcPr>
            <w:tcW w:w="2339" w:type="dxa"/>
            <w:vAlign w:val="center"/>
          </w:tcPr>
          <w:p w14:paraId="098AC6F8" w14:textId="77777777" w:rsidR="002C1FC6" w:rsidRDefault="002C1FC6" w:rsidP="003B3AC5">
            <w:pPr>
              <w:jc w:val="center"/>
              <w:rPr>
                <w:sz w:val="20"/>
              </w:rPr>
            </w:pPr>
            <w:r>
              <w:rPr>
                <w:sz w:val="20"/>
              </w:rPr>
              <w:t>0.229***</w:t>
            </w:r>
          </w:p>
        </w:tc>
        <w:tc>
          <w:tcPr>
            <w:tcW w:w="2409" w:type="dxa"/>
            <w:vAlign w:val="center"/>
          </w:tcPr>
          <w:p w14:paraId="2BFFD310" w14:textId="77777777" w:rsidR="002C1FC6" w:rsidRDefault="002C1FC6" w:rsidP="003B3AC5">
            <w:pPr>
              <w:jc w:val="center"/>
              <w:rPr>
                <w:sz w:val="20"/>
              </w:rPr>
            </w:pPr>
            <w:r>
              <w:rPr>
                <w:sz w:val="20"/>
              </w:rPr>
              <w:t>0.226***</w:t>
            </w:r>
          </w:p>
        </w:tc>
      </w:tr>
      <w:tr w:rsidR="002C1FC6" w:rsidRPr="004613A2" w14:paraId="29D8C5E4" w14:textId="77777777" w:rsidTr="003B3AC5">
        <w:tc>
          <w:tcPr>
            <w:tcW w:w="2056" w:type="dxa"/>
            <w:vAlign w:val="center"/>
          </w:tcPr>
          <w:p w14:paraId="0A658994" w14:textId="77777777" w:rsidR="002C1FC6" w:rsidRDefault="002C1FC6" w:rsidP="003B3AC5">
            <w:pPr>
              <w:rPr>
                <w:sz w:val="20"/>
              </w:rPr>
            </w:pPr>
            <w:r>
              <w:rPr>
                <w:sz w:val="20"/>
              </w:rPr>
              <w:t xml:space="preserve">GMR – OR </w:t>
            </w:r>
          </w:p>
        </w:tc>
        <w:tc>
          <w:tcPr>
            <w:tcW w:w="2339" w:type="dxa"/>
            <w:vAlign w:val="center"/>
          </w:tcPr>
          <w:p w14:paraId="745B99BA" w14:textId="77777777" w:rsidR="002C1FC6" w:rsidRDefault="002C1FC6" w:rsidP="003B3AC5">
            <w:pPr>
              <w:jc w:val="center"/>
              <w:rPr>
                <w:sz w:val="20"/>
              </w:rPr>
            </w:pPr>
            <w:r>
              <w:rPr>
                <w:sz w:val="20"/>
              </w:rPr>
              <w:t>0.400***</w:t>
            </w:r>
          </w:p>
        </w:tc>
        <w:tc>
          <w:tcPr>
            <w:tcW w:w="2409" w:type="dxa"/>
            <w:vAlign w:val="center"/>
          </w:tcPr>
          <w:p w14:paraId="79255FCA" w14:textId="77777777" w:rsidR="002C1FC6" w:rsidRDefault="002C1FC6" w:rsidP="003B3AC5">
            <w:pPr>
              <w:jc w:val="center"/>
              <w:rPr>
                <w:sz w:val="20"/>
              </w:rPr>
            </w:pPr>
            <w:r>
              <w:rPr>
                <w:sz w:val="20"/>
              </w:rPr>
              <w:t>0.399***</w:t>
            </w:r>
          </w:p>
        </w:tc>
      </w:tr>
      <w:tr w:rsidR="002C1FC6" w:rsidRPr="004613A2" w14:paraId="05727215" w14:textId="77777777" w:rsidTr="003B3AC5">
        <w:tc>
          <w:tcPr>
            <w:tcW w:w="2056" w:type="dxa"/>
            <w:vAlign w:val="center"/>
          </w:tcPr>
          <w:p w14:paraId="7C2C78E4" w14:textId="77777777" w:rsidR="002C1FC6" w:rsidRDefault="002C1FC6" w:rsidP="003B3AC5">
            <w:pPr>
              <w:rPr>
                <w:sz w:val="20"/>
                <w:lang w:val="en-GB"/>
              </w:rPr>
            </w:pPr>
            <w:r>
              <w:rPr>
                <w:sz w:val="20"/>
              </w:rPr>
              <w:t>GMR – FR</w:t>
            </w:r>
          </w:p>
        </w:tc>
        <w:tc>
          <w:tcPr>
            <w:tcW w:w="2339" w:type="dxa"/>
            <w:vAlign w:val="center"/>
          </w:tcPr>
          <w:p w14:paraId="5126C474" w14:textId="77777777" w:rsidR="002C1FC6" w:rsidRDefault="002C1FC6" w:rsidP="003B3AC5">
            <w:pPr>
              <w:jc w:val="center"/>
              <w:rPr>
                <w:sz w:val="20"/>
              </w:rPr>
            </w:pPr>
            <w:r>
              <w:rPr>
                <w:sz w:val="20"/>
              </w:rPr>
              <w:t>0.369***</w:t>
            </w:r>
          </w:p>
        </w:tc>
        <w:tc>
          <w:tcPr>
            <w:tcW w:w="2409" w:type="dxa"/>
            <w:vAlign w:val="center"/>
          </w:tcPr>
          <w:p w14:paraId="574B791F" w14:textId="77777777" w:rsidR="002C1FC6" w:rsidRDefault="002C1FC6" w:rsidP="003B3AC5">
            <w:pPr>
              <w:jc w:val="center"/>
              <w:rPr>
                <w:sz w:val="20"/>
              </w:rPr>
            </w:pPr>
            <w:r>
              <w:rPr>
                <w:sz w:val="20"/>
              </w:rPr>
              <w:t>0.368***</w:t>
            </w:r>
          </w:p>
        </w:tc>
      </w:tr>
      <w:tr w:rsidR="002C1FC6" w:rsidRPr="004613A2" w14:paraId="6CC4D6F6" w14:textId="77777777" w:rsidTr="003B3AC5">
        <w:tc>
          <w:tcPr>
            <w:tcW w:w="2056" w:type="dxa"/>
            <w:tcBorders>
              <w:bottom w:val="single" w:sz="4" w:space="0" w:color="auto"/>
            </w:tcBorders>
            <w:vAlign w:val="center"/>
          </w:tcPr>
          <w:p w14:paraId="128F3E9D" w14:textId="77777777" w:rsidR="002C1FC6" w:rsidRPr="004613A2" w:rsidRDefault="002C1FC6" w:rsidP="003B3AC5">
            <w:pPr>
              <w:rPr>
                <w:sz w:val="20"/>
              </w:rPr>
            </w:pPr>
            <w:r>
              <w:rPr>
                <w:sz w:val="20"/>
              </w:rPr>
              <w:t>OR</w:t>
            </w:r>
            <w:r>
              <w:rPr>
                <w:sz w:val="20"/>
                <w:lang w:val="en-GB"/>
              </w:rPr>
              <w:t xml:space="preserve"> </w:t>
            </w:r>
            <w:r>
              <w:rPr>
                <w:sz w:val="20"/>
              </w:rPr>
              <w:t xml:space="preserve">– </w:t>
            </w:r>
            <w:r>
              <w:rPr>
                <w:sz w:val="20"/>
                <w:lang w:val="en-GB"/>
              </w:rPr>
              <w:t>FR</w:t>
            </w:r>
          </w:p>
        </w:tc>
        <w:tc>
          <w:tcPr>
            <w:tcW w:w="2339" w:type="dxa"/>
            <w:tcBorders>
              <w:bottom w:val="single" w:sz="4" w:space="0" w:color="auto"/>
            </w:tcBorders>
            <w:vAlign w:val="center"/>
          </w:tcPr>
          <w:p w14:paraId="1C61BC3E" w14:textId="77777777" w:rsidR="002C1FC6" w:rsidRPr="004613A2" w:rsidRDefault="002C1FC6" w:rsidP="003B3AC5">
            <w:pPr>
              <w:jc w:val="center"/>
              <w:rPr>
                <w:sz w:val="20"/>
              </w:rPr>
            </w:pPr>
            <w:r>
              <w:rPr>
                <w:sz w:val="20"/>
              </w:rPr>
              <w:t>0.625***</w:t>
            </w:r>
          </w:p>
        </w:tc>
        <w:tc>
          <w:tcPr>
            <w:tcW w:w="2409" w:type="dxa"/>
            <w:tcBorders>
              <w:bottom w:val="single" w:sz="4" w:space="0" w:color="auto"/>
            </w:tcBorders>
            <w:vAlign w:val="center"/>
          </w:tcPr>
          <w:p w14:paraId="6C7F5AA2" w14:textId="77777777" w:rsidR="002C1FC6" w:rsidRPr="004613A2" w:rsidRDefault="002C1FC6" w:rsidP="003B3AC5">
            <w:pPr>
              <w:jc w:val="center"/>
              <w:rPr>
                <w:sz w:val="20"/>
              </w:rPr>
            </w:pPr>
            <w:r>
              <w:rPr>
                <w:sz w:val="20"/>
              </w:rPr>
              <w:t>0.622***</w:t>
            </w:r>
          </w:p>
        </w:tc>
      </w:tr>
    </w:tbl>
    <w:p w14:paraId="56777A9A" w14:textId="77777777" w:rsidR="002C1FC6" w:rsidRDefault="002C1FC6" w:rsidP="002C1FC6">
      <w:pPr>
        <w:tabs>
          <w:tab w:val="left" w:pos="284"/>
        </w:tabs>
        <w:jc w:val="both"/>
        <w:rPr>
          <w:b/>
          <w:color w:val="000000" w:themeColor="text1"/>
        </w:rPr>
      </w:pPr>
    </w:p>
    <w:p w14:paraId="40A73AB1" w14:textId="77777777" w:rsidR="002C1FC6" w:rsidRDefault="002C1FC6" w:rsidP="002C1FC6">
      <w:pPr>
        <w:tabs>
          <w:tab w:val="left" w:pos="284"/>
        </w:tabs>
        <w:jc w:val="both"/>
        <w:rPr>
          <w:b/>
          <w:color w:val="000000" w:themeColor="text1"/>
        </w:rPr>
      </w:pPr>
    </w:p>
    <w:p w14:paraId="6A835C7C" w14:textId="77777777" w:rsidR="002C1FC6" w:rsidRDefault="002C1FC6" w:rsidP="002C1FC6">
      <w:pPr>
        <w:rPr>
          <w:b/>
          <w:color w:val="000000" w:themeColor="text1"/>
        </w:rPr>
      </w:pPr>
      <w:r>
        <w:rPr>
          <w:b/>
          <w:color w:val="000000" w:themeColor="text1"/>
        </w:rPr>
        <w:br w:type="page"/>
      </w:r>
    </w:p>
    <w:p w14:paraId="4C7FE620" w14:textId="77777777" w:rsidR="002C1FC6" w:rsidRDefault="002C1FC6" w:rsidP="002C1FC6">
      <w:pPr>
        <w:tabs>
          <w:tab w:val="left" w:pos="284"/>
        </w:tabs>
        <w:jc w:val="both"/>
        <w:rPr>
          <w:b/>
          <w:color w:val="000000" w:themeColor="text1"/>
        </w:rPr>
      </w:pPr>
      <w:r w:rsidRPr="00C306A9">
        <w:rPr>
          <w:b/>
          <w:color w:val="000000" w:themeColor="text1"/>
        </w:rPr>
        <w:lastRenderedPageBreak/>
        <w:t>A5 – SDR scale items and correlation</w:t>
      </w:r>
    </w:p>
    <w:p w14:paraId="61AC34BC" w14:textId="77777777" w:rsidR="002C1FC6" w:rsidRDefault="002C1FC6" w:rsidP="002C1FC6">
      <w:pPr>
        <w:rPr>
          <w:b/>
          <w:color w:val="000000" w:themeColor="text1"/>
        </w:rPr>
      </w:pPr>
    </w:p>
    <w:tbl>
      <w:tblPr>
        <w:tblStyle w:val="PlainTable31"/>
        <w:tblW w:w="8306" w:type="dxa"/>
        <w:tblLook w:val="04A0" w:firstRow="1" w:lastRow="0" w:firstColumn="1" w:lastColumn="0" w:noHBand="0" w:noVBand="1"/>
      </w:tblPr>
      <w:tblGrid>
        <w:gridCol w:w="459"/>
        <w:gridCol w:w="1242"/>
        <w:gridCol w:w="3397"/>
        <w:gridCol w:w="3208"/>
      </w:tblGrid>
      <w:tr w:rsidR="002C1FC6" w:rsidRPr="00090741" w14:paraId="69AD811F" w14:textId="77777777" w:rsidTr="003B3AC5">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459" w:type="dxa"/>
            <w:tcBorders>
              <w:top w:val="single" w:sz="4" w:space="0" w:color="auto"/>
              <w:left w:val="single" w:sz="4" w:space="0" w:color="auto"/>
              <w:bottom w:val="single" w:sz="4" w:space="0" w:color="auto"/>
              <w:right w:val="single" w:sz="4" w:space="0" w:color="auto"/>
            </w:tcBorders>
            <w:shd w:val="clear" w:color="auto" w:fill="auto"/>
          </w:tcPr>
          <w:p w14:paraId="26700BB5" w14:textId="77777777" w:rsidR="002C1FC6" w:rsidRPr="00090741" w:rsidRDefault="002C1FC6" w:rsidP="003B3AC5">
            <w:pPr>
              <w:tabs>
                <w:tab w:val="left" w:pos="284"/>
              </w:tabs>
              <w:rPr>
                <w:rFonts w:eastAsia="Times New Roman"/>
                <w:sz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37DD873" w14:textId="77777777" w:rsidR="002C1FC6" w:rsidRPr="00090741" w:rsidRDefault="002C1FC6" w:rsidP="003B3AC5">
            <w:pPr>
              <w:tabs>
                <w:tab w:val="left" w:pos="284"/>
              </w:tabs>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sidRPr="00090741">
              <w:rPr>
                <w:rFonts w:eastAsia="Times New Roman"/>
                <w:b w:val="0"/>
                <w:bCs w:val="0"/>
                <w:caps w:val="0"/>
                <w:sz w:val="20"/>
                <w:szCs w:val="20"/>
              </w:rPr>
              <w:t>No of item in original Crowne-Marlowe scale</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5885E" w14:textId="77777777" w:rsidR="002C1FC6" w:rsidRPr="00090741" w:rsidRDefault="002C1FC6" w:rsidP="003B3AC5">
            <w:pPr>
              <w:tabs>
                <w:tab w:val="left" w:pos="284"/>
              </w:tabs>
              <w:cnfStyle w:val="100000000000" w:firstRow="1" w:lastRow="0" w:firstColumn="0" w:lastColumn="0" w:oddVBand="0" w:evenVBand="0" w:oddHBand="0" w:evenHBand="0" w:firstRowFirstColumn="0" w:firstRowLastColumn="0" w:lastRowFirstColumn="0" w:lastRowLastColumn="0"/>
              <w:rPr>
                <w:rFonts w:eastAsia="Times New Roman"/>
                <w:sz w:val="20"/>
              </w:rPr>
            </w:pPr>
          </w:p>
        </w:tc>
      </w:tr>
      <w:tr w:rsidR="002C1FC6" w:rsidRPr="00090741" w14:paraId="124DCCD5" w14:textId="77777777" w:rsidTr="003B3AC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3F6F95" w14:textId="77777777" w:rsidR="002C1FC6" w:rsidRPr="00090741" w:rsidRDefault="002C1FC6" w:rsidP="003B3AC5">
            <w:pPr>
              <w:tabs>
                <w:tab w:val="left" w:pos="284"/>
              </w:tabs>
              <w:ind w:left="113" w:right="113"/>
              <w:jc w:val="center"/>
              <w:rPr>
                <w:rFonts w:eastAsia="Times New Roman"/>
                <w:sz w:val="20"/>
              </w:rPr>
            </w:pPr>
            <w:r w:rsidRPr="00090741">
              <w:rPr>
                <w:caps w:val="0"/>
                <w:sz w:val="20"/>
              </w:rPr>
              <w:t>SDR scale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5CA8817E"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090741">
              <w:rPr>
                <w:rFonts w:eastAsia="Times New Roman"/>
                <w:sz w:val="20"/>
              </w:rPr>
              <w:t>11</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tcPr>
          <w:p w14:paraId="477C9ADC" w14:textId="77777777" w:rsidR="002C1FC6" w:rsidRPr="00090741"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rFonts w:eastAsia="Times New Roman"/>
                <w:sz w:val="20"/>
              </w:rPr>
            </w:pPr>
            <w:r w:rsidRPr="00090741">
              <w:rPr>
                <w:rFonts w:eastAsia="Times New Roman"/>
                <w:sz w:val="20"/>
              </w:rPr>
              <w:t>You like to gossip at times (F)</w:t>
            </w:r>
          </w:p>
        </w:tc>
      </w:tr>
      <w:tr w:rsidR="002C1FC6" w:rsidRPr="00090741" w14:paraId="1F7A618C" w14:textId="77777777" w:rsidTr="003B3AC5">
        <w:trPr>
          <w:trHeight w:val="273"/>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tcPr>
          <w:p w14:paraId="4DB7B1DD" w14:textId="77777777" w:rsidR="002C1FC6" w:rsidRPr="00090741" w:rsidRDefault="002C1FC6" w:rsidP="003B3AC5">
            <w:pPr>
              <w:tabs>
                <w:tab w:val="left" w:pos="284"/>
              </w:tabs>
              <w:jc w:val="center"/>
              <w:rPr>
                <w:rFonts w:eastAsia="Times New Roman"/>
                <w:sz w:val="20"/>
                <w:szCs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B2F44C1"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090741">
              <w:rPr>
                <w:rFonts w:eastAsia="Times New Roman"/>
                <w:sz w:val="20"/>
                <w:szCs w:val="20"/>
              </w:rPr>
              <w:t>15</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tcPr>
          <w:p w14:paraId="7F6D4EF1"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90741">
              <w:rPr>
                <w:rFonts w:eastAsia="Times New Roman"/>
                <w:sz w:val="20"/>
                <w:szCs w:val="20"/>
              </w:rPr>
              <w:t>There have been occasions when you took advantage of someone (F)</w:t>
            </w:r>
          </w:p>
        </w:tc>
      </w:tr>
      <w:tr w:rsidR="002C1FC6" w:rsidRPr="00090741" w14:paraId="3DD30799" w14:textId="77777777" w:rsidTr="003B3A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tcPr>
          <w:p w14:paraId="34FD0436" w14:textId="77777777" w:rsidR="002C1FC6" w:rsidRPr="00090741" w:rsidRDefault="002C1FC6" w:rsidP="003B3AC5">
            <w:pPr>
              <w:tabs>
                <w:tab w:val="left" w:pos="284"/>
              </w:tabs>
              <w:jc w:val="center"/>
              <w:rPr>
                <w:rFonts w:eastAsia="Times New Roman"/>
                <w:sz w:val="20"/>
                <w:szCs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99768FA"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090741">
              <w:rPr>
                <w:rFonts w:eastAsia="Times New Roman"/>
                <w:sz w:val="20"/>
                <w:szCs w:val="20"/>
              </w:rPr>
              <w:t>16</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tcPr>
          <w:p w14:paraId="70A32518" w14:textId="77777777" w:rsidR="002C1FC6" w:rsidRPr="00090741"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090741">
              <w:rPr>
                <w:rFonts w:eastAsia="Times New Roman"/>
                <w:sz w:val="20"/>
                <w:szCs w:val="20"/>
              </w:rPr>
              <w:t>You are always willing to admit it when you make a mistake (T)</w:t>
            </w:r>
          </w:p>
        </w:tc>
      </w:tr>
      <w:tr w:rsidR="002C1FC6" w:rsidRPr="00090741" w14:paraId="08A347EF" w14:textId="77777777" w:rsidTr="003B3AC5">
        <w:trPr>
          <w:trHeight w:val="273"/>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tcPr>
          <w:p w14:paraId="63D7586A" w14:textId="77777777" w:rsidR="002C1FC6" w:rsidRPr="00090741" w:rsidRDefault="002C1FC6" w:rsidP="003B3AC5">
            <w:pPr>
              <w:tabs>
                <w:tab w:val="left" w:pos="284"/>
              </w:tabs>
              <w:jc w:val="center"/>
              <w:rPr>
                <w:rFonts w:eastAsia="Times New Roman"/>
                <w:sz w:val="20"/>
                <w:szCs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5767C08F"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090741">
              <w:rPr>
                <w:rFonts w:eastAsia="Times New Roman"/>
                <w:sz w:val="20"/>
                <w:szCs w:val="20"/>
              </w:rPr>
              <w:t>19</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tcPr>
          <w:p w14:paraId="425316ED"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90741">
              <w:rPr>
                <w:rFonts w:eastAsia="Times New Roman"/>
                <w:sz w:val="20"/>
                <w:szCs w:val="20"/>
              </w:rPr>
              <w:t>You sometimes try to get even rather than forgive and forget (F)</w:t>
            </w:r>
          </w:p>
        </w:tc>
      </w:tr>
      <w:tr w:rsidR="002C1FC6" w:rsidRPr="00090741" w14:paraId="73EF4E30" w14:textId="77777777" w:rsidTr="003B3A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tcPr>
          <w:p w14:paraId="7B0B5A63" w14:textId="77777777" w:rsidR="002C1FC6" w:rsidRPr="00090741" w:rsidRDefault="002C1FC6" w:rsidP="003B3AC5">
            <w:pPr>
              <w:tabs>
                <w:tab w:val="left" w:pos="284"/>
              </w:tabs>
              <w:jc w:val="center"/>
              <w:rPr>
                <w:rFonts w:eastAsia="Times New Roman"/>
                <w:sz w:val="20"/>
                <w:szCs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D977B80"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090741">
              <w:rPr>
                <w:rFonts w:eastAsia="Times New Roman"/>
                <w:sz w:val="20"/>
                <w:szCs w:val="20"/>
              </w:rPr>
              <w:t>22</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tcPr>
          <w:p w14:paraId="3769E126" w14:textId="77777777" w:rsidR="002C1FC6" w:rsidRPr="00090741"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090741">
              <w:rPr>
                <w:rFonts w:eastAsia="Times New Roman"/>
                <w:sz w:val="20"/>
                <w:szCs w:val="20"/>
              </w:rPr>
              <w:t>At times you have really insisted on having things your own way (F)</w:t>
            </w:r>
          </w:p>
        </w:tc>
      </w:tr>
      <w:tr w:rsidR="002C1FC6" w:rsidRPr="00090741" w14:paraId="568741B6" w14:textId="77777777" w:rsidTr="003B3AC5">
        <w:trPr>
          <w:trHeight w:val="273"/>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tcPr>
          <w:p w14:paraId="3E976A0B" w14:textId="77777777" w:rsidR="002C1FC6" w:rsidRPr="00090741" w:rsidRDefault="002C1FC6" w:rsidP="003B3AC5">
            <w:pPr>
              <w:tabs>
                <w:tab w:val="left" w:pos="284"/>
              </w:tabs>
              <w:jc w:val="center"/>
              <w:rPr>
                <w:rFonts w:eastAsia="Times New Roman"/>
                <w:sz w:val="20"/>
                <w:szCs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51CC0355"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090741">
              <w:rPr>
                <w:rFonts w:eastAsia="Times New Roman"/>
                <w:sz w:val="20"/>
                <w:szCs w:val="20"/>
              </w:rPr>
              <w:t>26</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tcPr>
          <w:p w14:paraId="1AA8BDD5"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90741">
              <w:rPr>
                <w:rFonts w:eastAsia="Times New Roman"/>
                <w:sz w:val="20"/>
                <w:szCs w:val="20"/>
              </w:rPr>
              <w:t>You have never been annoyed when people expressed ideas very different “from your own” (T)</w:t>
            </w:r>
          </w:p>
        </w:tc>
      </w:tr>
      <w:tr w:rsidR="002C1FC6" w:rsidRPr="00090741" w14:paraId="040A193D" w14:textId="77777777" w:rsidTr="003B3AC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tcPr>
          <w:p w14:paraId="1DF0B8D6" w14:textId="77777777" w:rsidR="002C1FC6" w:rsidRPr="00090741" w:rsidRDefault="002C1FC6" w:rsidP="003B3AC5">
            <w:pPr>
              <w:tabs>
                <w:tab w:val="left" w:pos="284"/>
              </w:tabs>
              <w:jc w:val="center"/>
              <w:rPr>
                <w:rFonts w:eastAsia="Times New Roman"/>
                <w:sz w:val="20"/>
                <w:szCs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6EFBBCA"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090741">
              <w:rPr>
                <w:rFonts w:eastAsia="Times New Roman"/>
                <w:sz w:val="20"/>
                <w:szCs w:val="20"/>
              </w:rPr>
              <w:t>33</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tcPr>
          <w:p w14:paraId="26040A41" w14:textId="77777777" w:rsidR="002C1FC6" w:rsidRPr="00090741"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090741">
              <w:rPr>
                <w:rFonts w:eastAsia="Times New Roman"/>
                <w:sz w:val="20"/>
                <w:szCs w:val="20"/>
              </w:rPr>
              <w:t>You have never deliberately said something that hurt someone’s feelings (T)</w:t>
            </w:r>
          </w:p>
        </w:tc>
      </w:tr>
      <w:tr w:rsidR="002C1FC6" w:rsidRPr="00245F7E" w14:paraId="0217F3A1" w14:textId="77777777" w:rsidTr="003B3AC5">
        <w:trPr>
          <w:trHeight w:val="274"/>
        </w:trPr>
        <w:tc>
          <w:tcPr>
            <w:cnfStyle w:val="001000000000" w:firstRow="0" w:lastRow="0" w:firstColumn="1" w:lastColumn="0" w:oddVBand="0" w:evenVBand="0" w:oddHBand="0" w:evenHBand="0" w:firstRowFirstColumn="0" w:firstRowLastColumn="0" w:lastRowFirstColumn="0" w:lastRowLastColumn="0"/>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76E06D" w14:textId="77777777" w:rsidR="002C1FC6" w:rsidRPr="00090741" w:rsidRDefault="002C1FC6" w:rsidP="003B3AC5">
            <w:pPr>
              <w:tabs>
                <w:tab w:val="left" w:pos="284"/>
              </w:tabs>
              <w:ind w:left="113" w:right="113"/>
              <w:jc w:val="center"/>
              <w:rPr>
                <w:rFonts w:eastAsia="Times New Roman"/>
                <w:b w:val="0"/>
                <w:bCs w:val="0"/>
                <w:caps w:val="0"/>
                <w:sz w:val="20"/>
              </w:rPr>
            </w:pPr>
            <w:r>
              <w:rPr>
                <w:caps w:val="0"/>
                <w:sz w:val="20"/>
              </w:rPr>
              <w:t>Shared Variance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58C6FF7"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b/>
                <w:bCs/>
                <w:caps/>
                <w:sz w:val="20"/>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7B043AE"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sz w:val="20"/>
              </w:rPr>
            </w:pPr>
            <w:r>
              <w:rPr>
                <w:rFonts w:eastAsia="Times New Roman"/>
                <w:b/>
                <w:bCs/>
                <w:sz w:val="20"/>
              </w:rPr>
              <w:t>Shared Variance between SDR scale and latent variables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02121BC" w14:textId="77777777" w:rsidR="002C1FC6" w:rsidRPr="00245F7E"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b/>
                <w:bCs/>
                <w:sz w:val="20"/>
              </w:rPr>
            </w:pPr>
            <w:r w:rsidRPr="00245F7E">
              <w:rPr>
                <w:rFonts w:eastAsia="Times New Roman"/>
                <w:b/>
                <w:bCs/>
                <w:sz w:val="20"/>
              </w:rPr>
              <w:t>Correlations between SDR</w:t>
            </w:r>
            <w:r>
              <w:rPr>
                <w:rFonts w:eastAsia="Times New Roman"/>
                <w:b/>
                <w:bCs/>
                <w:sz w:val="20"/>
              </w:rPr>
              <w:t xml:space="preserve"> scale</w:t>
            </w:r>
            <w:r w:rsidRPr="00245F7E">
              <w:rPr>
                <w:rFonts w:eastAsia="Times New Roman"/>
                <w:b/>
                <w:bCs/>
                <w:sz w:val="20"/>
              </w:rPr>
              <w:t xml:space="preserve"> and latent variable indicators</w:t>
            </w:r>
          </w:p>
        </w:tc>
      </w:tr>
      <w:tr w:rsidR="002C1FC6" w:rsidRPr="00090741" w14:paraId="3A290951" w14:textId="77777777" w:rsidTr="003B3AC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EA2228" w14:textId="77777777" w:rsidR="002C1FC6" w:rsidRPr="00090741" w:rsidRDefault="002C1FC6" w:rsidP="003B3AC5">
            <w:pPr>
              <w:tabs>
                <w:tab w:val="left" w:pos="284"/>
              </w:tabs>
              <w:rPr>
                <w:rFonts w:eastAsia="Times New Roman"/>
                <w:b w:val="0"/>
                <w:bCs w:val="0"/>
                <w:caps w:val="0"/>
                <w:sz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02D3AFE" w14:textId="77777777" w:rsidR="002C1FC6" w:rsidRPr="00090741"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rFonts w:eastAsia="Times New Roman"/>
                <w:b/>
                <w:bCs/>
                <w:caps/>
                <w:sz w:val="20"/>
              </w:rPr>
            </w:pPr>
            <w:r>
              <w:rPr>
                <w:rFonts w:eastAsia="Times New Roman"/>
                <w:b/>
                <w:sz w:val="20"/>
                <w:szCs w:val="20"/>
              </w:rPr>
              <w:t>CS</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23CE03E"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sz w:val="20"/>
              </w:rPr>
            </w:pPr>
            <w:r>
              <w:rPr>
                <w:rFonts w:eastAsia="Times New Roman"/>
                <w:sz w:val="20"/>
              </w:rPr>
              <w:t>3,24%</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64736650"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sz w:val="20"/>
              </w:rPr>
            </w:pPr>
            <w:r w:rsidRPr="00C67679">
              <w:rPr>
                <w:rFonts w:eastAsia="Times New Roman"/>
                <w:sz w:val="20"/>
                <w:szCs w:val="20"/>
              </w:rPr>
              <w:t>0.</w:t>
            </w:r>
            <w:r>
              <w:rPr>
                <w:rFonts w:eastAsia="Times New Roman"/>
                <w:sz w:val="20"/>
                <w:szCs w:val="20"/>
              </w:rPr>
              <w:t xml:space="preserve">13 &lt; </w:t>
            </w:r>
            <w:r w:rsidRPr="00C67679">
              <w:rPr>
                <w:rFonts w:eastAsia="Times New Roman"/>
                <w:sz w:val="20"/>
                <w:szCs w:val="20"/>
              </w:rPr>
              <w:t>r</w:t>
            </w:r>
            <w:r>
              <w:rPr>
                <w:rFonts w:eastAsia="Times New Roman"/>
                <w:sz w:val="20"/>
                <w:szCs w:val="20"/>
              </w:rPr>
              <w:t xml:space="preserve"> &lt;</w:t>
            </w:r>
            <w:r w:rsidRPr="00C67679">
              <w:rPr>
                <w:rFonts w:eastAsia="Times New Roman"/>
                <w:sz w:val="20"/>
                <w:szCs w:val="20"/>
              </w:rPr>
              <w:t xml:space="preserve"> 0.</w:t>
            </w:r>
            <w:r>
              <w:rPr>
                <w:rFonts w:eastAsia="Times New Roman"/>
                <w:sz w:val="20"/>
                <w:szCs w:val="20"/>
              </w:rPr>
              <w:t>18</w:t>
            </w:r>
          </w:p>
        </w:tc>
      </w:tr>
      <w:tr w:rsidR="002C1FC6" w:rsidRPr="00090741" w14:paraId="6B768763" w14:textId="77777777" w:rsidTr="003B3AC5">
        <w:trPr>
          <w:trHeight w:val="274"/>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5744BD" w14:textId="77777777" w:rsidR="002C1FC6" w:rsidRPr="00090741" w:rsidRDefault="002C1FC6" w:rsidP="003B3AC5">
            <w:pPr>
              <w:tabs>
                <w:tab w:val="left" w:pos="284"/>
              </w:tabs>
              <w:rPr>
                <w:rFonts w:eastAsia="Times New Roman"/>
                <w:b w:val="0"/>
                <w:bCs w:val="0"/>
                <w:caps w:val="0"/>
                <w:sz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55F4D81B"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b/>
                <w:bCs/>
                <w:caps/>
                <w:sz w:val="20"/>
              </w:rPr>
            </w:pPr>
            <w:r>
              <w:rPr>
                <w:rFonts w:eastAsia="Times New Roman"/>
                <w:b/>
                <w:bCs/>
                <w:caps/>
                <w:sz w:val="20"/>
              </w:rPr>
              <w:t>SSP</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D136EA8"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sz w:val="20"/>
              </w:rPr>
            </w:pPr>
            <w:r>
              <w:rPr>
                <w:rFonts w:eastAsia="Times New Roman"/>
                <w:sz w:val="20"/>
              </w:rPr>
              <w:t>2,37%</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5D88FD9E"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sz w:val="20"/>
              </w:rPr>
            </w:pPr>
            <w:r w:rsidRPr="00C67679">
              <w:rPr>
                <w:rFonts w:eastAsia="Times New Roman"/>
                <w:sz w:val="20"/>
                <w:szCs w:val="20"/>
              </w:rPr>
              <w:t>0.0</w:t>
            </w:r>
            <w:r>
              <w:rPr>
                <w:rFonts w:eastAsia="Times New Roman"/>
                <w:sz w:val="20"/>
                <w:szCs w:val="20"/>
              </w:rPr>
              <w:t>4 &lt;</w:t>
            </w:r>
            <w:r w:rsidRPr="00C67679">
              <w:rPr>
                <w:rFonts w:eastAsia="Times New Roman"/>
                <w:sz w:val="20"/>
                <w:szCs w:val="20"/>
              </w:rPr>
              <w:t xml:space="preserve"> r </w:t>
            </w:r>
            <w:r>
              <w:rPr>
                <w:rFonts w:eastAsia="Times New Roman"/>
                <w:sz w:val="20"/>
                <w:szCs w:val="20"/>
              </w:rPr>
              <w:t>&lt;</w:t>
            </w:r>
            <w:r w:rsidRPr="00C67679">
              <w:rPr>
                <w:rFonts w:eastAsia="Times New Roman"/>
                <w:sz w:val="20"/>
                <w:szCs w:val="20"/>
              </w:rPr>
              <w:t xml:space="preserve"> 0.</w:t>
            </w:r>
            <w:r>
              <w:rPr>
                <w:rFonts w:eastAsia="Times New Roman"/>
                <w:sz w:val="20"/>
                <w:szCs w:val="20"/>
              </w:rPr>
              <w:t>20</w:t>
            </w:r>
          </w:p>
        </w:tc>
      </w:tr>
      <w:tr w:rsidR="002C1FC6" w:rsidRPr="00090741" w14:paraId="019FBBC6" w14:textId="77777777" w:rsidTr="003B3AC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34DDDF" w14:textId="77777777" w:rsidR="002C1FC6" w:rsidRPr="00090741" w:rsidRDefault="002C1FC6" w:rsidP="003B3AC5">
            <w:pPr>
              <w:tabs>
                <w:tab w:val="left" w:pos="284"/>
              </w:tabs>
              <w:rPr>
                <w:rFonts w:eastAsia="Times New Roman"/>
                <w:b w:val="0"/>
                <w:bCs w:val="0"/>
                <w:caps w:val="0"/>
                <w:sz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030860F" w14:textId="77777777" w:rsidR="002C1FC6" w:rsidRPr="00090741"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rFonts w:eastAsia="Times New Roman"/>
                <w:b/>
                <w:bCs/>
                <w:caps/>
                <w:sz w:val="20"/>
              </w:rPr>
            </w:pPr>
            <w:r>
              <w:rPr>
                <w:rFonts w:eastAsia="Times New Roman"/>
                <w:b/>
                <w:bCs/>
                <w:caps/>
                <w:sz w:val="20"/>
              </w:rPr>
              <w:t>GMR</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093C351"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sz w:val="20"/>
              </w:rPr>
            </w:pPr>
            <w:r>
              <w:rPr>
                <w:rFonts w:eastAsia="Times New Roman"/>
                <w:sz w:val="20"/>
              </w:rPr>
              <w:t>2,78%</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4FB8DA69"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sz w:val="20"/>
              </w:rPr>
            </w:pPr>
            <w:r w:rsidRPr="00090741">
              <w:rPr>
                <w:rFonts w:eastAsia="Times New Roman"/>
                <w:sz w:val="20"/>
                <w:szCs w:val="20"/>
              </w:rPr>
              <w:t xml:space="preserve"> r </w:t>
            </w:r>
            <w:r>
              <w:rPr>
                <w:rFonts w:eastAsia="Times New Roman"/>
                <w:sz w:val="20"/>
                <w:szCs w:val="20"/>
              </w:rPr>
              <w:t>=</w:t>
            </w:r>
            <w:r w:rsidRPr="00090741">
              <w:rPr>
                <w:rFonts w:eastAsia="Times New Roman"/>
                <w:sz w:val="20"/>
                <w:szCs w:val="20"/>
              </w:rPr>
              <w:t xml:space="preserve"> 0.</w:t>
            </w:r>
            <w:r>
              <w:rPr>
                <w:rFonts w:eastAsia="Times New Roman"/>
                <w:sz w:val="20"/>
                <w:szCs w:val="20"/>
              </w:rPr>
              <w:t>17 (single item)</w:t>
            </w:r>
          </w:p>
        </w:tc>
      </w:tr>
      <w:tr w:rsidR="002C1FC6" w:rsidRPr="00090741" w14:paraId="6D65D8D2" w14:textId="77777777" w:rsidTr="003B3AC5">
        <w:trPr>
          <w:trHeight w:val="274"/>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F3554C" w14:textId="77777777" w:rsidR="002C1FC6" w:rsidRPr="00090741" w:rsidRDefault="002C1FC6" w:rsidP="003B3AC5">
            <w:pPr>
              <w:tabs>
                <w:tab w:val="left" w:pos="284"/>
              </w:tabs>
              <w:rPr>
                <w:rFonts w:eastAsia="Times New Roman"/>
                <w:b w:val="0"/>
                <w:bCs w:val="0"/>
                <w:caps w:val="0"/>
                <w:sz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D1C318E"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b/>
                <w:bCs/>
                <w:caps/>
                <w:sz w:val="20"/>
              </w:rPr>
            </w:pPr>
            <w:r>
              <w:rPr>
                <w:rFonts w:eastAsia="Times New Roman"/>
                <w:b/>
                <w:bCs/>
                <w:caps/>
                <w:sz w:val="20"/>
              </w:rPr>
              <w:t>GMS</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DA5FDF0"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sz w:val="20"/>
              </w:rPr>
            </w:pPr>
            <w:r>
              <w:rPr>
                <w:rFonts w:eastAsia="Times New Roman"/>
                <w:sz w:val="20"/>
              </w:rPr>
              <w:t>3,61%</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240BA280"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sz w:val="20"/>
              </w:rPr>
            </w:pPr>
            <w:r w:rsidRPr="00090741">
              <w:rPr>
                <w:rFonts w:eastAsia="Times New Roman"/>
                <w:sz w:val="20"/>
                <w:szCs w:val="20"/>
              </w:rPr>
              <w:t xml:space="preserve">0.02 </w:t>
            </w:r>
            <w:r>
              <w:rPr>
                <w:rFonts w:eastAsia="Times New Roman"/>
                <w:sz w:val="20"/>
                <w:szCs w:val="20"/>
              </w:rPr>
              <w:t>&lt;</w:t>
            </w:r>
            <w:r w:rsidRPr="00090741">
              <w:rPr>
                <w:rFonts w:eastAsia="Times New Roman"/>
                <w:sz w:val="20"/>
                <w:szCs w:val="20"/>
              </w:rPr>
              <w:t xml:space="preserve"> r </w:t>
            </w:r>
            <w:r>
              <w:rPr>
                <w:rFonts w:eastAsia="Times New Roman"/>
                <w:sz w:val="20"/>
                <w:szCs w:val="20"/>
              </w:rPr>
              <w:t>&lt;</w:t>
            </w:r>
            <w:r w:rsidRPr="00090741">
              <w:rPr>
                <w:rFonts w:eastAsia="Times New Roman"/>
                <w:sz w:val="20"/>
                <w:szCs w:val="20"/>
              </w:rPr>
              <w:t xml:space="preserve"> 0.21</w:t>
            </w:r>
          </w:p>
        </w:tc>
      </w:tr>
      <w:tr w:rsidR="002C1FC6" w:rsidRPr="00090741" w14:paraId="6BDFEC85" w14:textId="77777777" w:rsidTr="003B3AC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3BE5B3" w14:textId="77777777" w:rsidR="002C1FC6" w:rsidRPr="00090741" w:rsidRDefault="002C1FC6" w:rsidP="003B3AC5">
            <w:pPr>
              <w:tabs>
                <w:tab w:val="left" w:pos="284"/>
              </w:tabs>
              <w:rPr>
                <w:rFonts w:eastAsia="Times New Roman"/>
                <w:b w:val="0"/>
                <w:bCs w:val="0"/>
                <w:caps w:val="0"/>
                <w:sz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FE7F624" w14:textId="77777777" w:rsidR="002C1FC6" w:rsidRPr="00090741" w:rsidRDefault="002C1FC6" w:rsidP="003B3AC5">
            <w:pPr>
              <w:tabs>
                <w:tab w:val="left" w:pos="284"/>
              </w:tabs>
              <w:cnfStyle w:val="000000100000" w:firstRow="0" w:lastRow="0" w:firstColumn="0" w:lastColumn="0" w:oddVBand="0" w:evenVBand="0" w:oddHBand="1" w:evenHBand="0" w:firstRowFirstColumn="0" w:firstRowLastColumn="0" w:lastRowFirstColumn="0" w:lastRowLastColumn="0"/>
              <w:rPr>
                <w:rFonts w:eastAsia="Times New Roman"/>
                <w:b/>
                <w:bCs/>
                <w:caps/>
                <w:sz w:val="20"/>
              </w:rPr>
            </w:pPr>
            <w:r w:rsidRPr="00090741">
              <w:rPr>
                <w:rFonts w:eastAsia="Times New Roman"/>
                <w:b/>
                <w:sz w:val="20"/>
                <w:szCs w:val="20"/>
              </w:rPr>
              <w:t>OR</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0DAB57F"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sz w:val="20"/>
              </w:rPr>
            </w:pPr>
            <w:r>
              <w:rPr>
                <w:rFonts w:eastAsia="Times New Roman"/>
                <w:sz w:val="20"/>
              </w:rPr>
              <w:t>1,96%</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31718AA0" w14:textId="77777777" w:rsidR="002C1FC6" w:rsidRPr="00090741" w:rsidRDefault="002C1FC6" w:rsidP="003B3AC5">
            <w:pPr>
              <w:tabs>
                <w:tab w:val="left" w:pos="284"/>
              </w:tabs>
              <w:jc w:val="center"/>
              <w:cnfStyle w:val="000000100000" w:firstRow="0" w:lastRow="0" w:firstColumn="0" w:lastColumn="0" w:oddVBand="0" w:evenVBand="0" w:oddHBand="1" w:evenHBand="0" w:firstRowFirstColumn="0" w:firstRowLastColumn="0" w:lastRowFirstColumn="0" w:lastRowLastColumn="0"/>
              <w:rPr>
                <w:rFonts w:eastAsia="Times New Roman"/>
                <w:sz w:val="20"/>
              </w:rPr>
            </w:pPr>
            <w:r w:rsidRPr="00090741">
              <w:rPr>
                <w:rFonts w:eastAsia="Times New Roman"/>
                <w:sz w:val="20"/>
                <w:szCs w:val="20"/>
              </w:rPr>
              <w:t>0.09</w:t>
            </w:r>
            <w:r>
              <w:rPr>
                <w:rFonts w:eastAsia="Times New Roman"/>
                <w:sz w:val="20"/>
                <w:szCs w:val="20"/>
              </w:rPr>
              <w:t xml:space="preserve"> &lt;</w:t>
            </w:r>
            <w:r w:rsidRPr="00090741">
              <w:rPr>
                <w:rFonts w:eastAsia="Times New Roman"/>
                <w:sz w:val="20"/>
                <w:szCs w:val="20"/>
              </w:rPr>
              <w:t xml:space="preserve"> r </w:t>
            </w:r>
            <w:r>
              <w:rPr>
                <w:rFonts w:eastAsia="Times New Roman"/>
                <w:sz w:val="20"/>
                <w:szCs w:val="20"/>
              </w:rPr>
              <w:t>&lt;</w:t>
            </w:r>
            <w:r w:rsidRPr="00090741">
              <w:rPr>
                <w:rFonts w:eastAsia="Times New Roman"/>
                <w:sz w:val="20"/>
                <w:szCs w:val="20"/>
              </w:rPr>
              <w:t xml:space="preserve"> 0.16</w:t>
            </w:r>
          </w:p>
        </w:tc>
      </w:tr>
      <w:tr w:rsidR="002C1FC6" w:rsidRPr="00090741" w14:paraId="76E12075" w14:textId="77777777" w:rsidTr="003B3AC5">
        <w:trPr>
          <w:trHeight w:val="274"/>
        </w:trPr>
        <w:tc>
          <w:tcPr>
            <w:cnfStyle w:val="001000000000" w:firstRow="0" w:lastRow="0" w:firstColumn="1" w:lastColumn="0" w:oddVBand="0" w:evenVBand="0" w:oddHBand="0" w:evenHBand="0" w:firstRowFirstColumn="0" w:firstRowLastColumn="0" w:lastRowFirstColumn="0" w:lastRowLastColumn="0"/>
            <w:tcW w:w="4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81A6B3" w14:textId="77777777" w:rsidR="002C1FC6" w:rsidRPr="00090741" w:rsidRDefault="002C1FC6" w:rsidP="003B3AC5">
            <w:pPr>
              <w:tabs>
                <w:tab w:val="left" w:pos="284"/>
              </w:tabs>
              <w:rPr>
                <w:rFonts w:eastAsia="Times New Roman"/>
                <w:b w:val="0"/>
                <w:bCs w:val="0"/>
                <w:caps w:val="0"/>
                <w:sz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0E4E895" w14:textId="77777777" w:rsidR="002C1FC6" w:rsidRPr="00090741" w:rsidRDefault="002C1FC6" w:rsidP="003B3AC5">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b/>
                <w:bCs/>
                <w:caps/>
                <w:sz w:val="20"/>
              </w:rPr>
            </w:pPr>
            <w:r w:rsidRPr="00090741">
              <w:rPr>
                <w:rFonts w:eastAsia="Times New Roman"/>
                <w:b/>
                <w:sz w:val="20"/>
                <w:szCs w:val="20"/>
              </w:rPr>
              <w:t>FR</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8BB87E1"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sz w:val="20"/>
              </w:rPr>
            </w:pPr>
            <w:r>
              <w:rPr>
                <w:rFonts w:eastAsia="Times New Roman"/>
                <w:sz w:val="20"/>
              </w:rPr>
              <w:t>2,25%</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6D587DDB" w14:textId="77777777" w:rsidR="002C1FC6" w:rsidRPr="00090741" w:rsidRDefault="002C1FC6" w:rsidP="003B3AC5">
            <w:pPr>
              <w:tabs>
                <w:tab w:val="left" w:pos="284"/>
              </w:tabs>
              <w:jc w:val="center"/>
              <w:cnfStyle w:val="000000000000" w:firstRow="0" w:lastRow="0" w:firstColumn="0" w:lastColumn="0" w:oddVBand="0" w:evenVBand="0" w:oddHBand="0" w:evenHBand="0" w:firstRowFirstColumn="0" w:firstRowLastColumn="0" w:lastRowFirstColumn="0" w:lastRowLastColumn="0"/>
              <w:rPr>
                <w:rFonts w:eastAsia="Times New Roman"/>
                <w:sz w:val="20"/>
              </w:rPr>
            </w:pPr>
            <w:r w:rsidRPr="00090741">
              <w:rPr>
                <w:rFonts w:eastAsia="Times New Roman"/>
                <w:sz w:val="20"/>
                <w:szCs w:val="20"/>
              </w:rPr>
              <w:t>0.1</w:t>
            </w:r>
            <w:r>
              <w:rPr>
                <w:rFonts w:eastAsia="Times New Roman"/>
                <w:sz w:val="20"/>
                <w:szCs w:val="20"/>
              </w:rPr>
              <w:t xml:space="preserve"> &lt;</w:t>
            </w:r>
            <w:r w:rsidRPr="00090741">
              <w:rPr>
                <w:rFonts w:eastAsia="Times New Roman"/>
                <w:sz w:val="20"/>
                <w:szCs w:val="20"/>
              </w:rPr>
              <w:t xml:space="preserve"> r </w:t>
            </w:r>
            <w:r>
              <w:rPr>
                <w:rFonts w:eastAsia="Times New Roman"/>
                <w:sz w:val="20"/>
                <w:szCs w:val="20"/>
              </w:rPr>
              <w:t>&lt;</w:t>
            </w:r>
            <w:r w:rsidRPr="00090741">
              <w:rPr>
                <w:rFonts w:eastAsia="Times New Roman"/>
                <w:sz w:val="20"/>
                <w:szCs w:val="20"/>
              </w:rPr>
              <w:t xml:space="preserve"> 0.18</w:t>
            </w:r>
          </w:p>
        </w:tc>
      </w:tr>
    </w:tbl>
    <w:p w14:paraId="35A729E8" w14:textId="77777777" w:rsidR="002C1FC6" w:rsidRDefault="002C1FC6" w:rsidP="002C1FC6">
      <w:pPr>
        <w:rPr>
          <w:b/>
          <w:color w:val="000000" w:themeColor="text1"/>
        </w:rPr>
      </w:pPr>
    </w:p>
    <w:p w14:paraId="68FF776E" w14:textId="77777777" w:rsidR="002C1FC6" w:rsidRDefault="002C1FC6" w:rsidP="002C1FC6">
      <w:pPr>
        <w:rPr>
          <w:b/>
          <w:color w:val="000000" w:themeColor="text1"/>
        </w:rPr>
      </w:pPr>
    </w:p>
    <w:p w14:paraId="2B95A21C" w14:textId="77777777" w:rsidR="002C1FC6" w:rsidRPr="00724F3A" w:rsidRDefault="002C1FC6" w:rsidP="002C1FC6">
      <w:pPr>
        <w:spacing w:after="240"/>
        <w:rPr>
          <w:b/>
        </w:rPr>
      </w:pPr>
      <w:r>
        <w:rPr>
          <w:b/>
        </w:rPr>
        <w:t xml:space="preserve">A6 - Discriminant validity test </w:t>
      </w:r>
      <w:r w:rsidRPr="00C073B1">
        <w:rPr>
          <w:b/>
        </w:rPr>
        <w:t>(Anderson and Gerbing 1988)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51"/>
        <w:gridCol w:w="992"/>
        <w:gridCol w:w="709"/>
        <w:gridCol w:w="992"/>
        <w:gridCol w:w="798"/>
        <w:gridCol w:w="766"/>
        <w:gridCol w:w="661"/>
        <w:gridCol w:w="1261"/>
      </w:tblGrid>
      <w:tr w:rsidR="002C1FC6" w:rsidRPr="00E7269B" w14:paraId="194F1FF3" w14:textId="77777777" w:rsidTr="003B3AC5">
        <w:tc>
          <w:tcPr>
            <w:tcW w:w="1701" w:type="dxa"/>
            <w:gridSpan w:val="2"/>
          </w:tcPr>
          <w:p w14:paraId="2678DC46" w14:textId="77777777" w:rsidR="002C1FC6" w:rsidRPr="00E7269B" w:rsidRDefault="002C1FC6" w:rsidP="003B3AC5">
            <w:pPr>
              <w:jc w:val="center"/>
              <w:rPr>
                <w:bCs/>
                <w:sz w:val="20"/>
                <w:szCs w:val="20"/>
              </w:rPr>
            </w:pPr>
            <w:r w:rsidRPr="00E7269B">
              <w:rPr>
                <w:bCs/>
                <w:sz w:val="20"/>
                <w:szCs w:val="20"/>
              </w:rPr>
              <w:t>Comparisons</w:t>
            </w:r>
          </w:p>
        </w:tc>
        <w:tc>
          <w:tcPr>
            <w:tcW w:w="1701" w:type="dxa"/>
            <w:gridSpan w:val="2"/>
          </w:tcPr>
          <w:p w14:paraId="05A72394" w14:textId="77777777" w:rsidR="002C1FC6" w:rsidRPr="00E7269B" w:rsidRDefault="002C1FC6" w:rsidP="003B3AC5">
            <w:pPr>
              <w:jc w:val="center"/>
              <w:rPr>
                <w:bCs/>
                <w:sz w:val="20"/>
                <w:szCs w:val="20"/>
              </w:rPr>
            </w:pPr>
            <w:r w:rsidRPr="00E7269B">
              <w:rPr>
                <w:bCs/>
                <w:sz w:val="20"/>
                <w:szCs w:val="20"/>
              </w:rPr>
              <w:t>Constrained model</w:t>
            </w:r>
          </w:p>
        </w:tc>
        <w:tc>
          <w:tcPr>
            <w:tcW w:w="1790" w:type="dxa"/>
            <w:gridSpan w:val="2"/>
          </w:tcPr>
          <w:p w14:paraId="780C9671" w14:textId="77777777" w:rsidR="002C1FC6" w:rsidRPr="00E7269B" w:rsidRDefault="002C1FC6" w:rsidP="003B3AC5">
            <w:pPr>
              <w:jc w:val="center"/>
              <w:rPr>
                <w:bCs/>
                <w:sz w:val="20"/>
                <w:szCs w:val="20"/>
              </w:rPr>
            </w:pPr>
            <w:r w:rsidRPr="00E7269B">
              <w:rPr>
                <w:bCs/>
                <w:sz w:val="20"/>
                <w:szCs w:val="20"/>
              </w:rPr>
              <w:t>Unconstrained model</w:t>
            </w:r>
          </w:p>
        </w:tc>
        <w:tc>
          <w:tcPr>
            <w:tcW w:w="1427" w:type="dxa"/>
            <w:gridSpan w:val="2"/>
          </w:tcPr>
          <w:p w14:paraId="15F4574D" w14:textId="77777777" w:rsidR="002C1FC6" w:rsidRPr="00E7269B" w:rsidRDefault="002C1FC6" w:rsidP="003B3AC5">
            <w:pPr>
              <w:jc w:val="center"/>
              <w:rPr>
                <w:bCs/>
                <w:sz w:val="20"/>
                <w:szCs w:val="20"/>
              </w:rPr>
            </w:pPr>
            <w:r w:rsidRPr="00E7269B">
              <w:rPr>
                <w:bCs/>
                <w:sz w:val="20"/>
                <w:szCs w:val="20"/>
              </w:rPr>
              <w:t>Chi-square difference</w:t>
            </w:r>
          </w:p>
        </w:tc>
        <w:tc>
          <w:tcPr>
            <w:tcW w:w="1261" w:type="dxa"/>
          </w:tcPr>
          <w:p w14:paraId="59C5EE2D" w14:textId="77777777" w:rsidR="002C1FC6" w:rsidRPr="00E7269B" w:rsidRDefault="002C1FC6" w:rsidP="003B3AC5">
            <w:pPr>
              <w:jc w:val="center"/>
              <w:rPr>
                <w:bCs/>
                <w:sz w:val="20"/>
                <w:szCs w:val="20"/>
              </w:rPr>
            </w:pPr>
            <w:r w:rsidRPr="00E7269B">
              <w:rPr>
                <w:bCs/>
                <w:sz w:val="20"/>
                <w:szCs w:val="20"/>
              </w:rPr>
              <w:t>Discriminant validity</w:t>
            </w:r>
          </w:p>
        </w:tc>
      </w:tr>
      <w:tr w:rsidR="002C1FC6" w:rsidRPr="00E7269B" w14:paraId="3DD77CDF" w14:textId="77777777" w:rsidTr="003B3AC5">
        <w:tc>
          <w:tcPr>
            <w:tcW w:w="850" w:type="dxa"/>
            <w:tcBorders>
              <w:bottom w:val="single" w:sz="4" w:space="0" w:color="auto"/>
            </w:tcBorders>
          </w:tcPr>
          <w:p w14:paraId="0B895A76" w14:textId="77777777" w:rsidR="002C1FC6" w:rsidRPr="00E7269B" w:rsidRDefault="002C1FC6" w:rsidP="003B3AC5">
            <w:pPr>
              <w:jc w:val="center"/>
              <w:rPr>
                <w:bCs/>
                <w:sz w:val="20"/>
                <w:szCs w:val="20"/>
              </w:rPr>
            </w:pPr>
          </w:p>
        </w:tc>
        <w:tc>
          <w:tcPr>
            <w:tcW w:w="851" w:type="dxa"/>
            <w:tcBorders>
              <w:bottom w:val="single" w:sz="4" w:space="0" w:color="auto"/>
            </w:tcBorders>
          </w:tcPr>
          <w:p w14:paraId="2F6028A6" w14:textId="77777777" w:rsidR="002C1FC6" w:rsidRPr="00E7269B" w:rsidRDefault="002C1FC6" w:rsidP="003B3AC5">
            <w:pPr>
              <w:jc w:val="center"/>
              <w:rPr>
                <w:bCs/>
                <w:sz w:val="20"/>
                <w:szCs w:val="20"/>
              </w:rPr>
            </w:pPr>
          </w:p>
        </w:tc>
        <w:tc>
          <w:tcPr>
            <w:tcW w:w="992" w:type="dxa"/>
            <w:tcBorders>
              <w:bottom w:val="single" w:sz="4" w:space="0" w:color="auto"/>
            </w:tcBorders>
          </w:tcPr>
          <w:p w14:paraId="17044299" w14:textId="77777777" w:rsidR="002C1FC6" w:rsidRPr="00E7269B" w:rsidRDefault="002C1FC6" w:rsidP="003B3AC5">
            <w:pPr>
              <w:jc w:val="center"/>
              <w:rPr>
                <w:bCs/>
                <w:sz w:val="20"/>
                <w:szCs w:val="20"/>
              </w:rPr>
            </w:pPr>
            <w:r>
              <w:rPr>
                <w:bCs/>
                <w:sz w:val="20"/>
                <w:szCs w:val="20"/>
                <w:lang w:val="el-GR"/>
              </w:rPr>
              <w:t>χ</w:t>
            </w:r>
            <w:r w:rsidRPr="00E7269B">
              <w:rPr>
                <w:bCs/>
                <w:sz w:val="20"/>
                <w:szCs w:val="20"/>
                <w:vertAlign w:val="superscript"/>
              </w:rPr>
              <w:t>2</w:t>
            </w:r>
          </w:p>
        </w:tc>
        <w:tc>
          <w:tcPr>
            <w:tcW w:w="709" w:type="dxa"/>
            <w:tcBorders>
              <w:bottom w:val="single" w:sz="4" w:space="0" w:color="auto"/>
            </w:tcBorders>
          </w:tcPr>
          <w:p w14:paraId="197B9657" w14:textId="77777777" w:rsidR="002C1FC6" w:rsidRPr="00E7269B" w:rsidRDefault="002C1FC6" w:rsidP="003B3AC5">
            <w:pPr>
              <w:jc w:val="center"/>
              <w:rPr>
                <w:bCs/>
                <w:sz w:val="20"/>
                <w:szCs w:val="20"/>
              </w:rPr>
            </w:pPr>
            <w:r>
              <w:rPr>
                <w:bCs/>
                <w:sz w:val="20"/>
                <w:szCs w:val="20"/>
              </w:rPr>
              <w:t>df</w:t>
            </w:r>
          </w:p>
        </w:tc>
        <w:tc>
          <w:tcPr>
            <w:tcW w:w="992" w:type="dxa"/>
            <w:tcBorders>
              <w:bottom w:val="single" w:sz="4" w:space="0" w:color="auto"/>
            </w:tcBorders>
          </w:tcPr>
          <w:p w14:paraId="35434845" w14:textId="77777777" w:rsidR="002C1FC6" w:rsidRPr="00E7269B" w:rsidRDefault="002C1FC6" w:rsidP="003B3AC5">
            <w:pPr>
              <w:jc w:val="center"/>
              <w:rPr>
                <w:bCs/>
                <w:sz w:val="20"/>
                <w:szCs w:val="20"/>
              </w:rPr>
            </w:pPr>
            <w:r>
              <w:rPr>
                <w:bCs/>
                <w:sz w:val="20"/>
                <w:szCs w:val="20"/>
                <w:lang w:val="el-GR"/>
              </w:rPr>
              <w:t>χ</w:t>
            </w:r>
            <w:r w:rsidRPr="00E7269B">
              <w:rPr>
                <w:bCs/>
                <w:sz w:val="20"/>
                <w:szCs w:val="20"/>
                <w:vertAlign w:val="superscript"/>
              </w:rPr>
              <w:t>2</w:t>
            </w:r>
          </w:p>
        </w:tc>
        <w:tc>
          <w:tcPr>
            <w:tcW w:w="798" w:type="dxa"/>
            <w:tcBorders>
              <w:bottom w:val="single" w:sz="4" w:space="0" w:color="auto"/>
            </w:tcBorders>
          </w:tcPr>
          <w:p w14:paraId="71384F89" w14:textId="77777777" w:rsidR="002C1FC6" w:rsidRPr="00E7269B" w:rsidRDefault="002C1FC6" w:rsidP="003B3AC5">
            <w:pPr>
              <w:jc w:val="center"/>
              <w:rPr>
                <w:bCs/>
                <w:sz w:val="20"/>
                <w:szCs w:val="20"/>
              </w:rPr>
            </w:pPr>
            <w:r>
              <w:rPr>
                <w:bCs/>
                <w:sz w:val="20"/>
                <w:szCs w:val="20"/>
              </w:rPr>
              <w:t>df</w:t>
            </w:r>
          </w:p>
        </w:tc>
        <w:tc>
          <w:tcPr>
            <w:tcW w:w="766" w:type="dxa"/>
            <w:tcBorders>
              <w:bottom w:val="single" w:sz="4" w:space="0" w:color="auto"/>
            </w:tcBorders>
          </w:tcPr>
          <w:p w14:paraId="18503E1F" w14:textId="77777777" w:rsidR="002C1FC6" w:rsidRPr="00E7269B" w:rsidRDefault="002C1FC6" w:rsidP="003B3AC5">
            <w:pPr>
              <w:jc w:val="center"/>
              <w:rPr>
                <w:bCs/>
                <w:sz w:val="20"/>
                <w:szCs w:val="20"/>
              </w:rPr>
            </w:pPr>
            <w:r>
              <w:rPr>
                <w:bCs/>
                <w:sz w:val="20"/>
                <w:szCs w:val="20"/>
                <w:lang w:val="el-GR"/>
              </w:rPr>
              <w:t>Δχ</w:t>
            </w:r>
            <w:r w:rsidRPr="00E7269B">
              <w:rPr>
                <w:bCs/>
                <w:sz w:val="20"/>
                <w:szCs w:val="20"/>
                <w:vertAlign w:val="superscript"/>
              </w:rPr>
              <w:t>2</w:t>
            </w:r>
          </w:p>
        </w:tc>
        <w:tc>
          <w:tcPr>
            <w:tcW w:w="661" w:type="dxa"/>
            <w:tcBorders>
              <w:bottom w:val="single" w:sz="4" w:space="0" w:color="auto"/>
            </w:tcBorders>
          </w:tcPr>
          <w:p w14:paraId="596BEEC5" w14:textId="77777777" w:rsidR="002C1FC6" w:rsidRPr="00E7269B" w:rsidRDefault="002C1FC6" w:rsidP="003B3AC5">
            <w:pPr>
              <w:jc w:val="center"/>
              <w:rPr>
                <w:bCs/>
                <w:sz w:val="20"/>
                <w:szCs w:val="20"/>
              </w:rPr>
            </w:pPr>
            <w:r>
              <w:rPr>
                <w:bCs/>
                <w:sz w:val="20"/>
                <w:szCs w:val="20"/>
                <w:lang w:val="el-GR"/>
              </w:rPr>
              <w:t>Δ</w:t>
            </w:r>
            <w:r>
              <w:rPr>
                <w:bCs/>
                <w:sz w:val="20"/>
                <w:szCs w:val="20"/>
              </w:rPr>
              <w:t>df</w:t>
            </w:r>
          </w:p>
        </w:tc>
        <w:tc>
          <w:tcPr>
            <w:tcW w:w="1261" w:type="dxa"/>
            <w:tcBorders>
              <w:bottom w:val="single" w:sz="4" w:space="0" w:color="auto"/>
            </w:tcBorders>
          </w:tcPr>
          <w:p w14:paraId="1CB3EEA9" w14:textId="77777777" w:rsidR="002C1FC6" w:rsidRPr="00E7269B" w:rsidRDefault="002C1FC6" w:rsidP="003B3AC5">
            <w:pPr>
              <w:jc w:val="center"/>
              <w:rPr>
                <w:bCs/>
                <w:sz w:val="20"/>
                <w:szCs w:val="20"/>
              </w:rPr>
            </w:pPr>
          </w:p>
        </w:tc>
      </w:tr>
      <w:tr w:rsidR="002C1FC6" w:rsidRPr="00E7269B" w14:paraId="18132BFD" w14:textId="77777777" w:rsidTr="003B3AC5">
        <w:tc>
          <w:tcPr>
            <w:tcW w:w="850" w:type="dxa"/>
            <w:tcBorders>
              <w:top w:val="single" w:sz="4" w:space="0" w:color="auto"/>
            </w:tcBorders>
          </w:tcPr>
          <w:p w14:paraId="0EDE48B0" w14:textId="77777777" w:rsidR="002C1FC6" w:rsidRPr="00E7269B" w:rsidRDefault="002C1FC6" w:rsidP="003B3AC5">
            <w:pPr>
              <w:jc w:val="center"/>
              <w:rPr>
                <w:bCs/>
                <w:sz w:val="20"/>
                <w:szCs w:val="20"/>
              </w:rPr>
            </w:pPr>
            <w:r>
              <w:rPr>
                <w:bCs/>
                <w:sz w:val="20"/>
                <w:szCs w:val="20"/>
              </w:rPr>
              <w:t>CS</w:t>
            </w:r>
          </w:p>
        </w:tc>
        <w:tc>
          <w:tcPr>
            <w:tcW w:w="851" w:type="dxa"/>
            <w:tcBorders>
              <w:top w:val="single" w:sz="4" w:space="0" w:color="auto"/>
            </w:tcBorders>
          </w:tcPr>
          <w:p w14:paraId="00973AF8" w14:textId="77777777" w:rsidR="002C1FC6" w:rsidRPr="00E7269B" w:rsidRDefault="002C1FC6" w:rsidP="003B3AC5">
            <w:pPr>
              <w:jc w:val="center"/>
              <w:rPr>
                <w:bCs/>
                <w:sz w:val="20"/>
                <w:szCs w:val="20"/>
              </w:rPr>
            </w:pPr>
            <w:r>
              <w:rPr>
                <w:bCs/>
                <w:sz w:val="20"/>
                <w:szCs w:val="20"/>
              </w:rPr>
              <w:t>SS</w:t>
            </w:r>
            <w:r w:rsidRPr="00B32EE9">
              <w:rPr>
                <w:bCs/>
                <w:sz w:val="20"/>
                <w:szCs w:val="20"/>
              </w:rPr>
              <w:t>P</w:t>
            </w:r>
          </w:p>
        </w:tc>
        <w:tc>
          <w:tcPr>
            <w:tcW w:w="992" w:type="dxa"/>
            <w:tcBorders>
              <w:top w:val="single" w:sz="4" w:space="0" w:color="auto"/>
            </w:tcBorders>
          </w:tcPr>
          <w:p w14:paraId="44BDE3F5" w14:textId="77777777" w:rsidR="002C1FC6" w:rsidRPr="00E7269B" w:rsidRDefault="002C1FC6" w:rsidP="003B3AC5">
            <w:pPr>
              <w:jc w:val="center"/>
              <w:rPr>
                <w:bCs/>
                <w:sz w:val="20"/>
                <w:szCs w:val="20"/>
              </w:rPr>
            </w:pPr>
            <w:r>
              <w:rPr>
                <w:bCs/>
                <w:sz w:val="20"/>
                <w:szCs w:val="20"/>
              </w:rPr>
              <w:t>392.384</w:t>
            </w:r>
          </w:p>
        </w:tc>
        <w:tc>
          <w:tcPr>
            <w:tcW w:w="709" w:type="dxa"/>
            <w:tcBorders>
              <w:top w:val="single" w:sz="4" w:space="0" w:color="auto"/>
            </w:tcBorders>
          </w:tcPr>
          <w:p w14:paraId="43DEF9C2" w14:textId="77777777" w:rsidR="002C1FC6" w:rsidRPr="00E7269B" w:rsidRDefault="002C1FC6" w:rsidP="003B3AC5">
            <w:pPr>
              <w:jc w:val="center"/>
              <w:rPr>
                <w:bCs/>
                <w:sz w:val="20"/>
                <w:szCs w:val="20"/>
              </w:rPr>
            </w:pPr>
            <w:r>
              <w:rPr>
                <w:bCs/>
                <w:sz w:val="20"/>
                <w:szCs w:val="20"/>
              </w:rPr>
              <w:t>65</w:t>
            </w:r>
          </w:p>
        </w:tc>
        <w:tc>
          <w:tcPr>
            <w:tcW w:w="992" w:type="dxa"/>
            <w:tcBorders>
              <w:top w:val="single" w:sz="4" w:space="0" w:color="auto"/>
            </w:tcBorders>
          </w:tcPr>
          <w:p w14:paraId="5C205EEB" w14:textId="77777777" w:rsidR="002C1FC6" w:rsidRPr="00E7269B" w:rsidRDefault="002C1FC6" w:rsidP="003B3AC5">
            <w:pPr>
              <w:jc w:val="center"/>
              <w:rPr>
                <w:bCs/>
                <w:sz w:val="20"/>
                <w:szCs w:val="20"/>
              </w:rPr>
            </w:pPr>
            <w:r>
              <w:rPr>
                <w:bCs/>
                <w:sz w:val="20"/>
                <w:szCs w:val="20"/>
              </w:rPr>
              <w:t>386.339</w:t>
            </w:r>
          </w:p>
        </w:tc>
        <w:tc>
          <w:tcPr>
            <w:tcW w:w="798" w:type="dxa"/>
            <w:tcBorders>
              <w:top w:val="single" w:sz="4" w:space="0" w:color="auto"/>
            </w:tcBorders>
          </w:tcPr>
          <w:p w14:paraId="60E6363C" w14:textId="77777777" w:rsidR="002C1FC6" w:rsidRPr="00E7269B" w:rsidRDefault="002C1FC6" w:rsidP="003B3AC5">
            <w:pPr>
              <w:jc w:val="center"/>
              <w:rPr>
                <w:bCs/>
                <w:sz w:val="20"/>
                <w:szCs w:val="20"/>
              </w:rPr>
            </w:pPr>
            <w:r>
              <w:rPr>
                <w:bCs/>
                <w:sz w:val="20"/>
                <w:szCs w:val="20"/>
              </w:rPr>
              <w:t>64</w:t>
            </w:r>
          </w:p>
        </w:tc>
        <w:tc>
          <w:tcPr>
            <w:tcW w:w="766" w:type="dxa"/>
            <w:tcBorders>
              <w:top w:val="single" w:sz="4" w:space="0" w:color="auto"/>
            </w:tcBorders>
          </w:tcPr>
          <w:p w14:paraId="7ABB85F8" w14:textId="77777777" w:rsidR="002C1FC6" w:rsidRPr="00E7269B" w:rsidRDefault="002C1FC6" w:rsidP="003B3AC5">
            <w:pPr>
              <w:jc w:val="center"/>
              <w:rPr>
                <w:bCs/>
                <w:sz w:val="20"/>
                <w:szCs w:val="20"/>
              </w:rPr>
            </w:pPr>
            <w:r>
              <w:rPr>
                <w:bCs/>
                <w:sz w:val="20"/>
                <w:szCs w:val="20"/>
              </w:rPr>
              <w:t>6.045</w:t>
            </w:r>
          </w:p>
        </w:tc>
        <w:tc>
          <w:tcPr>
            <w:tcW w:w="661" w:type="dxa"/>
            <w:tcBorders>
              <w:top w:val="single" w:sz="4" w:space="0" w:color="auto"/>
            </w:tcBorders>
          </w:tcPr>
          <w:p w14:paraId="070F63B3" w14:textId="77777777" w:rsidR="002C1FC6" w:rsidRPr="00E7269B" w:rsidRDefault="002C1FC6" w:rsidP="003B3AC5">
            <w:pPr>
              <w:jc w:val="center"/>
              <w:rPr>
                <w:bCs/>
                <w:sz w:val="20"/>
                <w:szCs w:val="20"/>
              </w:rPr>
            </w:pPr>
            <w:r>
              <w:rPr>
                <w:bCs/>
                <w:sz w:val="20"/>
                <w:szCs w:val="20"/>
              </w:rPr>
              <w:t>1</w:t>
            </w:r>
          </w:p>
        </w:tc>
        <w:tc>
          <w:tcPr>
            <w:tcW w:w="1261" w:type="dxa"/>
            <w:tcBorders>
              <w:top w:val="single" w:sz="4" w:space="0" w:color="auto"/>
            </w:tcBorders>
            <w:vAlign w:val="center"/>
          </w:tcPr>
          <w:p w14:paraId="74706D04" w14:textId="77777777" w:rsidR="002C1FC6" w:rsidRPr="00E7269B" w:rsidRDefault="002C1FC6" w:rsidP="003B3AC5">
            <w:pPr>
              <w:jc w:val="center"/>
              <w:rPr>
                <w:bCs/>
                <w:sz w:val="20"/>
                <w:szCs w:val="20"/>
              </w:rPr>
            </w:pPr>
            <w:r>
              <w:rPr>
                <w:bCs/>
                <w:sz w:val="20"/>
                <w:szCs w:val="20"/>
              </w:rPr>
              <w:t>yes</w:t>
            </w:r>
          </w:p>
        </w:tc>
      </w:tr>
      <w:tr w:rsidR="002C1FC6" w:rsidRPr="00E7269B" w14:paraId="007E9833" w14:textId="77777777" w:rsidTr="003B3AC5">
        <w:tc>
          <w:tcPr>
            <w:tcW w:w="850" w:type="dxa"/>
          </w:tcPr>
          <w:p w14:paraId="328B5437" w14:textId="77777777" w:rsidR="002C1FC6" w:rsidRPr="00E7269B" w:rsidRDefault="002C1FC6" w:rsidP="003B3AC5">
            <w:pPr>
              <w:jc w:val="center"/>
              <w:rPr>
                <w:bCs/>
                <w:sz w:val="20"/>
                <w:szCs w:val="20"/>
              </w:rPr>
            </w:pPr>
          </w:p>
        </w:tc>
        <w:tc>
          <w:tcPr>
            <w:tcW w:w="851" w:type="dxa"/>
          </w:tcPr>
          <w:p w14:paraId="262A8A83" w14:textId="77777777" w:rsidR="002C1FC6" w:rsidRPr="00E7269B" w:rsidRDefault="002C1FC6" w:rsidP="003B3AC5">
            <w:pPr>
              <w:jc w:val="center"/>
              <w:rPr>
                <w:bCs/>
                <w:sz w:val="20"/>
                <w:szCs w:val="20"/>
              </w:rPr>
            </w:pPr>
            <w:r>
              <w:rPr>
                <w:bCs/>
                <w:sz w:val="20"/>
                <w:szCs w:val="20"/>
              </w:rPr>
              <w:t>GMS</w:t>
            </w:r>
          </w:p>
        </w:tc>
        <w:tc>
          <w:tcPr>
            <w:tcW w:w="992" w:type="dxa"/>
          </w:tcPr>
          <w:p w14:paraId="491096D6" w14:textId="77777777" w:rsidR="002C1FC6" w:rsidRPr="00E7269B" w:rsidRDefault="002C1FC6" w:rsidP="003B3AC5">
            <w:pPr>
              <w:jc w:val="center"/>
              <w:rPr>
                <w:bCs/>
                <w:sz w:val="20"/>
                <w:szCs w:val="20"/>
              </w:rPr>
            </w:pPr>
            <w:r>
              <w:rPr>
                <w:bCs/>
                <w:sz w:val="20"/>
                <w:szCs w:val="20"/>
              </w:rPr>
              <w:t>757.353</w:t>
            </w:r>
          </w:p>
        </w:tc>
        <w:tc>
          <w:tcPr>
            <w:tcW w:w="709" w:type="dxa"/>
          </w:tcPr>
          <w:p w14:paraId="1C776204" w14:textId="77777777" w:rsidR="002C1FC6" w:rsidRPr="00E7269B" w:rsidRDefault="002C1FC6" w:rsidP="003B3AC5">
            <w:pPr>
              <w:jc w:val="center"/>
              <w:rPr>
                <w:bCs/>
                <w:sz w:val="20"/>
                <w:szCs w:val="20"/>
              </w:rPr>
            </w:pPr>
            <w:r>
              <w:rPr>
                <w:bCs/>
                <w:sz w:val="20"/>
                <w:szCs w:val="20"/>
              </w:rPr>
              <w:t>209</w:t>
            </w:r>
          </w:p>
        </w:tc>
        <w:tc>
          <w:tcPr>
            <w:tcW w:w="992" w:type="dxa"/>
          </w:tcPr>
          <w:p w14:paraId="2AF7F7DD" w14:textId="77777777" w:rsidR="002C1FC6" w:rsidRPr="00E7269B" w:rsidRDefault="002C1FC6" w:rsidP="003B3AC5">
            <w:pPr>
              <w:jc w:val="center"/>
              <w:rPr>
                <w:bCs/>
                <w:sz w:val="20"/>
                <w:szCs w:val="20"/>
              </w:rPr>
            </w:pPr>
            <w:r>
              <w:rPr>
                <w:bCs/>
                <w:sz w:val="20"/>
                <w:szCs w:val="20"/>
              </w:rPr>
              <w:t>751.377</w:t>
            </w:r>
          </w:p>
        </w:tc>
        <w:tc>
          <w:tcPr>
            <w:tcW w:w="798" w:type="dxa"/>
          </w:tcPr>
          <w:p w14:paraId="05ECACE9" w14:textId="77777777" w:rsidR="002C1FC6" w:rsidRPr="00E7269B" w:rsidRDefault="002C1FC6" w:rsidP="003B3AC5">
            <w:pPr>
              <w:jc w:val="center"/>
              <w:rPr>
                <w:bCs/>
                <w:sz w:val="20"/>
                <w:szCs w:val="20"/>
              </w:rPr>
            </w:pPr>
            <w:r>
              <w:rPr>
                <w:bCs/>
                <w:sz w:val="20"/>
                <w:szCs w:val="20"/>
              </w:rPr>
              <w:t>208</w:t>
            </w:r>
          </w:p>
        </w:tc>
        <w:tc>
          <w:tcPr>
            <w:tcW w:w="766" w:type="dxa"/>
          </w:tcPr>
          <w:p w14:paraId="63B20F07" w14:textId="77777777" w:rsidR="002C1FC6" w:rsidRPr="00E7269B" w:rsidRDefault="002C1FC6" w:rsidP="003B3AC5">
            <w:pPr>
              <w:jc w:val="center"/>
              <w:rPr>
                <w:bCs/>
                <w:sz w:val="20"/>
                <w:szCs w:val="20"/>
              </w:rPr>
            </w:pPr>
            <w:r>
              <w:rPr>
                <w:bCs/>
                <w:sz w:val="20"/>
                <w:szCs w:val="20"/>
              </w:rPr>
              <w:t>5.976</w:t>
            </w:r>
          </w:p>
        </w:tc>
        <w:tc>
          <w:tcPr>
            <w:tcW w:w="661" w:type="dxa"/>
          </w:tcPr>
          <w:p w14:paraId="40F77C13" w14:textId="77777777" w:rsidR="002C1FC6" w:rsidRPr="00E7269B" w:rsidRDefault="002C1FC6" w:rsidP="003B3AC5">
            <w:pPr>
              <w:jc w:val="center"/>
              <w:rPr>
                <w:bCs/>
                <w:sz w:val="20"/>
                <w:szCs w:val="20"/>
              </w:rPr>
            </w:pPr>
            <w:r>
              <w:rPr>
                <w:bCs/>
                <w:sz w:val="20"/>
                <w:szCs w:val="20"/>
              </w:rPr>
              <w:t>1</w:t>
            </w:r>
          </w:p>
        </w:tc>
        <w:tc>
          <w:tcPr>
            <w:tcW w:w="1261" w:type="dxa"/>
            <w:vAlign w:val="center"/>
          </w:tcPr>
          <w:p w14:paraId="715FBA65" w14:textId="77777777" w:rsidR="002C1FC6" w:rsidRPr="00E7269B" w:rsidRDefault="002C1FC6" w:rsidP="003B3AC5">
            <w:pPr>
              <w:jc w:val="center"/>
              <w:rPr>
                <w:bCs/>
                <w:sz w:val="20"/>
                <w:szCs w:val="20"/>
              </w:rPr>
            </w:pPr>
            <w:r w:rsidRPr="009211EA">
              <w:rPr>
                <w:bCs/>
                <w:sz w:val="20"/>
                <w:szCs w:val="20"/>
              </w:rPr>
              <w:t>yes</w:t>
            </w:r>
          </w:p>
        </w:tc>
      </w:tr>
      <w:tr w:rsidR="002C1FC6" w:rsidRPr="00E7269B" w14:paraId="392DAC13" w14:textId="77777777" w:rsidTr="003B3AC5">
        <w:tc>
          <w:tcPr>
            <w:tcW w:w="850" w:type="dxa"/>
          </w:tcPr>
          <w:p w14:paraId="13A19866" w14:textId="77777777" w:rsidR="002C1FC6" w:rsidRPr="00E7269B" w:rsidRDefault="002C1FC6" w:rsidP="003B3AC5">
            <w:pPr>
              <w:jc w:val="center"/>
              <w:rPr>
                <w:bCs/>
                <w:sz w:val="20"/>
                <w:szCs w:val="20"/>
              </w:rPr>
            </w:pPr>
          </w:p>
        </w:tc>
        <w:tc>
          <w:tcPr>
            <w:tcW w:w="851" w:type="dxa"/>
          </w:tcPr>
          <w:p w14:paraId="3960398D" w14:textId="77777777" w:rsidR="002C1FC6" w:rsidRPr="00E7269B" w:rsidRDefault="002C1FC6" w:rsidP="003B3AC5">
            <w:pPr>
              <w:jc w:val="center"/>
              <w:rPr>
                <w:bCs/>
                <w:sz w:val="20"/>
                <w:szCs w:val="20"/>
              </w:rPr>
            </w:pPr>
            <w:r w:rsidRPr="00B32EE9">
              <w:rPr>
                <w:bCs/>
                <w:sz w:val="20"/>
                <w:szCs w:val="20"/>
              </w:rPr>
              <w:t>GMR</w:t>
            </w:r>
          </w:p>
        </w:tc>
        <w:tc>
          <w:tcPr>
            <w:tcW w:w="992" w:type="dxa"/>
          </w:tcPr>
          <w:p w14:paraId="3B8CB9EA" w14:textId="77777777" w:rsidR="002C1FC6" w:rsidRPr="00E7269B" w:rsidRDefault="002C1FC6" w:rsidP="003B3AC5">
            <w:pPr>
              <w:jc w:val="center"/>
              <w:rPr>
                <w:bCs/>
                <w:sz w:val="20"/>
                <w:szCs w:val="20"/>
              </w:rPr>
            </w:pPr>
            <w:r>
              <w:rPr>
                <w:bCs/>
                <w:sz w:val="20"/>
                <w:szCs w:val="20"/>
              </w:rPr>
              <w:t>182.983</w:t>
            </w:r>
          </w:p>
        </w:tc>
        <w:tc>
          <w:tcPr>
            <w:tcW w:w="709" w:type="dxa"/>
          </w:tcPr>
          <w:p w14:paraId="20C52685" w14:textId="77777777" w:rsidR="002C1FC6" w:rsidRPr="00E7269B" w:rsidRDefault="002C1FC6" w:rsidP="003B3AC5">
            <w:pPr>
              <w:jc w:val="center"/>
              <w:rPr>
                <w:bCs/>
                <w:sz w:val="20"/>
                <w:szCs w:val="20"/>
              </w:rPr>
            </w:pPr>
            <w:r>
              <w:rPr>
                <w:bCs/>
                <w:sz w:val="20"/>
                <w:szCs w:val="20"/>
              </w:rPr>
              <w:t>21</w:t>
            </w:r>
          </w:p>
        </w:tc>
        <w:tc>
          <w:tcPr>
            <w:tcW w:w="992" w:type="dxa"/>
          </w:tcPr>
          <w:p w14:paraId="46636DFE" w14:textId="77777777" w:rsidR="002C1FC6" w:rsidRPr="00E7269B" w:rsidRDefault="002C1FC6" w:rsidP="003B3AC5">
            <w:pPr>
              <w:jc w:val="center"/>
              <w:rPr>
                <w:bCs/>
                <w:sz w:val="20"/>
                <w:szCs w:val="20"/>
              </w:rPr>
            </w:pPr>
            <w:r>
              <w:rPr>
                <w:bCs/>
                <w:sz w:val="20"/>
                <w:szCs w:val="20"/>
              </w:rPr>
              <w:t>177.906</w:t>
            </w:r>
          </w:p>
        </w:tc>
        <w:tc>
          <w:tcPr>
            <w:tcW w:w="798" w:type="dxa"/>
          </w:tcPr>
          <w:p w14:paraId="6F7F9385" w14:textId="77777777" w:rsidR="002C1FC6" w:rsidRPr="00E7269B" w:rsidRDefault="002C1FC6" w:rsidP="003B3AC5">
            <w:pPr>
              <w:jc w:val="center"/>
              <w:rPr>
                <w:bCs/>
                <w:sz w:val="20"/>
                <w:szCs w:val="20"/>
              </w:rPr>
            </w:pPr>
            <w:r>
              <w:rPr>
                <w:bCs/>
                <w:sz w:val="20"/>
                <w:szCs w:val="20"/>
              </w:rPr>
              <w:t>20</w:t>
            </w:r>
          </w:p>
        </w:tc>
        <w:tc>
          <w:tcPr>
            <w:tcW w:w="766" w:type="dxa"/>
          </w:tcPr>
          <w:p w14:paraId="0C4B44E3" w14:textId="77777777" w:rsidR="002C1FC6" w:rsidRPr="00E7269B" w:rsidRDefault="002C1FC6" w:rsidP="003B3AC5">
            <w:pPr>
              <w:jc w:val="center"/>
              <w:rPr>
                <w:bCs/>
                <w:sz w:val="20"/>
                <w:szCs w:val="20"/>
              </w:rPr>
            </w:pPr>
            <w:r>
              <w:rPr>
                <w:bCs/>
                <w:sz w:val="20"/>
                <w:szCs w:val="20"/>
              </w:rPr>
              <w:t>5.077</w:t>
            </w:r>
          </w:p>
        </w:tc>
        <w:tc>
          <w:tcPr>
            <w:tcW w:w="661" w:type="dxa"/>
          </w:tcPr>
          <w:p w14:paraId="3E9E7DC6" w14:textId="77777777" w:rsidR="002C1FC6" w:rsidRPr="00E7269B" w:rsidRDefault="002C1FC6" w:rsidP="003B3AC5">
            <w:pPr>
              <w:jc w:val="center"/>
              <w:rPr>
                <w:bCs/>
                <w:sz w:val="20"/>
                <w:szCs w:val="20"/>
              </w:rPr>
            </w:pPr>
            <w:r>
              <w:rPr>
                <w:bCs/>
                <w:sz w:val="20"/>
                <w:szCs w:val="20"/>
              </w:rPr>
              <w:t>1</w:t>
            </w:r>
          </w:p>
        </w:tc>
        <w:tc>
          <w:tcPr>
            <w:tcW w:w="1261" w:type="dxa"/>
            <w:vAlign w:val="center"/>
          </w:tcPr>
          <w:p w14:paraId="614BEF71" w14:textId="77777777" w:rsidR="002C1FC6" w:rsidRPr="00E7269B" w:rsidRDefault="002C1FC6" w:rsidP="003B3AC5">
            <w:pPr>
              <w:jc w:val="center"/>
              <w:rPr>
                <w:bCs/>
                <w:sz w:val="20"/>
                <w:szCs w:val="20"/>
              </w:rPr>
            </w:pPr>
            <w:r w:rsidRPr="009211EA">
              <w:rPr>
                <w:bCs/>
                <w:sz w:val="20"/>
                <w:szCs w:val="20"/>
              </w:rPr>
              <w:t>yes</w:t>
            </w:r>
          </w:p>
        </w:tc>
      </w:tr>
      <w:tr w:rsidR="002C1FC6" w:rsidRPr="00E7269B" w14:paraId="3A04C0AE" w14:textId="77777777" w:rsidTr="003B3AC5">
        <w:tc>
          <w:tcPr>
            <w:tcW w:w="850" w:type="dxa"/>
          </w:tcPr>
          <w:p w14:paraId="282F2F91" w14:textId="77777777" w:rsidR="002C1FC6" w:rsidRPr="00E7269B" w:rsidRDefault="002C1FC6" w:rsidP="003B3AC5">
            <w:pPr>
              <w:jc w:val="center"/>
              <w:rPr>
                <w:bCs/>
                <w:sz w:val="20"/>
                <w:szCs w:val="20"/>
              </w:rPr>
            </w:pPr>
          </w:p>
        </w:tc>
        <w:tc>
          <w:tcPr>
            <w:tcW w:w="851" w:type="dxa"/>
          </w:tcPr>
          <w:p w14:paraId="35409F46" w14:textId="77777777" w:rsidR="002C1FC6" w:rsidRPr="00E7269B" w:rsidRDefault="002C1FC6" w:rsidP="003B3AC5">
            <w:pPr>
              <w:jc w:val="center"/>
              <w:rPr>
                <w:bCs/>
                <w:sz w:val="20"/>
                <w:szCs w:val="20"/>
              </w:rPr>
            </w:pPr>
            <w:r>
              <w:rPr>
                <w:bCs/>
                <w:sz w:val="20"/>
                <w:szCs w:val="20"/>
              </w:rPr>
              <w:t>OR</w:t>
            </w:r>
          </w:p>
        </w:tc>
        <w:tc>
          <w:tcPr>
            <w:tcW w:w="992" w:type="dxa"/>
          </w:tcPr>
          <w:p w14:paraId="0B2B12DB" w14:textId="77777777" w:rsidR="002C1FC6" w:rsidRPr="00E7269B" w:rsidRDefault="002C1FC6" w:rsidP="003B3AC5">
            <w:pPr>
              <w:jc w:val="center"/>
              <w:rPr>
                <w:bCs/>
                <w:sz w:val="20"/>
                <w:szCs w:val="20"/>
              </w:rPr>
            </w:pPr>
            <w:r>
              <w:rPr>
                <w:bCs/>
                <w:sz w:val="20"/>
                <w:szCs w:val="20"/>
              </w:rPr>
              <w:t>292.430</w:t>
            </w:r>
          </w:p>
        </w:tc>
        <w:tc>
          <w:tcPr>
            <w:tcW w:w="709" w:type="dxa"/>
          </w:tcPr>
          <w:p w14:paraId="0E7F078B" w14:textId="77777777" w:rsidR="002C1FC6" w:rsidRPr="00E7269B" w:rsidRDefault="002C1FC6" w:rsidP="003B3AC5">
            <w:pPr>
              <w:jc w:val="center"/>
              <w:rPr>
                <w:bCs/>
                <w:sz w:val="20"/>
                <w:szCs w:val="20"/>
              </w:rPr>
            </w:pPr>
            <w:r>
              <w:rPr>
                <w:bCs/>
                <w:sz w:val="20"/>
                <w:szCs w:val="20"/>
              </w:rPr>
              <w:t>54</w:t>
            </w:r>
          </w:p>
        </w:tc>
        <w:tc>
          <w:tcPr>
            <w:tcW w:w="992" w:type="dxa"/>
          </w:tcPr>
          <w:p w14:paraId="3A512AE0" w14:textId="77777777" w:rsidR="002C1FC6" w:rsidRPr="00E7269B" w:rsidRDefault="002C1FC6" w:rsidP="003B3AC5">
            <w:pPr>
              <w:jc w:val="center"/>
              <w:rPr>
                <w:bCs/>
                <w:sz w:val="20"/>
                <w:szCs w:val="20"/>
              </w:rPr>
            </w:pPr>
            <w:r>
              <w:rPr>
                <w:bCs/>
                <w:sz w:val="20"/>
                <w:szCs w:val="20"/>
              </w:rPr>
              <w:t>273.013</w:t>
            </w:r>
          </w:p>
        </w:tc>
        <w:tc>
          <w:tcPr>
            <w:tcW w:w="798" w:type="dxa"/>
          </w:tcPr>
          <w:p w14:paraId="56E6A2DF" w14:textId="77777777" w:rsidR="002C1FC6" w:rsidRPr="00E7269B" w:rsidRDefault="002C1FC6" w:rsidP="003B3AC5">
            <w:pPr>
              <w:jc w:val="center"/>
              <w:rPr>
                <w:bCs/>
                <w:sz w:val="20"/>
                <w:szCs w:val="20"/>
              </w:rPr>
            </w:pPr>
            <w:r>
              <w:rPr>
                <w:bCs/>
                <w:sz w:val="20"/>
                <w:szCs w:val="20"/>
              </w:rPr>
              <w:t>53</w:t>
            </w:r>
          </w:p>
        </w:tc>
        <w:tc>
          <w:tcPr>
            <w:tcW w:w="766" w:type="dxa"/>
          </w:tcPr>
          <w:p w14:paraId="69033A7F" w14:textId="77777777" w:rsidR="002C1FC6" w:rsidRPr="00E7269B" w:rsidRDefault="002C1FC6" w:rsidP="003B3AC5">
            <w:pPr>
              <w:jc w:val="center"/>
              <w:rPr>
                <w:bCs/>
                <w:sz w:val="20"/>
                <w:szCs w:val="20"/>
              </w:rPr>
            </w:pPr>
            <w:r>
              <w:rPr>
                <w:bCs/>
                <w:sz w:val="20"/>
                <w:szCs w:val="20"/>
              </w:rPr>
              <w:t>19.417</w:t>
            </w:r>
          </w:p>
        </w:tc>
        <w:tc>
          <w:tcPr>
            <w:tcW w:w="661" w:type="dxa"/>
          </w:tcPr>
          <w:p w14:paraId="3BE81325" w14:textId="77777777" w:rsidR="002C1FC6" w:rsidRPr="00E7269B" w:rsidRDefault="002C1FC6" w:rsidP="003B3AC5">
            <w:pPr>
              <w:jc w:val="center"/>
              <w:rPr>
                <w:bCs/>
                <w:sz w:val="20"/>
                <w:szCs w:val="20"/>
              </w:rPr>
            </w:pPr>
            <w:r>
              <w:rPr>
                <w:bCs/>
                <w:sz w:val="20"/>
                <w:szCs w:val="20"/>
              </w:rPr>
              <w:t>1</w:t>
            </w:r>
          </w:p>
        </w:tc>
        <w:tc>
          <w:tcPr>
            <w:tcW w:w="1261" w:type="dxa"/>
            <w:vAlign w:val="center"/>
          </w:tcPr>
          <w:p w14:paraId="513359B1" w14:textId="77777777" w:rsidR="002C1FC6" w:rsidRPr="00E7269B" w:rsidRDefault="002C1FC6" w:rsidP="003B3AC5">
            <w:pPr>
              <w:jc w:val="center"/>
              <w:rPr>
                <w:bCs/>
                <w:sz w:val="20"/>
                <w:szCs w:val="20"/>
              </w:rPr>
            </w:pPr>
            <w:r w:rsidRPr="009211EA">
              <w:rPr>
                <w:bCs/>
                <w:sz w:val="20"/>
                <w:szCs w:val="20"/>
              </w:rPr>
              <w:t>yes</w:t>
            </w:r>
          </w:p>
        </w:tc>
      </w:tr>
      <w:tr w:rsidR="002C1FC6" w:rsidRPr="00E7269B" w14:paraId="7EC64D8B" w14:textId="77777777" w:rsidTr="003B3AC5">
        <w:tc>
          <w:tcPr>
            <w:tcW w:w="850" w:type="dxa"/>
          </w:tcPr>
          <w:p w14:paraId="6360A3D5" w14:textId="77777777" w:rsidR="002C1FC6" w:rsidRPr="00E7269B" w:rsidRDefault="002C1FC6" w:rsidP="003B3AC5">
            <w:pPr>
              <w:jc w:val="center"/>
              <w:rPr>
                <w:bCs/>
                <w:sz w:val="20"/>
                <w:szCs w:val="20"/>
              </w:rPr>
            </w:pPr>
          </w:p>
        </w:tc>
        <w:tc>
          <w:tcPr>
            <w:tcW w:w="851" w:type="dxa"/>
          </w:tcPr>
          <w:p w14:paraId="0D7A0D4E" w14:textId="77777777" w:rsidR="002C1FC6" w:rsidRPr="00E7269B" w:rsidRDefault="002C1FC6" w:rsidP="003B3AC5">
            <w:pPr>
              <w:jc w:val="center"/>
              <w:rPr>
                <w:bCs/>
                <w:sz w:val="20"/>
                <w:szCs w:val="20"/>
              </w:rPr>
            </w:pPr>
            <w:r>
              <w:rPr>
                <w:bCs/>
                <w:sz w:val="20"/>
                <w:szCs w:val="20"/>
              </w:rPr>
              <w:t>FR</w:t>
            </w:r>
          </w:p>
        </w:tc>
        <w:tc>
          <w:tcPr>
            <w:tcW w:w="992" w:type="dxa"/>
          </w:tcPr>
          <w:p w14:paraId="1E5D2488" w14:textId="77777777" w:rsidR="002C1FC6" w:rsidRPr="00E7269B" w:rsidRDefault="002C1FC6" w:rsidP="003B3AC5">
            <w:pPr>
              <w:jc w:val="center"/>
              <w:rPr>
                <w:bCs/>
                <w:sz w:val="20"/>
                <w:szCs w:val="20"/>
              </w:rPr>
            </w:pPr>
            <w:r>
              <w:rPr>
                <w:bCs/>
                <w:sz w:val="20"/>
                <w:szCs w:val="20"/>
              </w:rPr>
              <w:t>242.614</w:t>
            </w:r>
          </w:p>
        </w:tc>
        <w:tc>
          <w:tcPr>
            <w:tcW w:w="709" w:type="dxa"/>
          </w:tcPr>
          <w:p w14:paraId="764F3BE9" w14:textId="77777777" w:rsidR="002C1FC6" w:rsidRPr="00E7269B" w:rsidRDefault="002C1FC6" w:rsidP="003B3AC5">
            <w:pPr>
              <w:jc w:val="center"/>
              <w:rPr>
                <w:bCs/>
                <w:sz w:val="20"/>
                <w:szCs w:val="20"/>
              </w:rPr>
            </w:pPr>
            <w:r>
              <w:rPr>
                <w:bCs/>
                <w:sz w:val="20"/>
                <w:szCs w:val="20"/>
              </w:rPr>
              <w:t>54</w:t>
            </w:r>
          </w:p>
        </w:tc>
        <w:tc>
          <w:tcPr>
            <w:tcW w:w="992" w:type="dxa"/>
          </w:tcPr>
          <w:p w14:paraId="58BA56EC" w14:textId="77777777" w:rsidR="002C1FC6" w:rsidRPr="00E7269B" w:rsidRDefault="002C1FC6" w:rsidP="003B3AC5">
            <w:pPr>
              <w:jc w:val="center"/>
              <w:rPr>
                <w:bCs/>
                <w:sz w:val="20"/>
                <w:szCs w:val="20"/>
              </w:rPr>
            </w:pPr>
            <w:r>
              <w:rPr>
                <w:bCs/>
                <w:sz w:val="20"/>
                <w:szCs w:val="20"/>
              </w:rPr>
              <w:t>224.901</w:t>
            </w:r>
          </w:p>
        </w:tc>
        <w:tc>
          <w:tcPr>
            <w:tcW w:w="798" w:type="dxa"/>
          </w:tcPr>
          <w:p w14:paraId="7FA5908B" w14:textId="77777777" w:rsidR="002C1FC6" w:rsidRPr="00E7269B" w:rsidRDefault="002C1FC6" w:rsidP="003B3AC5">
            <w:pPr>
              <w:jc w:val="center"/>
              <w:rPr>
                <w:bCs/>
                <w:sz w:val="20"/>
                <w:szCs w:val="20"/>
              </w:rPr>
            </w:pPr>
            <w:r>
              <w:rPr>
                <w:bCs/>
                <w:sz w:val="20"/>
                <w:szCs w:val="20"/>
              </w:rPr>
              <w:t>53</w:t>
            </w:r>
          </w:p>
        </w:tc>
        <w:tc>
          <w:tcPr>
            <w:tcW w:w="766" w:type="dxa"/>
          </w:tcPr>
          <w:p w14:paraId="0DA72B85" w14:textId="77777777" w:rsidR="002C1FC6" w:rsidRPr="00E7269B" w:rsidRDefault="002C1FC6" w:rsidP="003B3AC5">
            <w:pPr>
              <w:jc w:val="center"/>
              <w:rPr>
                <w:bCs/>
                <w:sz w:val="20"/>
                <w:szCs w:val="20"/>
              </w:rPr>
            </w:pPr>
            <w:r>
              <w:rPr>
                <w:bCs/>
                <w:sz w:val="20"/>
                <w:szCs w:val="20"/>
              </w:rPr>
              <w:t>17.713</w:t>
            </w:r>
          </w:p>
        </w:tc>
        <w:tc>
          <w:tcPr>
            <w:tcW w:w="661" w:type="dxa"/>
          </w:tcPr>
          <w:p w14:paraId="613D4CEE" w14:textId="77777777" w:rsidR="002C1FC6" w:rsidRPr="00E7269B" w:rsidRDefault="002C1FC6" w:rsidP="003B3AC5">
            <w:pPr>
              <w:jc w:val="center"/>
              <w:rPr>
                <w:bCs/>
                <w:sz w:val="20"/>
                <w:szCs w:val="20"/>
              </w:rPr>
            </w:pPr>
            <w:r>
              <w:rPr>
                <w:bCs/>
                <w:sz w:val="20"/>
                <w:szCs w:val="20"/>
              </w:rPr>
              <w:t>1</w:t>
            </w:r>
          </w:p>
        </w:tc>
        <w:tc>
          <w:tcPr>
            <w:tcW w:w="1261" w:type="dxa"/>
            <w:vAlign w:val="center"/>
          </w:tcPr>
          <w:p w14:paraId="07BD2879" w14:textId="77777777" w:rsidR="002C1FC6" w:rsidRPr="00E7269B" w:rsidRDefault="002C1FC6" w:rsidP="003B3AC5">
            <w:pPr>
              <w:jc w:val="center"/>
              <w:rPr>
                <w:bCs/>
                <w:sz w:val="20"/>
                <w:szCs w:val="20"/>
              </w:rPr>
            </w:pPr>
            <w:r w:rsidRPr="009211EA">
              <w:rPr>
                <w:bCs/>
                <w:sz w:val="20"/>
                <w:szCs w:val="20"/>
              </w:rPr>
              <w:t>yes</w:t>
            </w:r>
          </w:p>
        </w:tc>
      </w:tr>
      <w:tr w:rsidR="002C1FC6" w:rsidRPr="00E7269B" w14:paraId="03124511" w14:textId="77777777" w:rsidTr="003B3AC5">
        <w:trPr>
          <w:trHeight w:val="252"/>
        </w:trPr>
        <w:tc>
          <w:tcPr>
            <w:tcW w:w="850" w:type="dxa"/>
          </w:tcPr>
          <w:p w14:paraId="1899D86A" w14:textId="77777777" w:rsidR="002C1FC6" w:rsidRPr="00E7269B" w:rsidRDefault="002C1FC6" w:rsidP="003B3AC5">
            <w:pPr>
              <w:jc w:val="center"/>
              <w:rPr>
                <w:bCs/>
                <w:sz w:val="20"/>
                <w:szCs w:val="20"/>
              </w:rPr>
            </w:pPr>
            <w:r>
              <w:rPr>
                <w:bCs/>
                <w:sz w:val="20"/>
                <w:szCs w:val="20"/>
              </w:rPr>
              <w:t>SSP</w:t>
            </w:r>
          </w:p>
        </w:tc>
        <w:tc>
          <w:tcPr>
            <w:tcW w:w="851" w:type="dxa"/>
          </w:tcPr>
          <w:p w14:paraId="61102B34" w14:textId="77777777" w:rsidR="002C1FC6" w:rsidRPr="00E7269B" w:rsidRDefault="002C1FC6" w:rsidP="003B3AC5">
            <w:pPr>
              <w:jc w:val="center"/>
              <w:rPr>
                <w:bCs/>
                <w:sz w:val="20"/>
                <w:szCs w:val="20"/>
              </w:rPr>
            </w:pPr>
            <w:r w:rsidRPr="00B32EE9">
              <w:rPr>
                <w:bCs/>
                <w:sz w:val="20"/>
                <w:szCs w:val="20"/>
              </w:rPr>
              <w:t>GMS</w:t>
            </w:r>
          </w:p>
        </w:tc>
        <w:tc>
          <w:tcPr>
            <w:tcW w:w="992" w:type="dxa"/>
          </w:tcPr>
          <w:p w14:paraId="44565BC8" w14:textId="77777777" w:rsidR="002C1FC6" w:rsidRPr="00E7269B" w:rsidRDefault="002C1FC6" w:rsidP="003B3AC5">
            <w:pPr>
              <w:jc w:val="center"/>
              <w:rPr>
                <w:bCs/>
                <w:sz w:val="20"/>
                <w:szCs w:val="20"/>
              </w:rPr>
            </w:pPr>
            <w:r>
              <w:rPr>
                <w:bCs/>
                <w:sz w:val="20"/>
                <w:szCs w:val="20"/>
              </w:rPr>
              <w:t>682.629</w:t>
            </w:r>
          </w:p>
        </w:tc>
        <w:tc>
          <w:tcPr>
            <w:tcW w:w="709" w:type="dxa"/>
          </w:tcPr>
          <w:p w14:paraId="400BE518" w14:textId="77777777" w:rsidR="002C1FC6" w:rsidRPr="00E7269B" w:rsidRDefault="002C1FC6" w:rsidP="003B3AC5">
            <w:pPr>
              <w:jc w:val="center"/>
              <w:rPr>
                <w:bCs/>
                <w:sz w:val="20"/>
                <w:szCs w:val="20"/>
              </w:rPr>
            </w:pPr>
            <w:r>
              <w:rPr>
                <w:bCs/>
                <w:sz w:val="20"/>
                <w:szCs w:val="20"/>
              </w:rPr>
              <w:t>189</w:t>
            </w:r>
          </w:p>
        </w:tc>
        <w:tc>
          <w:tcPr>
            <w:tcW w:w="992" w:type="dxa"/>
          </w:tcPr>
          <w:p w14:paraId="2360909A" w14:textId="77777777" w:rsidR="002C1FC6" w:rsidRPr="00E7269B" w:rsidRDefault="002C1FC6" w:rsidP="003B3AC5">
            <w:pPr>
              <w:jc w:val="center"/>
              <w:rPr>
                <w:bCs/>
                <w:sz w:val="20"/>
                <w:szCs w:val="20"/>
              </w:rPr>
            </w:pPr>
            <w:r>
              <w:rPr>
                <w:bCs/>
                <w:sz w:val="20"/>
                <w:szCs w:val="20"/>
              </w:rPr>
              <w:t>676.066</w:t>
            </w:r>
          </w:p>
        </w:tc>
        <w:tc>
          <w:tcPr>
            <w:tcW w:w="798" w:type="dxa"/>
          </w:tcPr>
          <w:p w14:paraId="4A983757" w14:textId="77777777" w:rsidR="002C1FC6" w:rsidRPr="00E7269B" w:rsidRDefault="002C1FC6" w:rsidP="003B3AC5">
            <w:pPr>
              <w:jc w:val="center"/>
              <w:rPr>
                <w:bCs/>
                <w:sz w:val="20"/>
                <w:szCs w:val="20"/>
              </w:rPr>
            </w:pPr>
            <w:r>
              <w:rPr>
                <w:bCs/>
                <w:sz w:val="20"/>
                <w:szCs w:val="20"/>
              </w:rPr>
              <w:t>188</w:t>
            </w:r>
          </w:p>
        </w:tc>
        <w:tc>
          <w:tcPr>
            <w:tcW w:w="766" w:type="dxa"/>
          </w:tcPr>
          <w:p w14:paraId="4C8FE4D0" w14:textId="77777777" w:rsidR="002C1FC6" w:rsidRPr="00E7269B" w:rsidRDefault="002C1FC6" w:rsidP="003B3AC5">
            <w:pPr>
              <w:jc w:val="center"/>
              <w:rPr>
                <w:bCs/>
                <w:sz w:val="20"/>
                <w:szCs w:val="20"/>
              </w:rPr>
            </w:pPr>
            <w:r>
              <w:rPr>
                <w:bCs/>
                <w:sz w:val="20"/>
                <w:szCs w:val="20"/>
              </w:rPr>
              <w:t>6.563</w:t>
            </w:r>
          </w:p>
        </w:tc>
        <w:tc>
          <w:tcPr>
            <w:tcW w:w="661" w:type="dxa"/>
          </w:tcPr>
          <w:p w14:paraId="4749E218" w14:textId="77777777" w:rsidR="002C1FC6" w:rsidRPr="00E7269B" w:rsidRDefault="002C1FC6" w:rsidP="003B3AC5">
            <w:pPr>
              <w:jc w:val="center"/>
              <w:rPr>
                <w:bCs/>
                <w:sz w:val="20"/>
                <w:szCs w:val="20"/>
              </w:rPr>
            </w:pPr>
            <w:r>
              <w:rPr>
                <w:bCs/>
                <w:sz w:val="20"/>
                <w:szCs w:val="20"/>
              </w:rPr>
              <w:t>1</w:t>
            </w:r>
          </w:p>
        </w:tc>
        <w:tc>
          <w:tcPr>
            <w:tcW w:w="1261" w:type="dxa"/>
            <w:vAlign w:val="center"/>
          </w:tcPr>
          <w:p w14:paraId="78738716" w14:textId="77777777" w:rsidR="002C1FC6" w:rsidRPr="00E7269B" w:rsidRDefault="002C1FC6" w:rsidP="003B3AC5">
            <w:pPr>
              <w:jc w:val="center"/>
              <w:rPr>
                <w:bCs/>
                <w:sz w:val="20"/>
                <w:szCs w:val="20"/>
              </w:rPr>
            </w:pPr>
            <w:r w:rsidRPr="009211EA">
              <w:rPr>
                <w:bCs/>
                <w:sz w:val="20"/>
                <w:szCs w:val="20"/>
              </w:rPr>
              <w:t>yes</w:t>
            </w:r>
          </w:p>
        </w:tc>
      </w:tr>
      <w:tr w:rsidR="002C1FC6" w:rsidRPr="00E7269B" w14:paraId="604CB72C" w14:textId="77777777" w:rsidTr="003B3AC5">
        <w:tc>
          <w:tcPr>
            <w:tcW w:w="850" w:type="dxa"/>
          </w:tcPr>
          <w:p w14:paraId="6EF04A35" w14:textId="77777777" w:rsidR="002C1FC6" w:rsidRPr="00E7269B" w:rsidRDefault="002C1FC6" w:rsidP="003B3AC5">
            <w:pPr>
              <w:jc w:val="center"/>
              <w:rPr>
                <w:bCs/>
                <w:sz w:val="20"/>
                <w:szCs w:val="20"/>
              </w:rPr>
            </w:pPr>
          </w:p>
        </w:tc>
        <w:tc>
          <w:tcPr>
            <w:tcW w:w="851" w:type="dxa"/>
          </w:tcPr>
          <w:p w14:paraId="135BB378" w14:textId="77777777" w:rsidR="002C1FC6" w:rsidRPr="00E7269B" w:rsidRDefault="002C1FC6" w:rsidP="003B3AC5">
            <w:pPr>
              <w:jc w:val="center"/>
              <w:rPr>
                <w:bCs/>
                <w:sz w:val="20"/>
                <w:szCs w:val="20"/>
              </w:rPr>
            </w:pPr>
            <w:r>
              <w:rPr>
                <w:bCs/>
                <w:sz w:val="20"/>
                <w:szCs w:val="20"/>
              </w:rPr>
              <w:t>GMR</w:t>
            </w:r>
          </w:p>
        </w:tc>
        <w:tc>
          <w:tcPr>
            <w:tcW w:w="992" w:type="dxa"/>
          </w:tcPr>
          <w:p w14:paraId="4000AF54" w14:textId="77777777" w:rsidR="002C1FC6" w:rsidRPr="00E7269B" w:rsidRDefault="002C1FC6" w:rsidP="003B3AC5">
            <w:pPr>
              <w:jc w:val="center"/>
              <w:rPr>
                <w:bCs/>
                <w:sz w:val="20"/>
                <w:szCs w:val="20"/>
              </w:rPr>
            </w:pPr>
            <w:r>
              <w:rPr>
                <w:bCs/>
                <w:sz w:val="20"/>
                <w:szCs w:val="20"/>
              </w:rPr>
              <w:t>108.244</w:t>
            </w:r>
          </w:p>
        </w:tc>
        <w:tc>
          <w:tcPr>
            <w:tcW w:w="709" w:type="dxa"/>
          </w:tcPr>
          <w:p w14:paraId="7552EDD9" w14:textId="77777777" w:rsidR="002C1FC6" w:rsidRPr="00E7269B" w:rsidRDefault="002C1FC6" w:rsidP="003B3AC5">
            <w:pPr>
              <w:jc w:val="center"/>
              <w:rPr>
                <w:bCs/>
                <w:sz w:val="20"/>
                <w:szCs w:val="20"/>
              </w:rPr>
            </w:pPr>
            <w:r>
              <w:rPr>
                <w:bCs/>
                <w:sz w:val="20"/>
                <w:szCs w:val="20"/>
              </w:rPr>
              <w:t>15</w:t>
            </w:r>
          </w:p>
        </w:tc>
        <w:tc>
          <w:tcPr>
            <w:tcW w:w="992" w:type="dxa"/>
          </w:tcPr>
          <w:p w14:paraId="097B90DA" w14:textId="77777777" w:rsidR="002C1FC6" w:rsidRPr="00E7269B" w:rsidRDefault="002C1FC6" w:rsidP="003B3AC5">
            <w:pPr>
              <w:jc w:val="center"/>
              <w:rPr>
                <w:bCs/>
                <w:sz w:val="20"/>
                <w:szCs w:val="20"/>
              </w:rPr>
            </w:pPr>
            <w:r>
              <w:rPr>
                <w:bCs/>
                <w:sz w:val="20"/>
                <w:szCs w:val="20"/>
              </w:rPr>
              <w:t>100.198</w:t>
            </w:r>
          </w:p>
        </w:tc>
        <w:tc>
          <w:tcPr>
            <w:tcW w:w="798" w:type="dxa"/>
          </w:tcPr>
          <w:p w14:paraId="6470A7C7" w14:textId="77777777" w:rsidR="002C1FC6" w:rsidRPr="00E7269B" w:rsidRDefault="002C1FC6" w:rsidP="003B3AC5">
            <w:pPr>
              <w:jc w:val="center"/>
              <w:rPr>
                <w:bCs/>
                <w:sz w:val="20"/>
                <w:szCs w:val="20"/>
              </w:rPr>
            </w:pPr>
            <w:r>
              <w:rPr>
                <w:bCs/>
                <w:sz w:val="20"/>
                <w:szCs w:val="20"/>
              </w:rPr>
              <w:t>14</w:t>
            </w:r>
          </w:p>
        </w:tc>
        <w:tc>
          <w:tcPr>
            <w:tcW w:w="766" w:type="dxa"/>
          </w:tcPr>
          <w:p w14:paraId="50E15A0E" w14:textId="77777777" w:rsidR="002C1FC6" w:rsidRPr="00E7269B" w:rsidRDefault="002C1FC6" w:rsidP="003B3AC5">
            <w:pPr>
              <w:jc w:val="center"/>
              <w:rPr>
                <w:bCs/>
                <w:sz w:val="20"/>
                <w:szCs w:val="20"/>
              </w:rPr>
            </w:pPr>
            <w:r>
              <w:rPr>
                <w:bCs/>
                <w:sz w:val="20"/>
                <w:szCs w:val="20"/>
              </w:rPr>
              <w:t>8.047</w:t>
            </w:r>
          </w:p>
        </w:tc>
        <w:tc>
          <w:tcPr>
            <w:tcW w:w="661" w:type="dxa"/>
          </w:tcPr>
          <w:p w14:paraId="70489FFA" w14:textId="77777777" w:rsidR="002C1FC6" w:rsidRPr="00E7269B" w:rsidRDefault="002C1FC6" w:rsidP="003B3AC5">
            <w:pPr>
              <w:jc w:val="center"/>
              <w:rPr>
                <w:bCs/>
                <w:sz w:val="20"/>
                <w:szCs w:val="20"/>
              </w:rPr>
            </w:pPr>
            <w:r>
              <w:rPr>
                <w:bCs/>
                <w:sz w:val="20"/>
                <w:szCs w:val="20"/>
              </w:rPr>
              <w:t>1</w:t>
            </w:r>
          </w:p>
        </w:tc>
        <w:tc>
          <w:tcPr>
            <w:tcW w:w="1261" w:type="dxa"/>
            <w:vAlign w:val="center"/>
          </w:tcPr>
          <w:p w14:paraId="2D2E324E" w14:textId="77777777" w:rsidR="002C1FC6" w:rsidRPr="00E7269B" w:rsidRDefault="002C1FC6" w:rsidP="003B3AC5">
            <w:pPr>
              <w:jc w:val="center"/>
              <w:rPr>
                <w:bCs/>
                <w:sz w:val="20"/>
                <w:szCs w:val="20"/>
              </w:rPr>
            </w:pPr>
            <w:r w:rsidRPr="009211EA">
              <w:rPr>
                <w:bCs/>
                <w:sz w:val="20"/>
                <w:szCs w:val="20"/>
              </w:rPr>
              <w:t>yes</w:t>
            </w:r>
          </w:p>
        </w:tc>
      </w:tr>
      <w:tr w:rsidR="002C1FC6" w:rsidRPr="00E7269B" w14:paraId="45DAA509" w14:textId="77777777" w:rsidTr="003B3AC5">
        <w:tc>
          <w:tcPr>
            <w:tcW w:w="850" w:type="dxa"/>
          </w:tcPr>
          <w:p w14:paraId="7A1BEED8" w14:textId="77777777" w:rsidR="002C1FC6" w:rsidRPr="00E7269B" w:rsidRDefault="002C1FC6" w:rsidP="003B3AC5">
            <w:pPr>
              <w:jc w:val="center"/>
              <w:rPr>
                <w:bCs/>
                <w:sz w:val="20"/>
                <w:szCs w:val="20"/>
              </w:rPr>
            </w:pPr>
          </w:p>
        </w:tc>
        <w:tc>
          <w:tcPr>
            <w:tcW w:w="851" w:type="dxa"/>
          </w:tcPr>
          <w:p w14:paraId="1CA6C8D6" w14:textId="77777777" w:rsidR="002C1FC6" w:rsidRPr="00E7269B" w:rsidRDefault="002C1FC6" w:rsidP="003B3AC5">
            <w:pPr>
              <w:jc w:val="center"/>
              <w:rPr>
                <w:bCs/>
                <w:sz w:val="20"/>
                <w:szCs w:val="20"/>
              </w:rPr>
            </w:pPr>
            <w:r>
              <w:rPr>
                <w:bCs/>
                <w:sz w:val="20"/>
                <w:szCs w:val="20"/>
              </w:rPr>
              <w:t>OR</w:t>
            </w:r>
          </w:p>
        </w:tc>
        <w:tc>
          <w:tcPr>
            <w:tcW w:w="992" w:type="dxa"/>
          </w:tcPr>
          <w:p w14:paraId="457370AA" w14:textId="77777777" w:rsidR="002C1FC6" w:rsidRPr="00E7269B" w:rsidRDefault="002C1FC6" w:rsidP="003B3AC5">
            <w:pPr>
              <w:jc w:val="center"/>
              <w:rPr>
                <w:bCs/>
                <w:sz w:val="20"/>
                <w:szCs w:val="20"/>
              </w:rPr>
            </w:pPr>
            <w:r>
              <w:rPr>
                <w:bCs/>
                <w:sz w:val="20"/>
                <w:szCs w:val="20"/>
              </w:rPr>
              <w:t>212.893</w:t>
            </w:r>
          </w:p>
        </w:tc>
        <w:tc>
          <w:tcPr>
            <w:tcW w:w="709" w:type="dxa"/>
          </w:tcPr>
          <w:p w14:paraId="78B60910" w14:textId="77777777" w:rsidR="002C1FC6" w:rsidRPr="00E7269B" w:rsidRDefault="002C1FC6" w:rsidP="003B3AC5">
            <w:pPr>
              <w:jc w:val="center"/>
              <w:rPr>
                <w:bCs/>
                <w:sz w:val="20"/>
                <w:szCs w:val="20"/>
              </w:rPr>
            </w:pPr>
            <w:r>
              <w:rPr>
                <w:bCs/>
                <w:sz w:val="20"/>
                <w:szCs w:val="20"/>
              </w:rPr>
              <w:t>44</w:t>
            </w:r>
          </w:p>
        </w:tc>
        <w:tc>
          <w:tcPr>
            <w:tcW w:w="992" w:type="dxa"/>
          </w:tcPr>
          <w:p w14:paraId="7A86ACCF" w14:textId="77777777" w:rsidR="002C1FC6" w:rsidRPr="00E7269B" w:rsidRDefault="002C1FC6" w:rsidP="003B3AC5">
            <w:pPr>
              <w:jc w:val="center"/>
              <w:rPr>
                <w:bCs/>
                <w:sz w:val="20"/>
                <w:szCs w:val="20"/>
              </w:rPr>
            </w:pPr>
            <w:r>
              <w:rPr>
                <w:bCs/>
                <w:sz w:val="20"/>
                <w:szCs w:val="20"/>
              </w:rPr>
              <w:t>185.757</w:t>
            </w:r>
          </w:p>
        </w:tc>
        <w:tc>
          <w:tcPr>
            <w:tcW w:w="798" w:type="dxa"/>
          </w:tcPr>
          <w:p w14:paraId="1BA08719" w14:textId="77777777" w:rsidR="002C1FC6" w:rsidRPr="00E7269B" w:rsidRDefault="002C1FC6" w:rsidP="003B3AC5">
            <w:pPr>
              <w:jc w:val="center"/>
              <w:rPr>
                <w:bCs/>
                <w:sz w:val="20"/>
                <w:szCs w:val="20"/>
              </w:rPr>
            </w:pPr>
            <w:r>
              <w:rPr>
                <w:bCs/>
                <w:sz w:val="20"/>
                <w:szCs w:val="20"/>
              </w:rPr>
              <w:t>43</w:t>
            </w:r>
          </w:p>
        </w:tc>
        <w:tc>
          <w:tcPr>
            <w:tcW w:w="766" w:type="dxa"/>
          </w:tcPr>
          <w:p w14:paraId="786B9455" w14:textId="77777777" w:rsidR="002C1FC6" w:rsidRPr="00E7269B" w:rsidRDefault="002C1FC6" w:rsidP="003B3AC5">
            <w:pPr>
              <w:jc w:val="center"/>
              <w:rPr>
                <w:bCs/>
                <w:sz w:val="20"/>
                <w:szCs w:val="20"/>
              </w:rPr>
            </w:pPr>
            <w:r>
              <w:rPr>
                <w:bCs/>
                <w:sz w:val="20"/>
                <w:szCs w:val="20"/>
              </w:rPr>
              <w:t>27.135</w:t>
            </w:r>
          </w:p>
        </w:tc>
        <w:tc>
          <w:tcPr>
            <w:tcW w:w="661" w:type="dxa"/>
          </w:tcPr>
          <w:p w14:paraId="5226814E" w14:textId="77777777" w:rsidR="002C1FC6" w:rsidRPr="00E7269B" w:rsidRDefault="002C1FC6" w:rsidP="003B3AC5">
            <w:pPr>
              <w:jc w:val="center"/>
              <w:rPr>
                <w:bCs/>
                <w:sz w:val="20"/>
                <w:szCs w:val="20"/>
              </w:rPr>
            </w:pPr>
            <w:r>
              <w:rPr>
                <w:bCs/>
                <w:sz w:val="20"/>
                <w:szCs w:val="20"/>
              </w:rPr>
              <w:t>1</w:t>
            </w:r>
          </w:p>
        </w:tc>
        <w:tc>
          <w:tcPr>
            <w:tcW w:w="1261" w:type="dxa"/>
            <w:vAlign w:val="center"/>
          </w:tcPr>
          <w:p w14:paraId="2A3B73EA" w14:textId="77777777" w:rsidR="002C1FC6" w:rsidRPr="00E7269B" w:rsidRDefault="002C1FC6" w:rsidP="003B3AC5">
            <w:pPr>
              <w:jc w:val="center"/>
              <w:rPr>
                <w:bCs/>
                <w:sz w:val="20"/>
                <w:szCs w:val="20"/>
              </w:rPr>
            </w:pPr>
            <w:r w:rsidRPr="009211EA">
              <w:rPr>
                <w:bCs/>
                <w:sz w:val="20"/>
                <w:szCs w:val="20"/>
              </w:rPr>
              <w:t>yes</w:t>
            </w:r>
          </w:p>
        </w:tc>
      </w:tr>
      <w:tr w:rsidR="002C1FC6" w:rsidRPr="00E7269B" w14:paraId="22B2C3CB" w14:textId="77777777" w:rsidTr="003B3AC5">
        <w:tc>
          <w:tcPr>
            <w:tcW w:w="850" w:type="dxa"/>
          </w:tcPr>
          <w:p w14:paraId="6FFA199E" w14:textId="77777777" w:rsidR="002C1FC6" w:rsidRPr="00E7269B" w:rsidRDefault="002C1FC6" w:rsidP="003B3AC5">
            <w:pPr>
              <w:jc w:val="center"/>
              <w:rPr>
                <w:bCs/>
                <w:sz w:val="20"/>
                <w:szCs w:val="20"/>
              </w:rPr>
            </w:pPr>
          </w:p>
        </w:tc>
        <w:tc>
          <w:tcPr>
            <w:tcW w:w="851" w:type="dxa"/>
          </w:tcPr>
          <w:p w14:paraId="68B5A9F2" w14:textId="77777777" w:rsidR="002C1FC6" w:rsidRPr="00E7269B" w:rsidRDefault="002C1FC6" w:rsidP="003B3AC5">
            <w:pPr>
              <w:jc w:val="center"/>
              <w:rPr>
                <w:bCs/>
                <w:sz w:val="20"/>
                <w:szCs w:val="20"/>
              </w:rPr>
            </w:pPr>
            <w:r>
              <w:rPr>
                <w:bCs/>
                <w:sz w:val="20"/>
                <w:szCs w:val="20"/>
              </w:rPr>
              <w:t>FR</w:t>
            </w:r>
          </w:p>
        </w:tc>
        <w:tc>
          <w:tcPr>
            <w:tcW w:w="992" w:type="dxa"/>
          </w:tcPr>
          <w:p w14:paraId="1C45AA2B" w14:textId="77777777" w:rsidR="002C1FC6" w:rsidRPr="00E7269B" w:rsidRDefault="002C1FC6" w:rsidP="003B3AC5">
            <w:pPr>
              <w:jc w:val="center"/>
              <w:rPr>
                <w:bCs/>
                <w:sz w:val="20"/>
                <w:szCs w:val="20"/>
              </w:rPr>
            </w:pPr>
            <w:r>
              <w:rPr>
                <w:bCs/>
                <w:sz w:val="20"/>
                <w:szCs w:val="20"/>
              </w:rPr>
              <w:t>187.283</w:t>
            </w:r>
          </w:p>
        </w:tc>
        <w:tc>
          <w:tcPr>
            <w:tcW w:w="709" w:type="dxa"/>
          </w:tcPr>
          <w:p w14:paraId="379DF3C3" w14:textId="77777777" w:rsidR="002C1FC6" w:rsidRPr="00E7269B" w:rsidRDefault="002C1FC6" w:rsidP="003B3AC5">
            <w:pPr>
              <w:jc w:val="center"/>
              <w:rPr>
                <w:bCs/>
                <w:sz w:val="20"/>
                <w:szCs w:val="20"/>
              </w:rPr>
            </w:pPr>
            <w:r>
              <w:rPr>
                <w:bCs/>
                <w:sz w:val="20"/>
                <w:szCs w:val="20"/>
              </w:rPr>
              <w:t>44</w:t>
            </w:r>
          </w:p>
        </w:tc>
        <w:tc>
          <w:tcPr>
            <w:tcW w:w="992" w:type="dxa"/>
          </w:tcPr>
          <w:p w14:paraId="419D45E6" w14:textId="77777777" w:rsidR="002C1FC6" w:rsidRPr="00E7269B" w:rsidRDefault="002C1FC6" w:rsidP="003B3AC5">
            <w:pPr>
              <w:jc w:val="center"/>
              <w:rPr>
                <w:bCs/>
                <w:sz w:val="20"/>
                <w:szCs w:val="20"/>
              </w:rPr>
            </w:pPr>
            <w:r>
              <w:rPr>
                <w:bCs/>
                <w:sz w:val="20"/>
                <w:szCs w:val="20"/>
              </w:rPr>
              <w:t>165.589</w:t>
            </w:r>
          </w:p>
        </w:tc>
        <w:tc>
          <w:tcPr>
            <w:tcW w:w="798" w:type="dxa"/>
          </w:tcPr>
          <w:p w14:paraId="498F5C06" w14:textId="77777777" w:rsidR="002C1FC6" w:rsidRPr="00E7269B" w:rsidRDefault="002C1FC6" w:rsidP="003B3AC5">
            <w:pPr>
              <w:jc w:val="center"/>
              <w:rPr>
                <w:bCs/>
                <w:sz w:val="20"/>
                <w:szCs w:val="20"/>
              </w:rPr>
            </w:pPr>
            <w:r>
              <w:rPr>
                <w:bCs/>
                <w:sz w:val="20"/>
                <w:szCs w:val="20"/>
              </w:rPr>
              <w:t>43</w:t>
            </w:r>
          </w:p>
        </w:tc>
        <w:tc>
          <w:tcPr>
            <w:tcW w:w="766" w:type="dxa"/>
          </w:tcPr>
          <w:p w14:paraId="1BCA395C" w14:textId="77777777" w:rsidR="002C1FC6" w:rsidRPr="00E7269B" w:rsidRDefault="002C1FC6" w:rsidP="003B3AC5">
            <w:pPr>
              <w:jc w:val="center"/>
              <w:rPr>
                <w:bCs/>
                <w:sz w:val="20"/>
                <w:szCs w:val="20"/>
              </w:rPr>
            </w:pPr>
            <w:r>
              <w:rPr>
                <w:bCs/>
                <w:sz w:val="20"/>
                <w:szCs w:val="20"/>
              </w:rPr>
              <w:t>21.694</w:t>
            </w:r>
          </w:p>
        </w:tc>
        <w:tc>
          <w:tcPr>
            <w:tcW w:w="661" w:type="dxa"/>
          </w:tcPr>
          <w:p w14:paraId="38073678" w14:textId="77777777" w:rsidR="002C1FC6" w:rsidRPr="00E7269B" w:rsidRDefault="002C1FC6" w:rsidP="003B3AC5">
            <w:pPr>
              <w:jc w:val="center"/>
              <w:rPr>
                <w:bCs/>
                <w:sz w:val="20"/>
                <w:szCs w:val="20"/>
              </w:rPr>
            </w:pPr>
            <w:r>
              <w:rPr>
                <w:bCs/>
                <w:sz w:val="20"/>
                <w:szCs w:val="20"/>
              </w:rPr>
              <w:t>1</w:t>
            </w:r>
          </w:p>
        </w:tc>
        <w:tc>
          <w:tcPr>
            <w:tcW w:w="1261" w:type="dxa"/>
            <w:vAlign w:val="center"/>
          </w:tcPr>
          <w:p w14:paraId="07C16E57" w14:textId="77777777" w:rsidR="002C1FC6" w:rsidRPr="00E7269B" w:rsidRDefault="002C1FC6" w:rsidP="003B3AC5">
            <w:pPr>
              <w:jc w:val="center"/>
              <w:rPr>
                <w:bCs/>
                <w:sz w:val="20"/>
                <w:szCs w:val="20"/>
              </w:rPr>
            </w:pPr>
            <w:r w:rsidRPr="009211EA">
              <w:rPr>
                <w:bCs/>
                <w:sz w:val="20"/>
                <w:szCs w:val="20"/>
              </w:rPr>
              <w:t>yes</w:t>
            </w:r>
          </w:p>
        </w:tc>
      </w:tr>
      <w:tr w:rsidR="002C1FC6" w:rsidRPr="00E7269B" w14:paraId="351E35D2" w14:textId="77777777" w:rsidTr="003B3AC5">
        <w:tc>
          <w:tcPr>
            <w:tcW w:w="850" w:type="dxa"/>
          </w:tcPr>
          <w:p w14:paraId="3F0E0176" w14:textId="77777777" w:rsidR="002C1FC6" w:rsidRPr="00E7269B" w:rsidRDefault="002C1FC6" w:rsidP="003B3AC5">
            <w:pPr>
              <w:jc w:val="center"/>
              <w:rPr>
                <w:bCs/>
                <w:sz w:val="20"/>
                <w:szCs w:val="20"/>
              </w:rPr>
            </w:pPr>
            <w:r>
              <w:rPr>
                <w:bCs/>
                <w:sz w:val="20"/>
                <w:szCs w:val="20"/>
              </w:rPr>
              <w:t>GMS</w:t>
            </w:r>
          </w:p>
        </w:tc>
        <w:tc>
          <w:tcPr>
            <w:tcW w:w="851" w:type="dxa"/>
          </w:tcPr>
          <w:p w14:paraId="175AE6FC" w14:textId="77777777" w:rsidR="002C1FC6" w:rsidRPr="00E7269B" w:rsidRDefault="002C1FC6" w:rsidP="003B3AC5">
            <w:pPr>
              <w:jc w:val="center"/>
              <w:rPr>
                <w:bCs/>
                <w:sz w:val="20"/>
                <w:szCs w:val="20"/>
              </w:rPr>
            </w:pPr>
            <w:r w:rsidRPr="00491AC4">
              <w:rPr>
                <w:bCs/>
                <w:sz w:val="20"/>
                <w:szCs w:val="20"/>
              </w:rPr>
              <w:t>GMR</w:t>
            </w:r>
          </w:p>
        </w:tc>
        <w:tc>
          <w:tcPr>
            <w:tcW w:w="992" w:type="dxa"/>
          </w:tcPr>
          <w:p w14:paraId="155C003B" w14:textId="77777777" w:rsidR="002C1FC6" w:rsidRPr="00E7269B" w:rsidRDefault="002C1FC6" w:rsidP="003B3AC5">
            <w:pPr>
              <w:jc w:val="center"/>
              <w:rPr>
                <w:bCs/>
                <w:sz w:val="20"/>
                <w:szCs w:val="20"/>
              </w:rPr>
            </w:pPr>
            <w:r>
              <w:rPr>
                <w:bCs/>
                <w:sz w:val="20"/>
                <w:szCs w:val="20"/>
              </w:rPr>
              <w:t>420.457</w:t>
            </w:r>
          </w:p>
        </w:tc>
        <w:tc>
          <w:tcPr>
            <w:tcW w:w="709" w:type="dxa"/>
          </w:tcPr>
          <w:p w14:paraId="05819122" w14:textId="77777777" w:rsidR="002C1FC6" w:rsidRPr="00E7269B" w:rsidRDefault="002C1FC6" w:rsidP="003B3AC5">
            <w:pPr>
              <w:jc w:val="center"/>
              <w:rPr>
                <w:bCs/>
                <w:sz w:val="20"/>
                <w:szCs w:val="20"/>
              </w:rPr>
            </w:pPr>
            <w:r>
              <w:rPr>
                <w:bCs/>
                <w:sz w:val="20"/>
                <w:szCs w:val="20"/>
              </w:rPr>
              <w:t>105</w:t>
            </w:r>
          </w:p>
        </w:tc>
        <w:tc>
          <w:tcPr>
            <w:tcW w:w="992" w:type="dxa"/>
          </w:tcPr>
          <w:p w14:paraId="56A97395" w14:textId="77777777" w:rsidR="002C1FC6" w:rsidRPr="00E7269B" w:rsidRDefault="002C1FC6" w:rsidP="003B3AC5">
            <w:pPr>
              <w:jc w:val="center"/>
              <w:rPr>
                <w:bCs/>
                <w:sz w:val="20"/>
                <w:szCs w:val="20"/>
              </w:rPr>
            </w:pPr>
            <w:r>
              <w:rPr>
                <w:bCs/>
                <w:sz w:val="20"/>
                <w:szCs w:val="20"/>
              </w:rPr>
              <w:t>416.167</w:t>
            </w:r>
          </w:p>
        </w:tc>
        <w:tc>
          <w:tcPr>
            <w:tcW w:w="798" w:type="dxa"/>
          </w:tcPr>
          <w:p w14:paraId="3DC3F7BE" w14:textId="77777777" w:rsidR="002C1FC6" w:rsidRPr="00E7269B" w:rsidRDefault="002C1FC6" w:rsidP="003B3AC5">
            <w:pPr>
              <w:jc w:val="center"/>
              <w:rPr>
                <w:bCs/>
                <w:sz w:val="20"/>
                <w:szCs w:val="20"/>
              </w:rPr>
            </w:pPr>
            <w:r>
              <w:rPr>
                <w:bCs/>
                <w:sz w:val="20"/>
                <w:szCs w:val="20"/>
              </w:rPr>
              <w:t>104</w:t>
            </w:r>
          </w:p>
        </w:tc>
        <w:tc>
          <w:tcPr>
            <w:tcW w:w="766" w:type="dxa"/>
          </w:tcPr>
          <w:p w14:paraId="2203FAFC" w14:textId="77777777" w:rsidR="002C1FC6" w:rsidRPr="00E7269B" w:rsidRDefault="002C1FC6" w:rsidP="003B3AC5">
            <w:pPr>
              <w:jc w:val="center"/>
              <w:rPr>
                <w:bCs/>
                <w:sz w:val="20"/>
                <w:szCs w:val="20"/>
              </w:rPr>
            </w:pPr>
            <w:r>
              <w:rPr>
                <w:bCs/>
                <w:sz w:val="20"/>
                <w:szCs w:val="20"/>
              </w:rPr>
              <w:t>4.290</w:t>
            </w:r>
          </w:p>
        </w:tc>
        <w:tc>
          <w:tcPr>
            <w:tcW w:w="661" w:type="dxa"/>
          </w:tcPr>
          <w:p w14:paraId="0DC0498D" w14:textId="77777777" w:rsidR="002C1FC6" w:rsidRPr="00E7269B" w:rsidRDefault="002C1FC6" w:rsidP="003B3AC5">
            <w:pPr>
              <w:jc w:val="center"/>
              <w:rPr>
                <w:bCs/>
                <w:sz w:val="20"/>
                <w:szCs w:val="20"/>
              </w:rPr>
            </w:pPr>
            <w:r>
              <w:rPr>
                <w:bCs/>
                <w:sz w:val="20"/>
                <w:szCs w:val="20"/>
              </w:rPr>
              <w:t>1</w:t>
            </w:r>
          </w:p>
        </w:tc>
        <w:tc>
          <w:tcPr>
            <w:tcW w:w="1261" w:type="dxa"/>
            <w:vAlign w:val="center"/>
          </w:tcPr>
          <w:p w14:paraId="24D25BF3" w14:textId="77777777" w:rsidR="002C1FC6" w:rsidRPr="00E7269B" w:rsidRDefault="002C1FC6" w:rsidP="003B3AC5">
            <w:pPr>
              <w:jc w:val="center"/>
              <w:rPr>
                <w:bCs/>
                <w:sz w:val="20"/>
                <w:szCs w:val="20"/>
              </w:rPr>
            </w:pPr>
            <w:r w:rsidRPr="009211EA">
              <w:rPr>
                <w:bCs/>
                <w:sz w:val="20"/>
                <w:szCs w:val="20"/>
              </w:rPr>
              <w:t>yes</w:t>
            </w:r>
          </w:p>
        </w:tc>
      </w:tr>
      <w:tr w:rsidR="002C1FC6" w:rsidRPr="00E7269B" w14:paraId="5B5BEABD" w14:textId="77777777" w:rsidTr="003B3AC5">
        <w:tc>
          <w:tcPr>
            <w:tcW w:w="850" w:type="dxa"/>
          </w:tcPr>
          <w:p w14:paraId="63038A23" w14:textId="77777777" w:rsidR="002C1FC6" w:rsidRPr="00E7269B" w:rsidRDefault="002C1FC6" w:rsidP="003B3AC5">
            <w:pPr>
              <w:jc w:val="center"/>
              <w:rPr>
                <w:bCs/>
                <w:sz w:val="20"/>
                <w:szCs w:val="20"/>
              </w:rPr>
            </w:pPr>
          </w:p>
        </w:tc>
        <w:tc>
          <w:tcPr>
            <w:tcW w:w="851" w:type="dxa"/>
          </w:tcPr>
          <w:p w14:paraId="19D73A2F" w14:textId="77777777" w:rsidR="002C1FC6" w:rsidRPr="00E7269B" w:rsidRDefault="002C1FC6" w:rsidP="003B3AC5">
            <w:pPr>
              <w:jc w:val="center"/>
              <w:rPr>
                <w:bCs/>
                <w:sz w:val="20"/>
                <w:szCs w:val="20"/>
              </w:rPr>
            </w:pPr>
            <w:r>
              <w:rPr>
                <w:bCs/>
                <w:sz w:val="20"/>
                <w:szCs w:val="20"/>
              </w:rPr>
              <w:t>OR</w:t>
            </w:r>
          </w:p>
        </w:tc>
        <w:tc>
          <w:tcPr>
            <w:tcW w:w="992" w:type="dxa"/>
          </w:tcPr>
          <w:p w14:paraId="70DFCBE7" w14:textId="77777777" w:rsidR="002C1FC6" w:rsidRPr="00E7269B" w:rsidRDefault="002C1FC6" w:rsidP="003B3AC5">
            <w:pPr>
              <w:jc w:val="center"/>
              <w:rPr>
                <w:bCs/>
                <w:sz w:val="20"/>
                <w:szCs w:val="20"/>
              </w:rPr>
            </w:pPr>
            <w:r>
              <w:rPr>
                <w:bCs/>
                <w:sz w:val="20"/>
                <w:szCs w:val="20"/>
              </w:rPr>
              <w:t>617.188</w:t>
            </w:r>
          </w:p>
        </w:tc>
        <w:tc>
          <w:tcPr>
            <w:tcW w:w="709" w:type="dxa"/>
          </w:tcPr>
          <w:p w14:paraId="549E4AE9" w14:textId="77777777" w:rsidR="002C1FC6" w:rsidRPr="00E7269B" w:rsidRDefault="002C1FC6" w:rsidP="003B3AC5">
            <w:pPr>
              <w:jc w:val="center"/>
              <w:rPr>
                <w:bCs/>
                <w:sz w:val="20"/>
                <w:szCs w:val="20"/>
              </w:rPr>
            </w:pPr>
            <w:r>
              <w:rPr>
                <w:bCs/>
                <w:sz w:val="20"/>
                <w:szCs w:val="20"/>
              </w:rPr>
              <w:t>170</w:t>
            </w:r>
          </w:p>
        </w:tc>
        <w:tc>
          <w:tcPr>
            <w:tcW w:w="992" w:type="dxa"/>
          </w:tcPr>
          <w:p w14:paraId="57ACBF5C" w14:textId="77777777" w:rsidR="002C1FC6" w:rsidRPr="00E7269B" w:rsidRDefault="002C1FC6" w:rsidP="003B3AC5">
            <w:pPr>
              <w:jc w:val="center"/>
              <w:rPr>
                <w:bCs/>
                <w:sz w:val="20"/>
                <w:szCs w:val="20"/>
              </w:rPr>
            </w:pPr>
            <w:r>
              <w:rPr>
                <w:bCs/>
                <w:sz w:val="20"/>
                <w:szCs w:val="20"/>
              </w:rPr>
              <w:t>592.954</w:t>
            </w:r>
          </w:p>
        </w:tc>
        <w:tc>
          <w:tcPr>
            <w:tcW w:w="798" w:type="dxa"/>
          </w:tcPr>
          <w:p w14:paraId="193609C9" w14:textId="77777777" w:rsidR="002C1FC6" w:rsidRPr="00E7269B" w:rsidRDefault="002C1FC6" w:rsidP="003B3AC5">
            <w:pPr>
              <w:jc w:val="center"/>
              <w:rPr>
                <w:bCs/>
                <w:sz w:val="20"/>
                <w:szCs w:val="20"/>
              </w:rPr>
            </w:pPr>
            <w:r>
              <w:rPr>
                <w:bCs/>
                <w:sz w:val="20"/>
                <w:szCs w:val="20"/>
              </w:rPr>
              <w:t>169</w:t>
            </w:r>
          </w:p>
        </w:tc>
        <w:tc>
          <w:tcPr>
            <w:tcW w:w="766" w:type="dxa"/>
          </w:tcPr>
          <w:p w14:paraId="492223EF" w14:textId="77777777" w:rsidR="002C1FC6" w:rsidRPr="00E7269B" w:rsidRDefault="002C1FC6" w:rsidP="003B3AC5">
            <w:pPr>
              <w:jc w:val="center"/>
              <w:rPr>
                <w:bCs/>
                <w:sz w:val="20"/>
                <w:szCs w:val="20"/>
              </w:rPr>
            </w:pPr>
            <w:r>
              <w:rPr>
                <w:bCs/>
                <w:sz w:val="20"/>
                <w:szCs w:val="20"/>
              </w:rPr>
              <w:t>24.234</w:t>
            </w:r>
          </w:p>
        </w:tc>
        <w:tc>
          <w:tcPr>
            <w:tcW w:w="661" w:type="dxa"/>
          </w:tcPr>
          <w:p w14:paraId="3DC95F57" w14:textId="77777777" w:rsidR="002C1FC6" w:rsidRPr="00E7269B" w:rsidRDefault="002C1FC6" w:rsidP="003B3AC5">
            <w:pPr>
              <w:jc w:val="center"/>
              <w:rPr>
                <w:bCs/>
                <w:sz w:val="20"/>
                <w:szCs w:val="20"/>
              </w:rPr>
            </w:pPr>
            <w:r>
              <w:rPr>
                <w:bCs/>
                <w:sz w:val="20"/>
                <w:szCs w:val="20"/>
              </w:rPr>
              <w:t>1</w:t>
            </w:r>
          </w:p>
        </w:tc>
        <w:tc>
          <w:tcPr>
            <w:tcW w:w="1261" w:type="dxa"/>
            <w:vAlign w:val="center"/>
          </w:tcPr>
          <w:p w14:paraId="715B6C70" w14:textId="77777777" w:rsidR="002C1FC6" w:rsidRPr="00E7269B" w:rsidRDefault="002C1FC6" w:rsidP="003B3AC5">
            <w:pPr>
              <w:jc w:val="center"/>
              <w:rPr>
                <w:bCs/>
                <w:sz w:val="20"/>
                <w:szCs w:val="20"/>
              </w:rPr>
            </w:pPr>
            <w:r w:rsidRPr="009211EA">
              <w:rPr>
                <w:bCs/>
                <w:sz w:val="20"/>
                <w:szCs w:val="20"/>
              </w:rPr>
              <w:t>yes</w:t>
            </w:r>
          </w:p>
        </w:tc>
      </w:tr>
      <w:tr w:rsidR="002C1FC6" w:rsidRPr="00E7269B" w14:paraId="20656136" w14:textId="77777777" w:rsidTr="003B3AC5">
        <w:tc>
          <w:tcPr>
            <w:tcW w:w="850" w:type="dxa"/>
          </w:tcPr>
          <w:p w14:paraId="70493DA2" w14:textId="77777777" w:rsidR="002C1FC6" w:rsidRPr="00E7269B" w:rsidRDefault="002C1FC6" w:rsidP="003B3AC5">
            <w:pPr>
              <w:jc w:val="center"/>
              <w:rPr>
                <w:bCs/>
                <w:sz w:val="20"/>
                <w:szCs w:val="20"/>
              </w:rPr>
            </w:pPr>
          </w:p>
        </w:tc>
        <w:tc>
          <w:tcPr>
            <w:tcW w:w="851" w:type="dxa"/>
          </w:tcPr>
          <w:p w14:paraId="44CE5C0C" w14:textId="77777777" w:rsidR="002C1FC6" w:rsidRPr="00E7269B" w:rsidRDefault="002C1FC6" w:rsidP="003B3AC5">
            <w:pPr>
              <w:jc w:val="center"/>
              <w:rPr>
                <w:bCs/>
                <w:sz w:val="20"/>
                <w:szCs w:val="20"/>
              </w:rPr>
            </w:pPr>
            <w:r>
              <w:rPr>
                <w:bCs/>
                <w:sz w:val="20"/>
                <w:szCs w:val="20"/>
              </w:rPr>
              <w:t>FR</w:t>
            </w:r>
          </w:p>
        </w:tc>
        <w:tc>
          <w:tcPr>
            <w:tcW w:w="992" w:type="dxa"/>
          </w:tcPr>
          <w:p w14:paraId="3BAE1D4A" w14:textId="77777777" w:rsidR="002C1FC6" w:rsidRPr="00E7269B" w:rsidRDefault="002C1FC6" w:rsidP="003B3AC5">
            <w:pPr>
              <w:jc w:val="center"/>
              <w:rPr>
                <w:bCs/>
                <w:sz w:val="20"/>
                <w:szCs w:val="20"/>
              </w:rPr>
            </w:pPr>
            <w:r>
              <w:rPr>
                <w:bCs/>
                <w:sz w:val="20"/>
                <w:szCs w:val="20"/>
              </w:rPr>
              <w:t>537.723</w:t>
            </w:r>
          </w:p>
        </w:tc>
        <w:tc>
          <w:tcPr>
            <w:tcW w:w="709" w:type="dxa"/>
          </w:tcPr>
          <w:p w14:paraId="21A66D10" w14:textId="77777777" w:rsidR="002C1FC6" w:rsidRPr="00E7269B" w:rsidRDefault="002C1FC6" w:rsidP="003B3AC5">
            <w:pPr>
              <w:jc w:val="center"/>
              <w:rPr>
                <w:bCs/>
                <w:sz w:val="20"/>
                <w:szCs w:val="20"/>
              </w:rPr>
            </w:pPr>
            <w:r>
              <w:rPr>
                <w:bCs/>
                <w:sz w:val="20"/>
                <w:szCs w:val="20"/>
              </w:rPr>
              <w:t>170</w:t>
            </w:r>
          </w:p>
        </w:tc>
        <w:tc>
          <w:tcPr>
            <w:tcW w:w="992" w:type="dxa"/>
          </w:tcPr>
          <w:p w14:paraId="08B2B5BD" w14:textId="77777777" w:rsidR="002C1FC6" w:rsidRPr="00E7269B" w:rsidRDefault="002C1FC6" w:rsidP="003B3AC5">
            <w:pPr>
              <w:jc w:val="center"/>
              <w:rPr>
                <w:bCs/>
                <w:sz w:val="20"/>
                <w:szCs w:val="20"/>
              </w:rPr>
            </w:pPr>
            <w:r>
              <w:rPr>
                <w:bCs/>
                <w:sz w:val="20"/>
                <w:szCs w:val="20"/>
              </w:rPr>
              <w:t>514.654</w:t>
            </w:r>
          </w:p>
        </w:tc>
        <w:tc>
          <w:tcPr>
            <w:tcW w:w="798" w:type="dxa"/>
          </w:tcPr>
          <w:p w14:paraId="4AF2CC9B" w14:textId="77777777" w:rsidR="002C1FC6" w:rsidRPr="00E7269B" w:rsidRDefault="002C1FC6" w:rsidP="003B3AC5">
            <w:pPr>
              <w:jc w:val="center"/>
              <w:rPr>
                <w:bCs/>
                <w:sz w:val="20"/>
                <w:szCs w:val="20"/>
              </w:rPr>
            </w:pPr>
            <w:r>
              <w:rPr>
                <w:bCs/>
                <w:sz w:val="20"/>
                <w:szCs w:val="20"/>
              </w:rPr>
              <w:t>169</w:t>
            </w:r>
          </w:p>
        </w:tc>
        <w:tc>
          <w:tcPr>
            <w:tcW w:w="766" w:type="dxa"/>
          </w:tcPr>
          <w:p w14:paraId="5FA031F2" w14:textId="77777777" w:rsidR="002C1FC6" w:rsidRPr="00E7269B" w:rsidRDefault="002C1FC6" w:rsidP="003B3AC5">
            <w:pPr>
              <w:jc w:val="center"/>
              <w:rPr>
                <w:bCs/>
                <w:sz w:val="20"/>
                <w:szCs w:val="20"/>
              </w:rPr>
            </w:pPr>
            <w:r>
              <w:rPr>
                <w:bCs/>
                <w:sz w:val="20"/>
                <w:szCs w:val="20"/>
              </w:rPr>
              <w:t>23.069</w:t>
            </w:r>
          </w:p>
        </w:tc>
        <w:tc>
          <w:tcPr>
            <w:tcW w:w="661" w:type="dxa"/>
          </w:tcPr>
          <w:p w14:paraId="1FA8F060" w14:textId="77777777" w:rsidR="002C1FC6" w:rsidRPr="00E7269B" w:rsidRDefault="002C1FC6" w:rsidP="003B3AC5">
            <w:pPr>
              <w:jc w:val="center"/>
              <w:rPr>
                <w:bCs/>
                <w:sz w:val="20"/>
                <w:szCs w:val="20"/>
              </w:rPr>
            </w:pPr>
            <w:r>
              <w:rPr>
                <w:bCs/>
                <w:sz w:val="20"/>
                <w:szCs w:val="20"/>
              </w:rPr>
              <w:t>1</w:t>
            </w:r>
          </w:p>
        </w:tc>
        <w:tc>
          <w:tcPr>
            <w:tcW w:w="1261" w:type="dxa"/>
            <w:vAlign w:val="center"/>
          </w:tcPr>
          <w:p w14:paraId="2F1A5616" w14:textId="77777777" w:rsidR="002C1FC6" w:rsidRPr="00E7269B" w:rsidRDefault="002C1FC6" w:rsidP="003B3AC5">
            <w:pPr>
              <w:jc w:val="center"/>
              <w:rPr>
                <w:bCs/>
                <w:sz w:val="20"/>
                <w:szCs w:val="20"/>
              </w:rPr>
            </w:pPr>
            <w:r w:rsidRPr="009211EA">
              <w:rPr>
                <w:bCs/>
                <w:sz w:val="20"/>
                <w:szCs w:val="20"/>
              </w:rPr>
              <w:t>yes</w:t>
            </w:r>
          </w:p>
        </w:tc>
      </w:tr>
      <w:tr w:rsidR="002C1FC6" w:rsidRPr="00E7269B" w14:paraId="7FB5AADF" w14:textId="77777777" w:rsidTr="003B3AC5">
        <w:tc>
          <w:tcPr>
            <w:tcW w:w="850" w:type="dxa"/>
          </w:tcPr>
          <w:p w14:paraId="6C4F1893" w14:textId="77777777" w:rsidR="002C1FC6" w:rsidRPr="00E7269B" w:rsidRDefault="002C1FC6" w:rsidP="003B3AC5">
            <w:pPr>
              <w:jc w:val="center"/>
              <w:rPr>
                <w:bCs/>
                <w:sz w:val="20"/>
                <w:szCs w:val="20"/>
              </w:rPr>
            </w:pPr>
            <w:r>
              <w:rPr>
                <w:bCs/>
                <w:sz w:val="20"/>
                <w:szCs w:val="20"/>
              </w:rPr>
              <w:t>GMR</w:t>
            </w:r>
          </w:p>
        </w:tc>
        <w:tc>
          <w:tcPr>
            <w:tcW w:w="851" w:type="dxa"/>
          </w:tcPr>
          <w:p w14:paraId="316EB5F1" w14:textId="77777777" w:rsidR="002C1FC6" w:rsidRPr="00491AC4" w:rsidRDefault="002C1FC6" w:rsidP="003B3AC5">
            <w:pPr>
              <w:jc w:val="center"/>
              <w:rPr>
                <w:bCs/>
                <w:sz w:val="20"/>
                <w:szCs w:val="20"/>
              </w:rPr>
            </w:pPr>
            <w:r>
              <w:rPr>
                <w:bCs/>
                <w:sz w:val="20"/>
                <w:szCs w:val="20"/>
              </w:rPr>
              <w:t>OR</w:t>
            </w:r>
          </w:p>
        </w:tc>
        <w:tc>
          <w:tcPr>
            <w:tcW w:w="992" w:type="dxa"/>
          </w:tcPr>
          <w:p w14:paraId="7F469FA9" w14:textId="77777777" w:rsidR="002C1FC6" w:rsidRPr="00E7269B" w:rsidRDefault="002C1FC6" w:rsidP="003B3AC5">
            <w:pPr>
              <w:jc w:val="center"/>
              <w:rPr>
                <w:bCs/>
                <w:sz w:val="20"/>
                <w:szCs w:val="20"/>
              </w:rPr>
            </w:pPr>
            <w:r>
              <w:rPr>
                <w:bCs/>
                <w:sz w:val="20"/>
                <w:szCs w:val="20"/>
              </w:rPr>
              <w:t>82.753</w:t>
            </w:r>
          </w:p>
        </w:tc>
        <w:tc>
          <w:tcPr>
            <w:tcW w:w="709" w:type="dxa"/>
          </w:tcPr>
          <w:p w14:paraId="536810AD" w14:textId="77777777" w:rsidR="002C1FC6" w:rsidRPr="00E7269B" w:rsidRDefault="002C1FC6" w:rsidP="003B3AC5">
            <w:pPr>
              <w:jc w:val="center"/>
              <w:rPr>
                <w:bCs/>
                <w:sz w:val="20"/>
                <w:szCs w:val="20"/>
              </w:rPr>
            </w:pPr>
            <w:r>
              <w:rPr>
                <w:bCs/>
                <w:sz w:val="20"/>
                <w:szCs w:val="20"/>
              </w:rPr>
              <w:t>10</w:t>
            </w:r>
          </w:p>
        </w:tc>
        <w:tc>
          <w:tcPr>
            <w:tcW w:w="992" w:type="dxa"/>
          </w:tcPr>
          <w:p w14:paraId="5A54A778" w14:textId="77777777" w:rsidR="002C1FC6" w:rsidRPr="00E7269B" w:rsidRDefault="002C1FC6" w:rsidP="003B3AC5">
            <w:pPr>
              <w:jc w:val="center"/>
              <w:rPr>
                <w:bCs/>
                <w:sz w:val="20"/>
                <w:szCs w:val="20"/>
              </w:rPr>
            </w:pPr>
            <w:r>
              <w:rPr>
                <w:bCs/>
                <w:sz w:val="20"/>
                <w:szCs w:val="20"/>
              </w:rPr>
              <w:t>64.531</w:t>
            </w:r>
          </w:p>
        </w:tc>
        <w:tc>
          <w:tcPr>
            <w:tcW w:w="798" w:type="dxa"/>
          </w:tcPr>
          <w:p w14:paraId="7CA992A3" w14:textId="77777777" w:rsidR="002C1FC6" w:rsidRPr="00E7269B" w:rsidRDefault="002C1FC6" w:rsidP="003B3AC5">
            <w:pPr>
              <w:jc w:val="center"/>
              <w:rPr>
                <w:bCs/>
                <w:sz w:val="20"/>
                <w:szCs w:val="20"/>
              </w:rPr>
            </w:pPr>
            <w:r>
              <w:rPr>
                <w:bCs/>
                <w:sz w:val="20"/>
                <w:szCs w:val="20"/>
              </w:rPr>
              <w:t>9</w:t>
            </w:r>
          </w:p>
        </w:tc>
        <w:tc>
          <w:tcPr>
            <w:tcW w:w="766" w:type="dxa"/>
          </w:tcPr>
          <w:p w14:paraId="106B7493" w14:textId="77777777" w:rsidR="002C1FC6" w:rsidRPr="00E7269B" w:rsidRDefault="002C1FC6" w:rsidP="003B3AC5">
            <w:pPr>
              <w:jc w:val="center"/>
              <w:rPr>
                <w:bCs/>
                <w:sz w:val="20"/>
                <w:szCs w:val="20"/>
              </w:rPr>
            </w:pPr>
            <w:r>
              <w:rPr>
                <w:bCs/>
                <w:sz w:val="20"/>
                <w:szCs w:val="20"/>
              </w:rPr>
              <w:t>18.222</w:t>
            </w:r>
          </w:p>
        </w:tc>
        <w:tc>
          <w:tcPr>
            <w:tcW w:w="661" w:type="dxa"/>
          </w:tcPr>
          <w:p w14:paraId="0563DA89" w14:textId="77777777" w:rsidR="002C1FC6" w:rsidRPr="00E7269B" w:rsidRDefault="002C1FC6" w:rsidP="003B3AC5">
            <w:pPr>
              <w:jc w:val="center"/>
              <w:rPr>
                <w:bCs/>
                <w:sz w:val="20"/>
                <w:szCs w:val="20"/>
              </w:rPr>
            </w:pPr>
            <w:r>
              <w:rPr>
                <w:bCs/>
                <w:sz w:val="20"/>
                <w:szCs w:val="20"/>
              </w:rPr>
              <w:t>1</w:t>
            </w:r>
          </w:p>
        </w:tc>
        <w:tc>
          <w:tcPr>
            <w:tcW w:w="1261" w:type="dxa"/>
            <w:vAlign w:val="center"/>
          </w:tcPr>
          <w:p w14:paraId="62C376E9" w14:textId="77777777" w:rsidR="002C1FC6" w:rsidRPr="00E7269B" w:rsidRDefault="002C1FC6" w:rsidP="003B3AC5">
            <w:pPr>
              <w:jc w:val="center"/>
              <w:rPr>
                <w:bCs/>
                <w:sz w:val="20"/>
                <w:szCs w:val="20"/>
              </w:rPr>
            </w:pPr>
            <w:r w:rsidRPr="009211EA">
              <w:rPr>
                <w:bCs/>
                <w:sz w:val="20"/>
                <w:szCs w:val="20"/>
              </w:rPr>
              <w:t>yes</w:t>
            </w:r>
          </w:p>
        </w:tc>
      </w:tr>
      <w:tr w:rsidR="002C1FC6" w:rsidRPr="00E7269B" w14:paraId="74F63DBD" w14:textId="77777777" w:rsidTr="003B3AC5">
        <w:tc>
          <w:tcPr>
            <w:tcW w:w="850" w:type="dxa"/>
          </w:tcPr>
          <w:p w14:paraId="7769323B" w14:textId="77777777" w:rsidR="002C1FC6" w:rsidRPr="00E7269B" w:rsidRDefault="002C1FC6" w:rsidP="003B3AC5">
            <w:pPr>
              <w:jc w:val="center"/>
              <w:rPr>
                <w:bCs/>
                <w:sz w:val="20"/>
                <w:szCs w:val="20"/>
              </w:rPr>
            </w:pPr>
          </w:p>
        </w:tc>
        <w:tc>
          <w:tcPr>
            <w:tcW w:w="851" w:type="dxa"/>
          </w:tcPr>
          <w:p w14:paraId="19B8FFFD" w14:textId="77777777" w:rsidR="002C1FC6" w:rsidRPr="00E7269B" w:rsidRDefault="002C1FC6" w:rsidP="003B3AC5">
            <w:pPr>
              <w:jc w:val="center"/>
              <w:rPr>
                <w:bCs/>
                <w:sz w:val="20"/>
                <w:szCs w:val="20"/>
              </w:rPr>
            </w:pPr>
            <w:r>
              <w:rPr>
                <w:bCs/>
                <w:sz w:val="20"/>
                <w:szCs w:val="20"/>
              </w:rPr>
              <w:t>FR</w:t>
            </w:r>
          </w:p>
        </w:tc>
        <w:tc>
          <w:tcPr>
            <w:tcW w:w="992" w:type="dxa"/>
          </w:tcPr>
          <w:p w14:paraId="69415ECE" w14:textId="77777777" w:rsidR="002C1FC6" w:rsidRPr="00E7269B" w:rsidRDefault="002C1FC6" w:rsidP="003B3AC5">
            <w:pPr>
              <w:jc w:val="center"/>
              <w:rPr>
                <w:bCs/>
                <w:sz w:val="20"/>
                <w:szCs w:val="20"/>
              </w:rPr>
            </w:pPr>
            <w:r>
              <w:rPr>
                <w:bCs/>
                <w:sz w:val="20"/>
                <w:szCs w:val="20"/>
              </w:rPr>
              <w:t>37.502</w:t>
            </w:r>
          </w:p>
        </w:tc>
        <w:tc>
          <w:tcPr>
            <w:tcW w:w="709" w:type="dxa"/>
          </w:tcPr>
          <w:p w14:paraId="0BDEF322" w14:textId="77777777" w:rsidR="002C1FC6" w:rsidRPr="00E7269B" w:rsidRDefault="002C1FC6" w:rsidP="003B3AC5">
            <w:pPr>
              <w:jc w:val="center"/>
              <w:rPr>
                <w:bCs/>
                <w:sz w:val="20"/>
                <w:szCs w:val="20"/>
              </w:rPr>
            </w:pPr>
            <w:r>
              <w:rPr>
                <w:bCs/>
                <w:sz w:val="20"/>
                <w:szCs w:val="20"/>
              </w:rPr>
              <w:t>10</w:t>
            </w:r>
          </w:p>
        </w:tc>
        <w:tc>
          <w:tcPr>
            <w:tcW w:w="992" w:type="dxa"/>
          </w:tcPr>
          <w:p w14:paraId="03222138" w14:textId="77777777" w:rsidR="002C1FC6" w:rsidRPr="00E7269B" w:rsidRDefault="002C1FC6" w:rsidP="003B3AC5">
            <w:pPr>
              <w:jc w:val="center"/>
              <w:rPr>
                <w:bCs/>
                <w:sz w:val="20"/>
                <w:szCs w:val="20"/>
              </w:rPr>
            </w:pPr>
            <w:r>
              <w:rPr>
                <w:bCs/>
                <w:sz w:val="20"/>
                <w:szCs w:val="20"/>
              </w:rPr>
              <w:t>29.585</w:t>
            </w:r>
          </w:p>
        </w:tc>
        <w:tc>
          <w:tcPr>
            <w:tcW w:w="798" w:type="dxa"/>
          </w:tcPr>
          <w:p w14:paraId="4F6107DB" w14:textId="77777777" w:rsidR="002C1FC6" w:rsidRPr="00E7269B" w:rsidRDefault="002C1FC6" w:rsidP="003B3AC5">
            <w:pPr>
              <w:jc w:val="center"/>
              <w:rPr>
                <w:bCs/>
                <w:sz w:val="20"/>
                <w:szCs w:val="20"/>
              </w:rPr>
            </w:pPr>
            <w:r>
              <w:rPr>
                <w:bCs/>
                <w:sz w:val="20"/>
                <w:szCs w:val="20"/>
              </w:rPr>
              <w:t>9</w:t>
            </w:r>
          </w:p>
        </w:tc>
        <w:tc>
          <w:tcPr>
            <w:tcW w:w="766" w:type="dxa"/>
          </w:tcPr>
          <w:p w14:paraId="58774456" w14:textId="77777777" w:rsidR="002C1FC6" w:rsidRPr="00E7269B" w:rsidRDefault="002C1FC6" w:rsidP="003B3AC5">
            <w:pPr>
              <w:jc w:val="center"/>
              <w:rPr>
                <w:bCs/>
                <w:sz w:val="20"/>
                <w:szCs w:val="20"/>
              </w:rPr>
            </w:pPr>
            <w:r>
              <w:rPr>
                <w:bCs/>
                <w:sz w:val="20"/>
                <w:szCs w:val="20"/>
              </w:rPr>
              <w:t>7.917</w:t>
            </w:r>
          </w:p>
        </w:tc>
        <w:tc>
          <w:tcPr>
            <w:tcW w:w="661" w:type="dxa"/>
          </w:tcPr>
          <w:p w14:paraId="728577AC" w14:textId="77777777" w:rsidR="002C1FC6" w:rsidRPr="00E7269B" w:rsidRDefault="002C1FC6" w:rsidP="003B3AC5">
            <w:pPr>
              <w:jc w:val="center"/>
              <w:rPr>
                <w:bCs/>
                <w:sz w:val="20"/>
                <w:szCs w:val="20"/>
              </w:rPr>
            </w:pPr>
            <w:r>
              <w:rPr>
                <w:bCs/>
                <w:sz w:val="20"/>
                <w:szCs w:val="20"/>
              </w:rPr>
              <w:t>1</w:t>
            </w:r>
          </w:p>
        </w:tc>
        <w:tc>
          <w:tcPr>
            <w:tcW w:w="1261" w:type="dxa"/>
            <w:vAlign w:val="center"/>
          </w:tcPr>
          <w:p w14:paraId="054CF8ED" w14:textId="77777777" w:rsidR="002C1FC6" w:rsidRPr="00E7269B" w:rsidRDefault="002C1FC6" w:rsidP="003B3AC5">
            <w:pPr>
              <w:jc w:val="center"/>
              <w:rPr>
                <w:bCs/>
                <w:sz w:val="20"/>
                <w:szCs w:val="20"/>
              </w:rPr>
            </w:pPr>
            <w:r w:rsidRPr="009211EA">
              <w:rPr>
                <w:bCs/>
                <w:sz w:val="20"/>
                <w:szCs w:val="20"/>
              </w:rPr>
              <w:t>yes</w:t>
            </w:r>
          </w:p>
        </w:tc>
      </w:tr>
      <w:tr w:rsidR="002C1FC6" w:rsidRPr="00E7269B" w14:paraId="4E23FA93" w14:textId="77777777" w:rsidTr="003B3AC5">
        <w:tc>
          <w:tcPr>
            <w:tcW w:w="850" w:type="dxa"/>
            <w:tcBorders>
              <w:bottom w:val="single" w:sz="4" w:space="0" w:color="auto"/>
            </w:tcBorders>
          </w:tcPr>
          <w:p w14:paraId="25AB6ADB" w14:textId="77777777" w:rsidR="002C1FC6" w:rsidRPr="00E7269B" w:rsidRDefault="002C1FC6" w:rsidP="003B3AC5">
            <w:pPr>
              <w:jc w:val="center"/>
              <w:rPr>
                <w:bCs/>
                <w:sz w:val="20"/>
                <w:szCs w:val="20"/>
              </w:rPr>
            </w:pPr>
            <w:r>
              <w:rPr>
                <w:bCs/>
                <w:sz w:val="20"/>
                <w:szCs w:val="20"/>
              </w:rPr>
              <w:t>OR</w:t>
            </w:r>
          </w:p>
        </w:tc>
        <w:tc>
          <w:tcPr>
            <w:tcW w:w="851" w:type="dxa"/>
            <w:tcBorders>
              <w:bottom w:val="single" w:sz="4" w:space="0" w:color="auto"/>
            </w:tcBorders>
          </w:tcPr>
          <w:p w14:paraId="3C2F1C51" w14:textId="77777777" w:rsidR="002C1FC6" w:rsidRPr="00E7269B" w:rsidRDefault="002C1FC6" w:rsidP="003B3AC5">
            <w:pPr>
              <w:jc w:val="center"/>
              <w:rPr>
                <w:bCs/>
                <w:sz w:val="20"/>
                <w:szCs w:val="20"/>
              </w:rPr>
            </w:pPr>
            <w:r>
              <w:rPr>
                <w:bCs/>
                <w:sz w:val="20"/>
                <w:szCs w:val="20"/>
              </w:rPr>
              <w:t>FR</w:t>
            </w:r>
          </w:p>
        </w:tc>
        <w:tc>
          <w:tcPr>
            <w:tcW w:w="992" w:type="dxa"/>
            <w:tcBorders>
              <w:bottom w:val="single" w:sz="4" w:space="0" w:color="auto"/>
            </w:tcBorders>
          </w:tcPr>
          <w:p w14:paraId="765E1136" w14:textId="77777777" w:rsidR="002C1FC6" w:rsidRPr="00E7269B" w:rsidRDefault="002C1FC6" w:rsidP="003B3AC5">
            <w:pPr>
              <w:jc w:val="center"/>
              <w:rPr>
                <w:bCs/>
                <w:sz w:val="20"/>
                <w:szCs w:val="20"/>
              </w:rPr>
            </w:pPr>
            <w:r>
              <w:rPr>
                <w:bCs/>
                <w:sz w:val="20"/>
                <w:szCs w:val="20"/>
              </w:rPr>
              <w:t>162.495</w:t>
            </w:r>
          </w:p>
        </w:tc>
        <w:tc>
          <w:tcPr>
            <w:tcW w:w="709" w:type="dxa"/>
            <w:tcBorders>
              <w:bottom w:val="single" w:sz="4" w:space="0" w:color="auto"/>
            </w:tcBorders>
          </w:tcPr>
          <w:p w14:paraId="11C730E4" w14:textId="77777777" w:rsidR="002C1FC6" w:rsidRPr="00E7269B" w:rsidRDefault="002C1FC6" w:rsidP="003B3AC5">
            <w:pPr>
              <w:jc w:val="center"/>
              <w:rPr>
                <w:bCs/>
                <w:sz w:val="20"/>
                <w:szCs w:val="20"/>
              </w:rPr>
            </w:pPr>
            <w:r>
              <w:rPr>
                <w:bCs/>
                <w:sz w:val="20"/>
                <w:szCs w:val="20"/>
              </w:rPr>
              <w:t>35</w:t>
            </w:r>
          </w:p>
        </w:tc>
        <w:tc>
          <w:tcPr>
            <w:tcW w:w="992" w:type="dxa"/>
            <w:tcBorders>
              <w:bottom w:val="single" w:sz="4" w:space="0" w:color="auto"/>
            </w:tcBorders>
          </w:tcPr>
          <w:p w14:paraId="21AB6070" w14:textId="77777777" w:rsidR="002C1FC6" w:rsidRPr="00E7269B" w:rsidRDefault="002C1FC6" w:rsidP="003B3AC5">
            <w:pPr>
              <w:jc w:val="center"/>
              <w:rPr>
                <w:bCs/>
                <w:sz w:val="20"/>
                <w:szCs w:val="20"/>
              </w:rPr>
            </w:pPr>
            <w:r>
              <w:rPr>
                <w:bCs/>
                <w:sz w:val="20"/>
                <w:szCs w:val="20"/>
              </w:rPr>
              <w:t>154.903</w:t>
            </w:r>
          </w:p>
        </w:tc>
        <w:tc>
          <w:tcPr>
            <w:tcW w:w="798" w:type="dxa"/>
            <w:tcBorders>
              <w:bottom w:val="single" w:sz="4" w:space="0" w:color="auto"/>
            </w:tcBorders>
          </w:tcPr>
          <w:p w14:paraId="469F78B6" w14:textId="77777777" w:rsidR="002C1FC6" w:rsidRPr="00E7269B" w:rsidRDefault="002C1FC6" w:rsidP="003B3AC5">
            <w:pPr>
              <w:jc w:val="center"/>
              <w:rPr>
                <w:bCs/>
                <w:sz w:val="20"/>
                <w:szCs w:val="20"/>
              </w:rPr>
            </w:pPr>
            <w:r>
              <w:rPr>
                <w:bCs/>
                <w:sz w:val="20"/>
                <w:szCs w:val="20"/>
              </w:rPr>
              <w:t>34</w:t>
            </w:r>
          </w:p>
        </w:tc>
        <w:tc>
          <w:tcPr>
            <w:tcW w:w="766" w:type="dxa"/>
            <w:tcBorders>
              <w:bottom w:val="single" w:sz="4" w:space="0" w:color="auto"/>
            </w:tcBorders>
          </w:tcPr>
          <w:p w14:paraId="6EE6B7A7" w14:textId="77777777" w:rsidR="002C1FC6" w:rsidRPr="00E7269B" w:rsidRDefault="002C1FC6" w:rsidP="003B3AC5">
            <w:pPr>
              <w:jc w:val="center"/>
              <w:rPr>
                <w:bCs/>
                <w:sz w:val="20"/>
                <w:szCs w:val="20"/>
              </w:rPr>
            </w:pPr>
            <w:r>
              <w:rPr>
                <w:bCs/>
                <w:sz w:val="20"/>
                <w:szCs w:val="20"/>
              </w:rPr>
              <w:t>7.592</w:t>
            </w:r>
          </w:p>
        </w:tc>
        <w:tc>
          <w:tcPr>
            <w:tcW w:w="661" w:type="dxa"/>
            <w:tcBorders>
              <w:bottom w:val="single" w:sz="4" w:space="0" w:color="auto"/>
            </w:tcBorders>
          </w:tcPr>
          <w:p w14:paraId="24208432" w14:textId="77777777" w:rsidR="002C1FC6" w:rsidRDefault="002C1FC6" w:rsidP="003B3AC5">
            <w:pPr>
              <w:jc w:val="center"/>
              <w:rPr>
                <w:bCs/>
                <w:sz w:val="20"/>
                <w:szCs w:val="20"/>
              </w:rPr>
            </w:pPr>
            <w:r>
              <w:rPr>
                <w:bCs/>
                <w:sz w:val="20"/>
                <w:szCs w:val="20"/>
              </w:rPr>
              <w:t>1</w:t>
            </w:r>
          </w:p>
        </w:tc>
        <w:tc>
          <w:tcPr>
            <w:tcW w:w="1261" w:type="dxa"/>
            <w:tcBorders>
              <w:bottom w:val="single" w:sz="4" w:space="0" w:color="auto"/>
            </w:tcBorders>
            <w:vAlign w:val="center"/>
          </w:tcPr>
          <w:p w14:paraId="0E7C35AE" w14:textId="77777777" w:rsidR="002C1FC6" w:rsidRPr="009211EA" w:rsidRDefault="002C1FC6" w:rsidP="003B3AC5">
            <w:pPr>
              <w:jc w:val="center"/>
              <w:rPr>
                <w:bCs/>
                <w:sz w:val="20"/>
                <w:szCs w:val="20"/>
              </w:rPr>
            </w:pPr>
            <w:r w:rsidRPr="009211EA">
              <w:rPr>
                <w:bCs/>
                <w:sz w:val="20"/>
                <w:szCs w:val="20"/>
              </w:rPr>
              <w:t>yes</w:t>
            </w:r>
          </w:p>
        </w:tc>
      </w:tr>
    </w:tbl>
    <w:p w14:paraId="5550B33E" w14:textId="77777777" w:rsidR="002C1FC6" w:rsidRDefault="002C1FC6" w:rsidP="002C1FC6">
      <w:pPr>
        <w:tabs>
          <w:tab w:val="left" w:pos="284"/>
        </w:tabs>
        <w:jc w:val="both"/>
        <w:rPr>
          <w:b/>
          <w:color w:val="000000" w:themeColor="text1"/>
        </w:rPr>
      </w:pPr>
    </w:p>
    <w:p w14:paraId="13F92333" w14:textId="77777777" w:rsidR="002C1FC6" w:rsidRDefault="002C1FC6" w:rsidP="002C1FC6">
      <w:pPr>
        <w:tabs>
          <w:tab w:val="left" w:pos="284"/>
        </w:tabs>
        <w:jc w:val="both"/>
        <w:rPr>
          <w:b/>
          <w:color w:val="000000" w:themeColor="text1"/>
        </w:rPr>
      </w:pPr>
    </w:p>
    <w:p w14:paraId="57C80E8D" w14:textId="77777777" w:rsidR="002C1FC6" w:rsidRDefault="002C1FC6" w:rsidP="002C1FC6">
      <w:pPr>
        <w:tabs>
          <w:tab w:val="left" w:pos="284"/>
        </w:tabs>
        <w:jc w:val="both"/>
        <w:rPr>
          <w:b/>
          <w:color w:val="000000" w:themeColor="text1"/>
        </w:rPr>
      </w:pPr>
    </w:p>
    <w:p w14:paraId="30E32BD0" w14:textId="77777777" w:rsidR="002C1FC6" w:rsidRDefault="002C1FC6" w:rsidP="002C1FC6">
      <w:pPr>
        <w:rPr>
          <w:b/>
          <w:color w:val="000000" w:themeColor="text1"/>
        </w:rPr>
      </w:pPr>
      <w:r>
        <w:rPr>
          <w:b/>
          <w:color w:val="000000" w:themeColor="text1"/>
        </w:rPr>
        <w:br w:type="page"/>
      </w:r>
    </w:p>
    <w:p w14:paraId="16149651" w14:textId="77777777" w:rsidR="002C1FC6" w:rsidRPr="00EA3C48" w:rsidRDefault="002C1FC6" w:rsidP="002C1FC6">
      <w:pPr>
        <w:tabs>
          <w:tab w:val="left" w:pos="284"/>
        </w:tabs>
        <w:spacing w:after="120"/>
        <w:rPr>
          <w:b/>
          <w:color w:val="000000" w:themeColor="text1"/>
        </w:rPr>
      </w:pPr>
      <w:r>
        <w:rPr>
          <w:b/>
          <w:color w:val="000000" w:themeColor="text1"/>
        </w:rPr>
        <w:lastRenderedPageBreak/>
        <w:t>A7</w:t>
      </w:r>
      <w:r w:rsidRPr="00B202F7">
        <w:rPr>
          <w:b/>
          <w:color w:val="000000" w:themeColor="text1"/>
        </w:rPr>
        <w:t xml:space="preserve"> – Crosstabulation analysis results</w:t>
      </w:r>
      <w:r w:rsidRPr="00724F3A">
        <w:rPr>
          <w:b/>
          <w:color w:val="000000" w:themeColor="text1"/>
        </w:rPr>
        <w:t xml:space="preserve"> </w:t>
      </w:r>
    </w:p>
    <w:tbl>
      <w:tblPr>
        <w:tblStyle w:val="TableGrid"/>
        <w:tblW w:w="1091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8"/>
        <w:gridCol w:w="992"/>
        <w:gridCol w:w="1134"/>
        <w:gridCol w:w="1276"/>
        <w:gridCol w:w="1276"/>
        <w:gridCol w:w="992"/>
        <w:gridCol w:w="992"/>
        <w:gridCol w:w="1001"/>
        <w:gridCol w:w="842"/>
      </w:tblGrid>
      <w:tr w:rsidR="002C1FC6" w14:paraId="311CA9F3" w14:textId="77777777" w:rsidTr="003B3AC5">
        <w:tc>
          <w:tcPr>
            <w:tcW w:w="993" w:type="dxa"/>
            <w:tcBorders>
              <w:top w:val="single" w:sz="4" w:space="0" w:color="auto"/>
            </w:tcBorders>
          </w:tcPr>
          <w:p w14:paraId="2ED76D68" w14:textId="77777777" w:rsidR="002C1FC6" w:rsidRDefault="002C1FC6" w:rsidP="003B3AC5">
            <w:pPr>
              <w:tabs>
                <w:tab w:val="left" w:pos="284"/>
              </w:tabs>
              <w:jc w:val="both"/>
              <w:rPr>
                <w:b/>
                <w:color w:val="000000" w:themeColor="text1"/>
              </w:rPr>
            </w:pPr>
          </w:p>
        </w:tc>
        <w:tc>
          <w:tcPr>
            <w:tcW w:w="1418" w:type="dxa"/>
            <w:tcBorders>
              <w:top w:val="single" w:sz="4" w:space="0" w:color="auto"/>
            </w:tcBorders>
          </w:tcPr>
          <w:p w14:paraId="198CE94E" w14:textId="77777777" w:rsidR="002C1FC6" w:rsidRDefault="002C1FC6" w:rsidP="003B3AC5">
            <w:pPr>
              <w:tabs>
                <w:tab w:val="left" w:pos="284"/>
              </w:tabs>
              <w:jc w:val="both"/>
              <w:rPr>
                <w:b/>
                <w:color w:val="000000" w:themeColor="text1"/>
              </w:rPr>
            </w:pPr>
          </w:p>
        </w:tc>
        <w:tc>
          <w:tcPr>
            <w:tcW w:w="992" w:type="dxa"/>
            <w:tcBorders>
              <w:top w:val="single" w:sz="4" w:space="0" w:color="auto"/>
            </w:tcBorders>
          </w:tcPr>
          <w:p w14:paraId="4DDF037E" w14:textId="77777777" w:rsidR="002C1FC6" w:rsidRPr="00FA2A9A" w:rsidRDefault="002C1FC6" w:rsidP="003B3AC5">
            <w:pPr>
              <w:tabs>
                <w:tab w:val="left" w:pos="284"/>
              </w:tabs>
              <w:jc w:val="center"/>
              <w:rPr>
                <w:b/>
                <w:color w:val="000000" w:themeColor="text1"/>
                <w:sz w:val="20"/>
                <w:szCs w:val="20"/>
              </w:rPr>
            </w:pPr>
          </w:p>
        </w:tc>
        <w:tc>
          <w:tcPr>
            <w:tcW w:w="7513" w:type="dxa"/>
            <w:gridSpan w:val="7"/>
            <w:tcBorders>
              <w:top w:val="single" w:sz="4" w:space="0" w:color="auto"/>
            </w:tcBorders>
          </w:tcPr>
          <w:p w14:paraId="7F95CE6A" w14:textId="77777777" w:rsidR="002C1FC6" w:rsidRPr="00FA2A9A" w:rsidRDefault="002C1FC6" w:rsidP="003B3AC5">
            <w:pPr>
              <w:tabs>
                <w:tab w:val="left" w:pos="284"/>
              </w:tabs>
              <w:jc w:val="center"/>
              <w:rPr>
                <w:b/>
                <w:color w:val="000000" w:themeColor="text1"/>
              </w:rPr>
            </w:pPr>
            <w:r w:rsidRPr="00FA2A9A">
              <w:rPr>
                <w:b/>
                <w:color w:val="000000" w:themeColor="text1"/>
                <w:sz w:val="20"/>
                <w:szCs w:val="20"/>
              </w:rPr>
              <w:t>Green Clusters</w:t>
            </w:r>
          </w:p>
        </w:tc>
      </w:tr>
      <w:tr w:rsidR="002C1FC6" w14:paraId="6AD6D427" w14:textId="77777777" w:rsidTr="003B3AC5">
        <w:trPr>
          <w:trHeight w:val="854"/>
        </w:trPr>
        <w:tc>
          <w:tcPr>
            <w:tcW w:w="993" w:type="dxa"/>
          </w:tcPr>
          <w:p w14:paraId="33B0A944" w14:textId="77777777" w:rsidR="002C1FC6" w:rsidRPr="00921F07" w:rsidRDefault="002C1FC6" w:rsidP="003B3AC5">
            <w:pPr>
              <w:tabs>
                <w:tab w:val="left" w:pos="284"/>
              </w:tabs>
              <w:jc w:val="both"/>
              <w:rPr>
                <w:bCs/>
                <w:color w:val="000000" w:themeColor="text1"/>
                <w:sz w:val="20"/>
                <w:szCs w:val="20"/>
              </w:rPr>
            </w:pPr>
          </w:p>
        </w:tc>
        <w:tc>
          <w:tcPr>
            <w:tcW w:w="1418" w:type="dxa"/>
          </w:tcPr>
          <w:p w14:paraId="1B5A7550" w14:textId="77777777" w:rsidR="002C1FC6" w:rsidRPr="00921F07" w:rsidRDefault="002C1FC6" w:rsidP="003B3AC5">
            <w:pPr>
              <w:tabs>
                <w:tab w:val="left" w:pos="284"/>
              </w:tabs>
              <w:jc w:val="both"/>
              <w:rPr>
                <w:bCs/>
                <w:color w:val="000000" w:themeColor="text1"/>
                <w:sz w:val="20"/>
                <w:szCs w:val="20"/>
              </w:rPr>
            </w:pPr>
          </w:p>
        </w:tc>
        <w:tc>
          <w:tcPr>
            <w:tcW w:w="992" w:type="dxa"/>
            <w:tcBorders>
              <w:top w:val="single" w:sz="4" w:space="0" w:color="auto"/>
              <w:bottom w:val="single" w:sz="4" w:space="0" w:color="auto"/>
            </w:tcBorders>
          </w:tcPr>
          <w:p w14:paraId="78534F35" w14:textId="77777777" w:rsidR="002C1FC6" w:rsidRPr="00921F07" w:rsidRDefault="002C1FC6" w:rsidP="003B3AC5">
            <w:pPr>
              <w:tabs>
                <w:tab w:val="left" w:pos="284"/>
              </w:tabs>
              <w:jc w:val="both"/>
              <w:rPr>
                <w:b/>
                <w:color w:val="000000" w:themeColor="text1"/>
                <w:sz w:val="20"/>
                <w:szCs w:val="20"/>
              </w:rPr>
            </w:pPr>
          </w:p>
        </w:tc>
        <w:tc>
          <w:tcPr>
            <w:tcW w:w="1134" w:type="dxa"/>
            <w:tcBorders>
              <w:top w:val="single" w:sz="4" w:space="0" w:color="auto"/>
              <w:bottom w:val="single" w:sz="4" w:space="0" w:color="auto"/>
            </w:tcBorders>
            <w:vAlign w:val="center"/>
          </w:tcPr>
          <w:p w14:paraId="2F129998" w14:textId="77777777" w:rsidR="002C1FC6" w:rsidRPr="00352EE0" w:rsidRDefault="002C1FC6" w:rsidP="003B3AC5">
            <w:pPr>
              <w:tabs>
                <w:tab w:val="left" w:pos="284"/>
              </w:tabs>
              <w:rPr>
                <w:b/>
                <w:color w:val="000000" w:themeColor="text1"/>
                <w:sz w:val="20"/>
                <w:szCs w:val="20"/>
              </w:rPr>
            </w:pPr>
            <w:r>
              <w:rPr>
                <w:b/>
                <w:color w:val="000000" w:themeColor="text1"/>
                <w:sz w:val="20"/>
                <w:szCs w:val="20"/>
              </w:rPr>
              <w:t>Green r</w:t>
            </w:r>
            <w:r w:rsidRPr="007A3FE0">
              <w:rPr>
                <w:b/>
                <w:color w:val="000000" w:themeColor="text1"/>
                <w:sz w:val="20"/>
                <w:szCs w:val="20"/>
              </w:rPr>
              <w:t>eluctants</w:t>
            </w:r>
          </w:p>
        </w:tc>
        <w:tc>
          <w:tcPr>
            <w:tcW w:w="1276" w:type="dxa"/>
            <w:tcBorders>
              <w:top w:val="single" w:sz="4" w:space="0" w:color="auto"/>
              <w:bottom w:val="single" w:sz="4" w:space="0" w:color="auto"/>
            </w:tcBorders>
            <w:vAlign w:val="center"/>
          </w:tcPr>
          <w:p w14:paraId="779B20ED" w14:textId="77777777" w:rsidR="002C1FC6" w:rsidRPr="00352EE0" w:rsidRDefault="002C1FC6" w:rsidP="003B3AC5">
            <w:pPr>
              <w:tabs>
                <w:tab w:val="left" w:pos="284"/>
              </w:tabs>
              <w:rPr>
                <w:b/>
                <w:color w:val="000000" w:themeColor="text1"/>
                <w:sz w:val="20"/>
                <w:szCs w:val="20"/>
              </w:rPr>
            </w:pPr>
            <w:r>
              <w:rPr>
                <w:b/>
                <w:color w:val="000000" w:themeColor="text1"/>
                <w:sz w:val="20"/>
                <w:szCs w:val="20"/>
              </w:rPr>
              <w:t xml:space="preserve">Green </w:t>
            </w:r>
            <w:proofErr w:type="spellStart"/>
            <w:r>
              <w:rPr>
                <w:b/>
                <w:color w:val="000000" w:themeColor="text1"/>
                <w:sz w:val="20"/>
                <w:szCs w:val="20"/>
              </w:rPr>
              <w:t>disinvestors</w:t>
            </w:r>
            <w:proofErr w:type="spellEnd"/>
          </w:p>
        </w:tc>
        <w:tc>
          <w:tcPr>
            <w:tcW w:w="1276" w:type="dxa"/>
            <w:tcBorders>
              <w:top w:val="single" w:sz="4" w:space="0" w:color="auto"/>
              <w:bottom w:val="single" w:sz="4" w:space="0" w:color="auto"/>
            </w:tcBorders>
            <w:vAlign w:val="center"/>
          </w:tcPr>
          <w:p w14:paraId="154B1398" w14:textId="77777777" w:rsidR="002C1FC6" w:rsidRPr="00352EE0" w:rsidRDefault="002C1FC6" w:rsidP="003B3AC5">
            <w:pPr>
              <w:tabs>
                <w:tab w:val="left" w:pos="284"/>
              </w:tabs>
              <w:rPr>
                <w:b/>
                <w:color w:val="000000" w:themeColor="text1"/>
                <w:sz w:val="20"/>
                <w:szCs w:val="20"/>
              </w:rPr>
            </w:pPr>
            <w:r>
              <w:rPr>
                <w:b/>
                <w:color w:val="000000" w:themeColor="text1"/>
                <w:sz w:val="20"/>
                <w:szCs w:val="20"/>
              </w:rPr>
              <w:t>Strategic green investors</w:t>
            </w:r>
          </w:p>
        </w:tc>
        <w:tc>
          <w:tcPr>
            <w:tcW w:w="992" w:type="dxa"/>
            <w:tcBorders>
              <w:top w:val="single" w:sz="4" w:space="0" w:color="auto"/>
              <w:bottom w:val="single" w:sz="4" w:space="0" w:color="auto"/>
            </w:tcBorders>
            <w:vAlign w:val="center"/>
          </w:tcPr>
          <w:p w14:paraId="7C3B6C7B" w14:textId="77777777" w:rsidR="002C1FC6" w:rsidRPr="00352EE0" w:rsidRDefault="002C1FC6" w:rsidP="003B3AC5">
            <w:pPr>
              <w:tabs>
                <w:tab w:val="left" w:pos="284"/>
              </w:tabs>
              <w:rPr>
                <w:b/>
                <w:color w:val="000000" w:themeColor="text1"/>
                <w:sz w:val="20"/>
                <w:szCs w:val="20"/>
              </w:rPr>
            </w:pPr>
            <w:r>
              <w:rPr>
                <w:b/>
                <w:color w:val="000000" w:themeColor="text1"/>
                <w:sz w:val="20"/>
                <w:szCs w:val="20"/>
              </w:rPr>
              <w:t>Opportunistic green i</w:t>
            </w:r>
            <w:r w:rsidRPr="007A3FE0">
              <w:rPr>
                <w:b/>
                <w:color w:val="000000" w:themeColor="text1"/>
                <w:sz w:val="20"/>
                <w:szCs w:val="20"/>
              </w:rPr>
              <w:t>nvestors</w:t>
            </w:r>
          </w:p>
        </w:tc>
        <w:tc>
          <w:tcPr>
            <w:tcW w:w="992" w:type="dxa"/>
            <w:tcBorders>
              <w:top w:val="single" w:sz="4" w:space="0" w:color="auto"/>
              <w:bottom w:val="single" w:sz="4" w:space="0" w:color="auto"/>
            </w:tcBorders>
            <w:vAlign w:val="center"/>
          </w:tcPr>
          <w:p w14:paraId="0EBDA8B7" w14:textId="77777777" w:rsidR="002C1FC6" w:rsidRPr="00352EE0" w:rsidRDefault="002C1FC6" w:rsidP="003B3AC5">
            <w:pPr>
              <w:tabs>
                <w:tab w:val="left" w:pos="284"/>
              </w:tabs>
              <w:rPr>
                <w:b/>
                <w:color w:val="000000" w:themeColor="text1"/>
                <w:sz w:val="20"/>
                <w:szCs w:val="20"/>
              </w:rPr>
            </w:pPr>
            <w:r>
              <w:rPr>
                <w:b/>
                <w:color w:val="000000" w:themeColor="text1"/>
                <w:sz w:val="20"/>
                <w:szCs w:val="20"/>
              </w:rPr>
              <w:t>Cautious green investors</w:t>
            </w:r>
          </w:p>
        </w:tc>
        <w:tc>
          <w:tcPr>
            <w:tcW w:w="1001" w:type="dxa"/>
            <w:tcBorders>
              <w:top w:val="single" w:sz="4" w:space="0" w:color="auto"/>
              <w:bottom w:val="single" w:sz="4" w:space="0" w:color="auto"/>
            </w:tcBorders>
            <w:vAlign w:val="center"/>
          </w:tcPr>
          <w:p w14:paraId="1CFE3BE4" w14:textId="77777777" w:rsidR="002C1FC6" w:rsidRPr="00352EE0" w:rsidRDefault="002C1FC6" w:rsidP="003B3AC5">
            <w:pPr>
              <w:tabs>
                <w:tab w:val="left" w:pos="284"/>
              </w:tabs>
              <w:rPr>
                <w:b/>
                <w:color w:val="000000" w:themeColor="text1"/>
                <w:sz w:val="20"/>
                <w:szCs w:val="20"/>
              </w:rPr>
            </w:pPr>
            <w:r>
              <w:rPr>
                <w:b/>
                <w:color w:val="000000" w:themeColor="text1"/>
                <w:sz w:val="20"/>
                <w:szCs w:val="20"/>
              </w:rPr>
              <w:t>Green n</w:t>
            </w:r>
            <w:r w:rsidRPr="007A3FE0">
              <w:rPr>
                <w:b/>
                <w:color w:val="000000" w:themeColor="text1"/>
                <w:sz w:val="20"/>
                <w:szCs w:val="20"/>
              </w:rPr>
              <w:t>on-believers</w:t>
            </w:r>
          </w:p>
        </w:tc>
        <w:tc>
          <w:tcPr>
            <w:tcW w:w="842" w:type="dxa"/>
            <w:tcBorders>
              <w:top w:val="single" w:sz="4" w:space="0" w:color="auto"/>
              <w:bottom w:val="single" w:sz="4" w:space="0" w:color="auto"/>
            </w:tcBorders>
            <w:vAlign w:val="bottom"/>
          </w:tcPr>
          <w:p w14:paraId="604C5146" w14:textId="77777777" w:rsidR="002C1FC6" w:rsidRPr="00921F07" w:rsidRDefault="002C1FC6" w:rsidP="003B3AC5">
            <w:pPr>
              <w:tabs>
                <w:tab w:val="left" w:pos="284"/>
              </w:tabs>
              <w:jc w:val="center"/>
              <w:rPr>
                <w:bCs/>
                <w:color w:val="000000" w:themeColor="text1"/>
                <w:sz w:val="20"/>
                <w:szCs w:val="20"/>
              </w:rPr>
            </w:pPr>
            <w:r w:rsidRPr="00921F07">
              <w:rPr>
                <w:bCs/>
                <w:color w:val="000000" w:themeColor="text1"/>
                <w:sz w:val="20"/>
                <w:szCs w:val="20"/>
              </w:rPr>
              <w:t>Total</w:t>
            </w:r>
          </w:p>
        </w:tc>
      </w:tr>
      <w:tr w:rsidR="002C1FC6" w14:paraId="0E0562D8" w14:textId="77777777" w:rsidTr="003B3AC5">
        <w:trPr>
          <w:trHeight w:val="184"/>
        </w:trPr>
        <w:tc>
          <w:tcPr>
            <w:tcW w:w="993" w:type="dxa"/>
            <w:vMerge w:val="restart"/>
            <w:tcBorders>
              <w:right w:val="single" w:sz="4" w:space="0" w:color="auto"/>
            </w:tcBorders>
          </w:tcPr>
          <w:p w14:paraId="4E95C152" w14:textId="77777777" w:rsidR="002C1FC6" w:rsidRPr="00FA2A9A" w:rsidRDefault="002C1FC6" w:rsidP="003B3AC5">
            <w:pPr>
              <w:tabs>
                <w:tab w:val="left" w:pos="284"/>
              </w:tabs>
              <w:jc w:val="both"/>
              <w:rPr>
                <w:b/>
                <w:color w:val="000000" w:themeColor="text1"/>
                <w:sz w:val="20"/>
                <w:szCs w:val="20"/>
              </w:rPr>
            </w:pPr>
            <w:r w:rsidRPr="00FA2A9A">
              <w:rPr>
                <w:b/>
                <w:color w:val="000000" w:themeColor="text1"/>
                <w:sz w:val="20"/>
                <w:szCs w:val="20"/>
              </w:rPr>
              <w:t>Green Groups</w:t>
            </w:r>
          </w:p>
        </w:tc>
        <w:tc>
          <w:tcPr>
            <w:tcW w:w="1418" w:type="dxa"/>
            <w:vMerge w:val="restart"/>
            <w:tcBorders>
              <w:left w:val="single" w:sz="4" w:space="0" w:color="auto"/>
              <w:right w:val="single" w:sz="4" w:space="0" w:color="auto"/>
            </w:tcBorders>
          </w:tcPr>
          <w:p w14:paraId="622648DE" w14:textId="77777777" w:rsidR="002C1FC6" w:rsidRPr="007A3FE0" w:rsidRDefault="002C1FC6" w:rsidP="003B3AC5">
            <w:pPr>
              <w:tabs>
                <w:tab w:val="left" w:pos="284"/>
              </w:tabs>
              <w:rPr>
                <w:b/>
                <w:color w:val="000000" w:themeColor="text1"/>
                <w:sz w:val="20"/>
                <w:szCs w:val="20"/>
              </w:rPr>
            </w:pPr>
            <w:r>
              <w:rPr>
                <w:b/>
                <w:color w:val="000000" w:themeColor="text1"/>
                <w:sz w:val="20"/>
                <w:szCs w:val="20"/>
              </w:rPr>
              <w:t>Green r</w:t>
            </w:r>
            <w:r w:rsidRPr="007A3FE0">
              <w:rPr>
                <w:b/>
                <w:color w:val="000000" w:themeColor="text1"/>
                <w:sz w:val="20"/>
                <w:szCs w:val="20"/>
              </w:rPr>
              <w:t>eluctants</w:t>
            </w:r>
          </w:p>
          <w:p w14:paraId="71C663EE" w14:textId="77777777" w:rsidR="002C1FC6" w:rsidRPr="007A3FE0" w:rsidRDefault="002C1FC6" w:rsidP="003B3AC5">
            <w:pPr>
              <w:tabs>
                <w:tab w:val="left" w:pos="284"/>
              </w:tabs>
              <w:rPr>
                <w:b/>
                <w:color w:val="000000" w:themeColor="text1"/>
                <w:sz w:val="20"/>
                <w:szCs w:val="20"/>
              </w:rPr>
            </w:pPr>
          </w:p>
        </w:tc>
        <w:tc>
          <w:tcPr>
            <w:tcW w:w="992" w:type="dxa"/>
            <w:tcBorders>
              <w:top w:val="single" w:sz="4" w:space="0" w:color="auto"/>
              <w:left w:val="single" w:sz="4" w:space="0" w:color="auto"/>
            </w:tcBorders>
          </w:tcPr>
          <w:p w14:paraId="62F4A841"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N</w:t>
            </w:r>
          </w:p>
        </w:tc>
        <w:tc>
          <w:tcPr>
            <w:tcW w:w="1134" w:type="dxa"/>
            <w:tcBorders>
              <w:top w:val="single" w:sz="4" w:space="0" w:color="auto"/>
            </w:tcBorders>
            <w:vAlign w:val="center"/>
          </w:tcPr>
          <w:p w14:paraId="5EE7BD1F"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37</w:t>
            </w:r>
          </w:p>
        </w:tc>
        <w:tc>
          <w:tcPr>
            <w:tcW w:w="1276" w:type="dxa"/>
            <w:tcBorders>
              <w:top w:val="single" w:sz="4" w:space="0" w:color="auto"/>
            </w:tcBorders>
            <w:vAlign w:val="center"/>
          </w:tcPr>
          <w:p w14:paraId="7B4F4399"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1276" w:type="dxa"/>
            <w:tcBorders>
              <w:top w:val="single" w:sz="4" w:space="0" w:color="auto"/>
            </w:tcBorders>
            <w:vAlign w:val="center"/>
          </w:tcPr>
          <w:p w14:paraId="2AE12FA8"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992" w:type="dxa"/>
            <w:tcBorders>
              <w:top w:val="single" w:sz="4" w:space="0" w:color="auto"/>
            </w:tcBorders>
            <w:vAlign w:val="center"/>
          </w:tcPr>
          <w:p w14:paraId="1BEE093D"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w:t>
            </w:r>
          </w:p>
        </w:tc>
        <w:tc>
          <w:tcPr>
            <w:tcW w:w="992" w:type="dxa"/>
            <w:tcBorders>
              <w:top w:val="single" w:sz="4" w:space="0" w:color="auto"/>
            </w:tcBorders>
          </w:tcPr>
          <w:p w14:paraId="15E52E66"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1001" w:type="dxa"/>
            <w:tcBorders>
              <w:top w:val="single" w:sz="4" w:space="0" w:color="auto"/>
            </w:tcBorders>
          </w:tcPr>
          <w:p w14:paraId="1431AC3D"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842" w:type="dxa"/>
            <w:tcBorders>
              <w:top w:val="single" w:sz="4" w:space="0" w:color="auto"/>
            </w:tcBorders>
            <w:vAlign w:val="center"/>
          </w:tcPr>
          <w:p w14:paraId="50A967F1"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37</w:t>
            </w:r>
          </w:p>
        </w:tc>
      </w:tr>
      <w:tr w:rsidR="002C1FC6" w14:paraId="1D826561" w14:textId="77777777" w:rsidTr="003B3AC5">
        <w:trPr>
          <w:trHeight w:val="183"/>
        </w:trPr>
        <w:tc>
          <w:tcPr>
            <w:tcW w:w="993" w:type="dxa"/>
            <w:vMerge/>
            <w:tcBorders>
              <w:right w:val="single" w:sz="4" w:space="0" w:color="auto"/>
            </w:tcBorders>
          </w:tcPr>
          <w:p w14:paraId="7FADA738"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43F51CBC"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2D5C28D9"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 within groups</w:t>
            </w:r>
          </w:p>
        </w:tc>
        <w:tc>
          <w:tcPr>
            <w:tcW w:w="1134" w:type="dxa"/>
            <w:vAlign w:val="center"/>
          </w:tcPr>
          <w:p w14:paraId="4397CA6C" w14:textId="77777777" w:rsidR="002C1FC6" w:rsidRPr="00B92823" w:rsidRDefault="002C1FC6" w:rsidP="003B3AC5">
            <w:pPr>
              <w:tabs>
                <w:tab w:val="left" w:pos="284"/>
              </w:tabs>
              <w:jc w:val="right"/>
              <w:rPr>
                <w:b/>
                <w:color w:val="000000" w:themeColor="text1"/>
                <w:sz w:val="20"/>
                <w:szCs w:val="20"/>
              </w:rPr>
            </w:pPr>
            <w:r>
              <w:rPr>
                <w:b/>
                <w:color w:val="000000" w:themeColor="text1"/>
                <w:sz w:val="20"/>
                <w:szCs w:val="20"/>
              </w:rPr>
              <w:t>100.0</w:t>
            </w:r>
            <w:r w:rsidRPr="00B92823">
              <w:rPr>
                <w:b/>
                <w:color w:val="000000" w:themeColor="text1"/>
                <w:sz w:val="20"/>
                <w:szCs w:val="20"/>
              </w:rPr>
              <w:t>%</w:t>
            </w:r>
          </w:p>
        </w:tc>
        <w:tc>
          <w:tcPr>
            <w:tcW w:w="1276" w:type="dxa"/>
            <w:vAlign w:val="center"/>
          </w:tcPr>
          <w:p w14:paraId="313D76EA"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1E07B525"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28BD0085"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75C9AB01"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001" w:type="dxa"/>
            <w:vAlign w:val="center"/>
          </w:tcPr>
          <w:p w14:paraId="54B24A83"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56E154E3"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100.0%</w:t>
            </w:r>
          </w:p>
        </w:tc>
      </w:tr>
      <w:tr w:rsidR="002C1FC6" w14:paraId="60987B89" w14:textId="77777777" w:rsidTr="003B3AC5">
        <w:trPr>
          <w:trHeight w:val="183"/>
        </w:trPr>
        <w:tc>
          <w:tcPr>
            <w:tcW w:w="993" w:type="dxa"/>
            <w:vMerge/>
            <w:tcBorders>
              <w:right w:val="single" w:sz="4" w:space="0" w:color="auto"/>
            </w:tcBorders>
          </w:tcPr>
          <w:p w14:paraId="2E77F6B5"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4B4047A2"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7C08EF6F"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 within clusters</w:t>
            </w:r>
          </w:p>
        </w:tc>
        <w:tc>
          <w:tcPr>
            <w:tcW w:w="1134" w:type="dxa"/>
            <w:vAlign w:val="center"/>
          </w:tcPr>
          <w:p w14:paraId="7DD67081" w14:textId="77777777" w:rsidR="002C1FC6" w:rsidRPr="00B92823" w:rsidRDefault="002C1FC6" w:rsidP="003B3AC5">
            <w:pPr>
              <w:tabs>
                <w:tab w:val="left" w:pos="284"/>
              </w:tabs>
              <w:jc w:val="right"/>
              <w:rPr>
                <w:b/>
                <w:color w:val="000000" w:themeColor="text1"/>
                <w:sz w:val="20"/>
                <w:szCs w:val="20"/>
              </w:rPr>
            </w:pPr>
            <w:r>
              <w:rPr>
                <w:b/>
                <w:color w:val="000000" w:themeColor="text1"/>
                <w:sz w:val="20"/>
                <w:szCs w:val="20"/>
              </w:rPr>
              <w:t>63.8</w:t>
            </w:r>
            <w:r w:rsidRPr="00B92823">
              <w:rPr>
                <w:b/>
                <w:color w:val="000000" w:themeColor="text1"/>
                <w:sz w:val="20"/>
                <w:szCs w:val="20"/>
              </w:rPr>
              <w:t>%</w:t>
            </w:r>
          </w:p>
        </w:tc>
        <w:tc>
          <w:tcPr>
            <w:tcW w:w="1276" w:type="dxa"/>
            <w:vAlign w:val="center"/>
          </w:tcPr>
          <w:p w14:paraId="26A6F662"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6E46C845"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2C7DE186"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74419F14"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001" w:type="dxa"/>
            <w:vAlign w:val="center"/>
          </w:tcPr>
          <w:p w14:paraId="1480B476"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2897BF74"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14.7</w:t>
            </w:r>
            <w:r w:rsidRPr="00B92823">
              <w:rPr>
                <w:bCs/>
                <w:color w:val="000000" w:themeColor="text1"/>
                <w:sz w:val="20"/>
                <w:szCs w:val="20"/>
              </w:rPr>
              <w:t>%</w:t>
            </w:r>
          </w:p>
        </w:tc>
      </w:tr>
      <w:tr w:rsidR="002C1FC6" w14:paraId="17123967" w14:textId="77777777" w:rsidTr="003B3AC5">
        <w:trPr>
          <w:trHeight w:val="184"/>
        </w:trPr>
        <w:tc>
          <w:tcPr>
            <w:tcW w:w="993" w:type="dxa"/>
            <w:vMerge w:val="restart"/>
            <w:tcBorders>
              <w:right w:val="single" w:sz="4" w:space="0" w:color="auto"/>
            </w:tcBorders>
          </w:tcPr>
          <w:p w14:paraId="54C83207" w14:textId="77777777" w:rsidR="002C1FC6" w:rsidRPr="00921F07" w:rsidRDefault="002C1FC6" w:rsidP="003B3AC5">
            <w:pPr>
              <w:tabs>
                <w:tab w:val="left" w:pos="284"/>
              </w:tabs>
              <w:jc w:val="both"/>
              <w:rPr>
                <w:bCs/>
                <w:color w:val="000000" w:themeColor="text1"/>
                <w:sz w:val="20"/>
                <w:szCs w:val="20"/>
              </w:rPr>
            </w:pPr>
          </w:p>
        </w:tc>
        <w:tc>
          <w:tcPr>
            <w:tcW w:w="1418" w:type="dxa"/>
            <w:vMerge w:val="restart"/>
            <w:tcBorders>
              <w:left w:val="single" w:sz="4" w:space="0" w:color="auto"/>
              <w:right w:val="single" w:sz="4" w:space="0" w:color="auto"/>
            </w:tcBorders>
          </w:tcPr>
          <w:p w14:paraId="1F3408AB" w14:textId="77777777" w:rsidR="002C1FC6" w:rsidRPr="007A3FE0" w:rsidRDefault="002C1FC6" w:rsidP="003B3AC5">
            <w:pPr>
              <w:tabs>
                <w:tab w:val="left" w:pos="284"/>
              </w:tabs>
              <w:rPr>
                <w:b/>
                <w:color w:val="000000" w:themeColor="text1"/>
                <w:sz w:val="20"/>
                <w:szCs w:val="20"/>
              </w:rPr>
            </w:pPr>
            <w:r>
              <w:rPr>
                <w:b/>
                <w:color w:val="000000" w:themeColor="text1"/>
                <w:sz w:val="20"/>
                <w:szCs w:val="20"/>
              </w:rPr>
              <w:t xml:space="preserve">Green </w:t>
            </w:r>
            <w:proofErr w:type="spellStart"/>
            <w:r>
              <w:rPr>
                <w:b/>
                <w:color w:val="000000" w:themeColor="text1"/>
                <w:sz w:val="20"/>
                <w:szCs w:val="20"/>
              </w:rPr>
              <w:t>disinvestors</w:t>
            </w:r>
            <w:proofErr w:type="spellEnd"/>
          </w:p>
          <w:p w14:paraId="2A3D3E98"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0A972916"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N</w:t>
            </w:r>
          </w:p>
        </w:tc>
        <w:tc>
          <w:tcPr>
            <w:tcW w:w="1134" w:type="dxa"/>
            <w:vAlign w:val="center"/>
          </w:tcPr>
          <w:p w14:paraId="640FD8A1"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1276" w:type="dxa"/>
            <w:vAlign w:val="center"/>
          </w:tcPr>
          <w:p w14:paraId="4EF675B3"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3</w:t>
            </w:r>
            <w:r>
              <w:rPr>
                <w:bCs/>
                <w:color w:val="000000" w:themeColor="text1"/>
                <w:sz w:val="20"/>
                <w:szCs w:val="20"/>
              </w:rPr>
              <w:t>4</w:t>
            </w:r>
          </w:p>
        </w:tc>
        <w:tc>
          <w:tcPr>
            <w:tcW w:w="1276" w:type="dxa"/>
            <w:vAlign w:val="center"/>
          </w:tcPr>
          <w:p w14:paraId="600E2C5E"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w:t>
            </w:r>
          </w:p>
        </w:tc>
        <w:tc>
          <w:tcPr>
            <w:tcW w:w="992" w:type="dxa"/>
            <w:vAlign w:val="center"/>
          </w:tcPr>
          <w:p w14:paraId="1AC8F1E9"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w:t>
            </w:r>
          </w:p>
        </w:tc>
        <w:tc>
          <w:tcPr>
            <w:tcW w:w="992" w:type="dxa"/>
          </w:tcPr>
          <w:p w14:paraId="29F5305E"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2</w:t>
            </w:r>
          </w:p>
        </w:tc>
        <w:tc>
          <w:tcPr>
            <w:tcW w:w="1001" w:type="dxa"/>
          </w:tcPr>
          <w:p w14:paraId="3E4D4CE2"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842" w:type="dxa"/>
            <w:vAlign w:val="center"/>
          </w:tcPr>
          <w:p w14:paraId="368B3F90"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36</w:t>
            </w:r>
          </w:p>
        </w:tc>
      </w:tr>
      <w:tr w:rsidR="002C1FC6" w14:paraId="5CA17678" w14:textId="77777777" w:rsidTr="003B3AC5">
        <w:trPr>
          <w:trHeight w:val="183"/>
        </w:trPr>
        <w:tc>
          <w:tcPr>
            <w:tcW w:w="993" w:type="dxa"/>
            <w:vMerge/>
            <w:tcBorders>
              <w:right w:val="single" w:sz="4" w:space="0" w:color="auto"/>
            </w:tcBorders>
          </w:tcPr>
          <w:p w14:paraId="3130DFD6"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3B07F028"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3A94F916"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 within groups</w:t>
            </w:r>
          </w:p>
        </w:tc>
        <w:tc>
          <w:tcPr>
            <w:tcW w:w="1134" w:type="dxa"/>
            <w:vAlign w:val="center"/>
          </w:tcPr>
          <w:p w14:paraId="00249092"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15CAE0C5" w14:textId="77777777" w:rsidR="002C1FC6" w:rsidRPr="00B92823" w:rsidRDefault="002C1FC6" w:rsidP="003B3AC5">
            <w:pPr>
              <w:tabs>
                <w:tab w:val="left" w:pos="284"/>
              </w:tabs>
              <w:jc w:val="right"/>
              <w:rPr>
                <w:b/>
                <w:color w:val="000000" w:themeColor="text1"/>
                <w:sz w:val="20"/>
                <w:szCs w:val="20"/>
              </w:rPr>
            </w:pPr>
            <w:r>
              <w:rPr>
                <w:b/>
                <w:color w:val="000000" w:themeColor="text1"/>
                <w:sz w:val="20"/>
                <w:szCs w:val="20"/>
              </w:rPr>
              <w:t>94</w:t>
            </w:r>
            <w:r w:rsidRPr="00B92823">
              <w:rPr>
                <w:b/>
                <w:color w:val="000000" w:themeColor="text1"/>
                <w:sz w:val="20"/>
                <w:szCs w:val="20"/>
              </w:rPr>
              <w:t>.</w:t>
            </w:r>
            <w:r>
              <w:rPr>
                <w:b/>
                <w:color w:val="000000" w:themeColor="text1"/>
                <w:sz w:val="20"/>
                <w:szCs w:val="20"/>
              </w:rPr>
              <w:t>4</w:t>
            </w:r>
            <w:r w:rsidRPr="00B92823">
              <w:rPr>
                <w:b/>
                <w:color w:val="000000" w:themeColor="text1"/>
                <w:sz w:val="20"/>
                <w:szCs w:val="20"/>
              </w:rPr>
              <w:t>%</w:t>
            </w:r>
          </w:p>
        </w:tc>
        <w:tc>
          <w:tcPr>
            <w:tcW w:w="1276" w:type="dxa"/>
            <w:vAlign w:val="center"/>
          </w:tcPr>
          <w:p w14:paraId="231DB418"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4592CC59"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2BB65743"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5.6</w:t>
            </w:r>
            <w:r w:rsidRPr="00B92823">
              <w:rPr>
                <w:bCs/>
                <w:color w:val="000000" w:themeColor="text1"/>
                <w:sz w:val="20"/>
                <w:szCs w:val="20"/>
              </w:rPr>
              <w:t>%</w:t>
            </w:r>
          </w:p>
        </w:tc>
        <w:tc>
          <w:tcPr>
            <w:tcW w:w="1001" w:type="dxa"/>
            <w:vAlign w:val="center"/>
          </w:tcPr>
          <w:p w14:paraId="0D3E7285" w14:textId="77777777" w:rsidR="002C1FC6" w:rsidRPr="00B272EC" w:rsidRDefault="002C1FC6" w:rsidP="003B3AC5">
            <w:pPr>
              <w:tabs>
                <w:tab w:val="left" w:pos="284"/>
              </w:tabs>
              <w:jc w:val="right"/>
              <w:rPr>
                <w:b/>
                <w:color w:val="000000" w:themeColor="text1"/>
                <w:sz w:val="20"/>
                <w:szCs w:val="20"/>
              </w:rPr>
            </w:pPr>
            <w:r w:rsidRPr="00B92823">
              <w:rPr>
                <w:bCs/>
                <w:color w:val="000000" w:themeColor="text1"/>
                <w:sz w:val="20"/>
                <w:szCs w:val="20"/>
              </w:rPr>
              <w:t>0.0%</w:t>
            </w:r>
          </w:p>
        </w:tc>
        <w:tc>
          <w:tcPr>
            <w:tcW w:w="842" w:type="dxa"/>
            <w:vAlign w:val="center"/>
          </w:tcPr>
          <w:p w14:paraId="2FBC0F3D"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100.0%</w:t>
            </w:r>
          </w:p>
        </w:tc>
      </w:tr>
      <w:tr w:rsidR="002C1FC6" w14:paraId="5C7A71D2" w14:textId="77777777" w:rsidTr="003B3AC5">
        <w:trPr>
          <w:trHeight w:val="183"/>
        </w:trPr>
        <w:tc>
          <w:tcPr>
            <w:tcW w:w="993" w:type="dxa"/>
            <w:vMerge/>
            <w:tcBorders>
              <w:right w:val="single" w:sz="4" w:space="0" w:color="auto"/>
            </w:tcBorders>
          </w:tcPr>
          <w:p w14:paraId="394AB53B"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021777E5"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595F4F67"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 within clusters</w:t>
            </w:r>
          </w:p>
        </w:tc>
        <w:tc>
          <w:tcPr>
            <w:tcW w:w="1134" w:type="dxa"/>
            <w:vAlign w:val="center"/>
          </w:tcPr>
          <w:p w14:paraId="3875F9A3"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20F6BD2E" w14:textId="77777777" w:rsidR="002C1FC6" w:rsidRPr="00B92823" w:rsidRDefault="002C1FC6" w:rsidP="003B3AC5">
            <w:pPr>
              <w:tabs>
                <w:tab w:val="left" w:pos="284"/>
              </w:tabs>
              <w:jc w:val="right"/>
              <w:rPr>
                <w:b/>
                <w:color w:val="000000" w:themeColor="text1"/>
                <w:sz w:val="20"/>
                <w:szCs w:val="20"/>
              </w:rPr>
            </w:pPr>
            <w:r>
              <w:rPr>
                <w:b/>
                <w:color w:val="000000" w:themeColor="text1"/>
                <w:sz w:val="20"/>
                <w:szCs w:val="20"/>
              </w:rPr>
              <w:t>58</w:t>
            </w:r>
            <w:r w:rsidRPr="00B92823">
              <w:rPr>
                <w:b/>
                <w:color w:val="000000" w:themeColor="text1"/>
                <w:sz w:val="20"/>
                <w:szCs w:val="20"/>
              </w:rPr>
              <w:t>.</w:t>
            </w:r>
            <w:r>
              <w:rPr>
                <w:b/>
                <w:color w:val="000000" w:themeColor="text1"/>
                <w:sz w:val="20"/>
                <w:szCs w:val="20"/>
              </w:rPr>
              <w:t>6</w:t>
            </w:r>
            <w:r w:rsidRPr="00B92823">
              <w:rPr>
                <w:b/>
                <w:color w:val="000000" w:themeColor="text1"/>
                <w:sz w:val="20"/>
                <w:szCs w:val="20"/>
              </w:rPr>
              <w:t>%</w:t>
            </w:r>
          </w:p>
        </w:tc>
        <w:tc>
          <w:tcPr>
            <w:tcW w:w="1276" w:type="dxa"/>
            <w:vAlign w:val="center"/>
          </w:tcPr>
          <w:p w14:paraId="34C454D2"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6AF6BE39"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16EC8AEB"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2.7</w:t>
            </w:r>
            <w:r w:rsidRPr="00B92823">
              <w:rPr>
                <w:bCs/>
                <w:color w:val="000000" w:themeColor="text1"/>
                <w:sz w:val="20"/>
                <w:szCs w:val="20"/>
              </w:rPr>
              <w:t>%</w:t>
            </w:r>
          </w:p>
        </w:tc>
        <w:tc>
          <w:tcPr>
            <w:tcW w:w="1001" w:type="dxa"/>
            <w:vAlign w:val="center"/>
          </w:tcPr>
          <w:p w14:paraId="0B9A16BE" w14:textId="77777777" w:rsidR="002C1FC6" w:rsidRPr="00B272EC" w:rsidRDefault="002C1FC6" w:rsidP="003B3AC5">
            <w:pPr>
              <w:tabs>
                <w:tab w:val="left" w:pos="284"/>
              </w:tabs>
              <w:jc w:val="right"/>
              <w:rPr>
                <w:b/>
                <w:color w:val="000000" w:themeColor="text1"/>
                <w:sz w:val="20"/>
                <w:szCs w:val="20"/>
              </w:rPr>
            </w:pPr>
            <w:r w:rsidRPr="00B92823">
              <w:rPr>
                <w:bCs/>
                <w:color w:val="000000" w:themeColor="text1"/>
                <w:sz w:val="20"/>
                <w:szCs w:val="20"/>
              </w:rPr>
              <w:t>0.0%</w:t>
            </w:r>
          </w:p>
        </w:tc>
        <w:tc>
          <w:tcPr>
            <w:tcW w:w="842" w:type="dxa"/>
            <w:vAlign w:val="center"/>
          </w:tcPr>
          <w:p w14:paraId="3167216F"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14.7%</w:t>
            </w:r>
          </w:p>
        </w:tc>
      </w:tr>
      <w:tr w:rsidR="002C1FC6" w14:paraId="6CCE2B25" w14:textId="77777777" w:rsidTr="003B3AC5">
        <w:trPr>
          <w:trHeight w:val="278"/>
        </w:trPr>
        <w:tc>
          <w:tcPr>
            <w:tcW w:w="993" w:type="dxa"/>
            <w:vMerge w:val="restart"/>
            <w:tcBorders>
              <w:right w:val="single" w:sz="4" w:space="0" w:color="auto"/>
            </w:tcBorders>
          </w:tcPr>
          <w:p w14:paraId="606D5E9A" w14:textId="77777777" w:rsidR="002C1FC6" w:rsidRPr="00921F07" w:rsidRDefault="002C1FC6" w:rsidP="003B3AC5">
            <w:pPr>
              <w:tabs>
                <w:tab w:val="left" w:pos="284"/>
              </w:tabs>
              <w:jc w:val="both"/>
              <w:rPr>
                <w:bCs/>
                <w:color w:val="000000" w:themeColor="text1"/>
                <w:sz w:val="20"/>
                <w:szCs w:val="20"/>
              </w:rPr>
            </w:pPr>
          </w:p>
        </w:tc>
        <w:tc>
          <w:tcPr>
            <w:tcW w:w="1418" w:type="dxa"/>
            <w:vMerge w:val="restart"/>
            <w:tcBorders>
              <w:left w:val="single" w:sz="4" w:space="0" w:color="auto"/>
              <w:right w:val="single" w:sz="4" w:space="0" w:color="auto"/>
            </w:tcBorders>
          </w:tcPr>
          <w:p w14:paraId="5ED32790" w14:textId="77777777" w:rsidR="002C1FC6" w:rsidRPr="007A3FE0" w:rsidRDefault="002C1FC6" w:rsidP="003B3AC5">
            <w:pPr>
              <w:tabs>
                <w:tab w:val="left" w:pos="284"/>
              </w:tabs>
              <w:rPr>
                <w:b/>
                <w:color w:val="000000" w:themeColor="text1"/>
                <w:sz w:val="20"/>
                <w:szCs w:val="20"/>
              </w:rPr>
            </w:pPr>
            <w:r>
              <w:rPr>
                <w:b/>
                <w:color w:val="000000" w:themeColor="text1"/>
                <w:sz w:val="20"/>
                <w:szCs w:val="20"/>
              </w:rPr>
              <w:t>Strategic green investors</w:t>
            </w:r>
          </w:p>
          <w:p w14:paraId="65A1B58C"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07BEADD4"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N</w:t>
            </w:r>
          </w:p>
        </w:tc>
        <w:tc>
          <w:tcPr>
            <w:tcW w:w="1134" w:type="dxa"/>
            <w:vAlign w:val="center"/>
          </w:tcPr>
          <w:p w14:paraId="391F5C0F"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1276" w:type="dxa"/>
            <w:vAlign w:val="center"/>
          </w:tcPr>
          <w:p w14:paraId="031B6E37"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1276" w:type="dxa"/>
            <w:vAlign w:val="center"/>
          </w:tcPr>
          <w:p w14:paraId="4E5FE163"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9</w:t>
            </w:r>
          </w:p>
        </w:tc>
        <w:tc>
          <w:tcPr>
            <w:tcW w:w="992" w:type="dxa"/>
            <w:vAlign w:val="center"/>
          </w:tcPr>
          <w:p w14:paraId="4F566FA7"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5</w:t>
            </w:r>
          </w:p>
        </w:tc>
        <w:tc>
          <w:tcPr>
            <w:tcW w:w="992" w:type="dxa"/>
          </w:tcPr>
          <w:p w14:paraId="42063E99"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29</w:t>
            </w:r>
          </w:p>
        </w:tc>
        <w:tc>
          <w:tcPr>
            <w:tcW w:w="1001" w:type="dxa"/>
          </w:tcPr>
          <w:p w14:paraId="049C40C3"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842" w:type="dxa"/>
            <w:vAlign w:val="center"/>
          </w:tcPr>
          <w:p w14:paraId="796D2FC2"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45</w:t>
            </w:r>
          </w:p>
        </w:tc>
      </w:tr>
      <w:tr w:rsidR="002C1FC6" w14:paraId="505E6381" w14:textId="77777777" w:rsidTr="003B3AC5">
        <w:trPr>
          <w:trHeight w:val="276"/>
        </w:trPr>
        <w:tc>
          <w:tcPr>
            <w:tcW w:w="993" w:type="dxa"/>
            <w:vMerge/>
            <w:tcBorders>
              <w:right w:val="single" w:sz="4" w:space="0" w:color="auto"/>
            </w:tcBorders>
          </w:tcPr>
          <w:p w14:paraId="3C5A2C71"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6A67CA95"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2AD3A6AC"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 within groups</w:t>
            </w:r>
          </w:p>
        </w:tc>
        <w:tc>
          <w:tcPr>
            <w:tcW w:w="1134" w:type="dxa"/>
            <w:vAlign w:val="center"/>
          </w:tcPr>
          <w:p w14:paraId="14ADE795"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6E9A0376"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2583B8E2" w14:textId="77777777" w:rsidR="002C1FC6" w:rsidRPr="00E145C5" w:rsidRDefault="002C1FC6" w:rsidP="003B3AC5">
            <w:pPr>
              <w:tabs>
                <w:tab w:val="left" w:pos="284"/>
              </w:tabs>
              <w:jc w:val="right"/>
              <w:rPr>
                <w:b/>
                <w:color w:val="000000" w:themeColor="text1"/>
                <w:sz w:val="20"/>
                <w:szCs w:val="20"/>
              </w:rPr>
            </w:pPr>
            <w:r w:rsidRPr="00E145C5">
              <w:rPr>
                <w:b/>
                <w:color w:val="000000" w:themeColor="text1"/>
                <w:sz w:val="20"/>
                <w:szCs w:val="20"/>
                <w:lang w:val="el-GR"/>
              </w:rPr>
              <w:t>20.9</w:t>
            </w:r>
            <w:r w:rsidRPr="00E145C5">
              <w:rPr>
                <w:b/>
                <w:color w:val="000000" w:themeColor="text1"/>
                <w:sz w:val="20"/>
                <w:szCs w:val="20"/>
              </w:rPr>
              <w:t>%</w:t>
            </w:r>
          </w:p>
        </w:tc>
        <w:tc>
          <w:tcPr>
            <w:tcW w:w="992" w:type="dxa"/>
            <w:vAlign w:val="center"/>
          </w:tcPr>
          <w:p w14:paraId="4958890C"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11.6</w:t>
            </w:r>
            <w:r w:rsidRPr="00B92823">
              <w:rPr>
                <w:bCs/>
                <w:color w:val="000000" w:themeColor="text1"/>
                <w:sz w:val="20"/>
                <w:szCs w:val="20"/>
              </w:rPr>
              <w:t>%</w:t>
            </w:r>
          </w:p>
        </w:tc>
        <w:tc>
          <w:tcPr>
            <w:tcW w:w="992" w:type="dxa"/>
            <w:vAlign w:val="center"/>
          </w:tcPr>
          <w:p w14:paraId="648E6E1E"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67.4</w:t>
            </w:r>
            <w:r w:rsidRPr="00B92823">
              <w:rPr>
                <w:bCs/>
                <w:color w:val="000000" w:themeColor="text1"/>
                <w:sz w:val="20"/>
                <w:szCs w:val="20"/>
              </w:rPr>
              <w:t>%</w:t>
            </w:r>
          </w:p>
        </w:tc>
        <w:tc>
          <w:tcPr>
            <w:tcW w:w="1001" w:type="dxa"/>
            <w:vAlign w:val="center"/>
          </w:tcPr>
          <w:p w14:paraId="47237028"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359280A7"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100.0%</w:t>
            </w:r>
          </w:p>
        </w:tc>
      </w:tr>
      <w:tr w:rsidR="002C1FC6" w14:paraId="27E3D834" w14:textId="77777777" w:rsidTr="003B3AC5">
        <w:trPr>
          <w:trHeight w:val="276"/>
        </w:trPr>
        <w:tc>
          <w:tcPr>
            <w:tcW w:w="993" w:type="dxa"/>
            <w:vMerge/>
            <w:tcBorders>
              <w:right w:val="single" w:sz="4" w:space="0" w:color="auto"/>
            </w:tcBorders>
          </w:tcPr>
          <w:p w14:paraId="501C27BA"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632CD892"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4A7D3640"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 within clusters</w:t>
            </w:r>
          </w:p>
        </w:tc>
        <w:tc>
          <w:tcPr>
            <w:tcW w:w="1134" w:type="dxa"/>
            <w:vAlign w:val="center"/>
          </w:tcPr>
          <w:p w14:paraId="40970D97"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7DF1399C"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2A3C1B1F" w14:textId="77777777" w:rsidR="002C1FC6" w:rsidRPr="00E145C5" w:rsidRDefault="002C1FC6" w:rsidP="003B3AC5">
            <w:pPr>
              <w:tabs>
                <w:tab w:val="left" w:pos="284"/>
              </w:tabs>
              <w:jc w:val="right"/>
              <w:rPr>
                <w:b/>
                <w:color w:val="000000" w:themeColor="text1"/>
                <w:sz w:val="20"/>
                <w:szCs w:val="20"/>
              </w:rPr>
            </w:pPr>
            <w:r w:rsidRPr="00E145C5">
              <w:rPr>
                <w:b/>
                <w:color w:val="000000" w:themeColor="text1"/>
                <w:sz w:val="20"/>
                <w:szCs w:val="20"/>
                <w:lang w:val="el-GR"/>
              </w:rPr>
              <w:t>100</w:t>
            </w:r>
            <w:r w:rsidRPr="00E145C5">
              <w:rPr>
                <w:b/>
                <w:color w:val="000000" w:themeColor="text1"/>
                <w:sz w:val="20"/>
                <w:szCs w:val="20"/>
              </w:rPr>
              <w:t>.0%</w:t>
            </w:r>
          </w:p>
        </w:tc>
        <w:tc>
          <w:tcPr>
            <w:tcW w:w="992" w:type="dxa"/>
            <w:vAlign w:val="center"/>
          </w:tcPr>
          <w:p w14:paraId="5EE93B11"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46.7</w:t>
            </w:r>
            <w:r w:rsidRPr="00B92823">
              <w:rPr>
                <w:bCs/>
                <w:color w:val="000000" w:themeColor="text1"/>
                <w:sz w:val="20"/>
                <w:szCs w:val="20"/>
              </w:rPr>
              <w:t>%</w:t>
            </w:r>
          </w:p>
        </w:tc>
        <w:tc>
          <w:tcPr>
            <w:tcW w:w="992" w:type="dxa"/>
            <w:vAlign w:val="center"/>
          </w:tcPr>
          <w:p w14:paraId="348BEDF8"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39.2</w:t>
            </w:r>
            <w:r w:rsidRPr="00B92823">
              <w:rPr>
                <w:bCs/>
                <w:color w:val="000000" w:themeColor="text1"/>
                <w:sz w:val="20"/>
                <w:szCs w:val="20"/>
              </w:rPr>
              <w:t>%</w:t>
            </w:r>
          </w:p>
        </w:tc>
        <w:tc>
          <w:tcPr>
            <w:tcW w:w="1001" w:type="dxa"/>
            <w:vAlign w:val="center"/>
          </w:tcPr>
          <w:p w14:paraId="7735010E"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47767E9B"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18.4%</w:t>
            </w:r>
          </w:p>
        </w:tc>
      </w:tr>
      <w:tr w:rsidR="002C1FC6" w14:paraId="0EF610E3" w14:textId="77777777" w:rsidTr="003B3AC5">
        <w:trPr>
          <w:trHeight w:val="184"/>
        </w:trPr>
        <w:tc>
          <w:tcPr>
            <w:tcW w:w="993" w:type="dxa"/>
            <w:vMerge w:val="restart"/>
            <w:tcBorders>
              <w:right w:val="single" w:sz="4" w:space="0" w:color="auto"/>
            </w:tcBorders>
          </w:tcPr>
          <w:p w14:paraId="6AE9F8D6" w14:textId="77777777" w:rsidR="002C1FC6" w:rsidRPr="00921F07" w:rsidRDefault="002C1FC6" w:rsidP="003B3AC5">
            <w:pPr>
              <w:tabs>
                <w:tab w:val="left" w:pos="284"/>
              </w:tabs>
              <w:jc w:val="both"/>
              <w:rPr>
                <w:bCs/>
                <w:color w:val="000000" w:themeColor="text1"/>
                <w:sz w:val="20"/>
                <w:szCs w:val="20"/>
              </w:rPr>
            </w:pPr>
          </w:p>
        </w:tc>
        <w:tc>
          <w:tcPr>
            <w:tcW w:w="1418" w:type="dxa"/>
            <w:vMerge w:val="restart"/>
            <w:tcBorders>
              <w:left w:val="single" w:sz="4" w:space="0" w:color="auto"/>
              <w:right w:val="single" w:sz="4" w:space="0" w:color="auto"/>
            </w:tcBorders>
          </w:tcPr>
          <w:p w14:paraId="2CFC218E" w14:textId="77777777" w:rsidR="002C1FC6" w:rsidRPr="007A3FE0" w:rsidRDefault="002C1FC6" w:rsidP="003B3AC5">
            <w:pPr>
              <w:tabs>
                <w:tab w:val="left" w:pos="284"/>
              </w:tabs>
              <w:rPr>
                <w:b/>
                <w:color w:val="000000" w:themeColor="text1"/>
                <w:sz w:val="20"/>
                <w:szCs w:val="20"/>
              </w:rPr>
            </w:pPr>
            <w:r>
              <w:rPr>
                <w:b/>
                <w:color w:val="000000" w:themeColor="text1"/>
                <w:sz w:val="20"/>
                <w:szCs w:val="20"/>
              </w:rPr>
              <w:t>Opportunistic green i</w:t>
            </w:r>
            <w:r w:rsidRPr="007A3FE0">
              <w:rPr>
                <w:b/>
                <w:color w:val="000000" w:themeColor="text1"/>
                <w:sz w:val="20"/>
                <w:szCs w:val="20"/>
              </w:rPr>
              <w:t>nvestors</w:t>
            </w:r>
          </w:p>
          <w:p w14:paraId="5FA00925"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198BB200"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N</w:t>
            </w:r>
          </w:p>
        </w:tc>
        <w:tc>
          <w:tcPr>
            <w:tcW w:w="1134" w:type="dxa"/>
            <w:vAlign w:val="center"/>
          </w:tcPr>
          <w:p w14:paraId="1F387083" w14:textId="77777777" w:rsidR="002C1FC6" w:rsidRPr="00B3266B" w:rsidRDefault="002C1FC6" w:rsidP="003B3AC5">
            <w:pPr>
              <w:tabs>
                <w:tab w:val="left" w:pos="284"/>
              </w:tabs>
              <w:jc w:val="right"/>
              <w:rPr>
                <w:bCs/>
                <w:color w:val="000000" w:themeColor="text1"/>
                <w:sz w:val="20"/>
                <w:szCs w:val="20"/>
                <w:lang w:val="el-GR"/>
              </w:rPr>
            </w:pPr>
            <w:r>
              <w:rPr>
                <w:bCs/>
                <w:color w:val="000000" w:themeColor="text1"/>
                <w:sz w:val="20"/>
                <w:szCs w:val="20"/>
                <w:lang w:val="el-GR"/>
              </w:rPr>
              <w:t>1</w:t>
            </w:r>
          </w:p>
        </w:tc>
        <w:tc>
          <w:tcPr>
            <w:tcW w:w="1276" w:type="dxa"/>
            <w:vAlign w:val="center"/>
          </w:tcPr>
          <w:p w14:paraId="53410224" w14:textId="77777777" w:rsidR="002C1FC6" w:rsidRPr="00B3266B"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1276" w:type="dxa"/>
            <w:vAlign w:val="center"/>
          </w:tcPr>
          <w:p w14:paraId="7FFC13E3" w14:textId="77777777" w:rsidR="002C1FC6" w:rsidRPr="00B3266B"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992" w:type="dxa"/>
            <w:vAlign w:val="center"/>
          </w:tcPr>
          <w:p w14:paraId="0493F27D" w14:textId="77777777" w:rsidR="002C1FC6" w:rsidRPr="00B3266B" w:rsidRDefault="002C1FC6" w:rsidP="003B3AC5">
            <w:pPr>
              <w:tabs>
                <w:tab w:val="left" w:pos="284"/>
              </w:tabs>
              <w:jc w:val="right"/>
              <w:rPr>
                <w:bCs/>
                <w:color w:val="000000" w:themeColor="text1"/>
                <w:sz w:val="20"/>
                <w:szCs w:val="20"/>
                <w:lang w:val="el-GR"/>
              </w:rPr>
            </w:pPr>
            <w:r>
              <w:rPr>
                <w:bCs/>
                <w:color w:val="000000" w:themeColor="text1"/>
                <w:sz w:val="20"/>
                <w:szCs w:val="20"/>
                <w:lang w:val="el-GR"/>
              </w:rPr>
              <w:t>7</w:t>
            </w:r>
          </w:p>
        </w:tc>
        <w:tc>
          <w:tcPr>
            <w:tcW w:w="992" w:type="dxa"/>
          </w:tcPr>
          <w:p w14:paraId="3ACA6506" w14:textId="77777777" w:rsidR="002C1FC6" w:rsidRPr="00B3266B"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1001" w:type="dxa"/>
          </w:tcPr>
          <w:p w14:paraId="01927931" w14:textId="77777777" w:rsidR="002C1FC6" w:rsidRPr="00B3266B"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842" w:type="dxa"/>
            <w:vAlign w:val="center"/>
          </w:tcPr>
          <w:p w14:paraId="6B3FF064"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8</w:t>
            </w:r>
          </w:p>
        </w:tc>
      </w:tr>
      <w:tr w:rsidR="002C1FC6" w14:paraId="6BA9EFE1" w14:textId="77777777" w:rsidTr="003B3AC5">
        <w:trPr>
          <w:trHeight w:val="183"/>
        </w:trPr>
        <w:tc>
          <w:tcPr>
            <w:tcW w:w="993" w:type="dxa"/>
            <w:vMerge/>
            <w:tcBorders>
              <w:right w:val="single" w:sz="4" w:space="0" w:color="auto"/>
            </w:tcBorders>
          </w:tcPr>
          <w:p w14:paraId="10F28A57"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43B1F616"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1D3A729A"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 within groups</w:t>
            </w:r>
          </w:p>
        </w:tc>
        <w:tc>
          <w:tcPr>
            <w:tcW w:w="1134" w:type="dxa"/>
            <w:vAlign w:val="center"/>
          </w:tcPr>
          <w:p w14:paraId="664B31CB"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12.5</w:t>
            </w:r>
            <w:r w:rsidRPr="00B92823">
              <w:rPr>
                <w:bCs/>
                <w:color w:val="000000" w:themeColor="text1"/>
                <w:sz w:val="20"/>
                <w:szCs w:val="20"/>
              </w:rPr>
              <w:t>%</w:t>
            </w:r>
          </w:p>
        </w:tc>
        <w:tc>
          <w:tcPr>
            <w:tcW w:w="1276" w:type="dxa"/>
            <w:vAlign w:val="center"/>
          </w:tcPr>
          <w:p w14:paraId="6DC22D42"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4D4F2820"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70C323B8" w14:textId="77777777" w:rsidR="002C1FC6" w:rsidRPr="00B92823" w:rsidRDefault="002C1FC6" w:rsidP="003B3AC5">
            <w:pPr>
              <w:tabs>
                <w:tab w:val="left" w:pos="284"/>
              </w:tabs>
              <w:jc w:val="right"/>
              <w:rPr>
                <w:b/>
                <w:color w:val="000000" w:themeColor="text1"/>
                <w:sz w:val="20"/>
                <w:szCs w:val="20"/>
              </w:rPr>
            </w:pPr>
            <w:r>
              <w:rPr>
                <w:b/>
                <w:color w:val="000000" w:themeColor="text1"/>
                <w:sz w:val="20"/>
                <w:szCs w:val="20"/>
                <w:lang w:val="el-GR"/>
              </w:rPr>
              <w:t>87.5</w:t>
            </w:r>
            <w:r w:rsidRPr="00B92823">
              <w:rPr>
                <w:b/>
                <w:color w:val="000000" w:themeColor="text1"/>
                <w:sz w:val="20"/>
                <w:szCs w:val="20"/>
              </w:rPr>
              <w:t>%</w:t>
            </w:r>
          </w:p>
        </w:tc>
        <w:tc>
          <w:tcPr>
            <w:tcW w:w="992" w:type="dxa"/>
            <w:vAlign w:val="center"/>
          </w:tcPr>
          <w:p w14:paraId="093E50B8"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001" w:type="dxa"/>
            <w:vAlign w:val="center"/>
          </w:tcPr>
          <w:p w14:paraId="36AB5486"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65D65C90"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100.0%</w:t>
            </w:r>
          </w:p>
        </w:tc>
      </w:tr>
      <w:tr w:rsidR="002C1FC6" w14:paraId="4473BA5F" w14:textId="77777777" w:rsidTr="003B3AC5">
        <w:trPr>
          <w:trHeight w:val="183"/>
        </w:trPr>
        <w:tc>
          <w:tcPr>
            <w:tcW w:w="993" w:type="dxa"/>
            <w:vMerge/>
            <w:tcBorders>
              <w:right w:val="single" w:sz="4" w:space="0" w:color="auto"/>
            </w:tcBorders>
          </w:tcPr>
          <w:p w14:paraId="71647655"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361C94CA" w14:textId="77777777" w:rsidR="002C1FC6" w:rsidRPr="007A3FE0" w:rsidRDefault="002C1FC6" w:rsidP="003B3AC5">
            <w:pPr>
              <w:tabs>
                <w:tab w:val="left" w:pos="284"/>
              </w:tabs>
              <w:rPr>
                <w:b/>
                <w:color w:val="000000" w:themeColor="text1"/>
                <w:sz w:val="20"/>
                <w:szCs w:val="20"/>
              </w:rPr>
            </w:pPr>
          </w:p>
        </w:tc>
        <w:tc>
          <w:tcPr>
            <w:tcW w:w="992" w:type="dxa"/>
            <w:tcBorders>
              <w:left w:val="single" w:sz="4" w:space="0" w:color="auto"/>
            </w:tcBorders>
          </w:tcPr>
          <w:p w14:paraId="0184D13E" w14:textId="77777777" w:rsidR="002C1FC6" w:rsidRPr="00921F07" w:rsidRDefault="002C1FC6" w:rsidP="003B3AC5">
            <w:pPr>
              <w:tabs>
                <w:tab w:val="left" w:pos="284"/>
              </w:tabs>
              <w:rPr>
                <w:b/>
                <w:color w:val="000000" w:themeColor="text1"/>
                <w:sz w:val="20"/>
                <w:szCs w:val="20"/>
              </w:rPr>
            </w:pPr>
            <w:r w:rsidRPr="00921F07">
              <w:rPr>
                <w:bCs/>
                <w:color w:val="000000" w:themeColor="text1"/>
                <w:sz w:val="20"/>
                <w:szCs w:val="20"/>
              </w:rPr>
              <w:t>% within clusters</w:t>
            </w:r>
          </w:p>
        </w:tc>
        <w:tc>
          <w:tcPr>
            <w:tcW w:w="1134" w:type="dxa"/>
            <w:vAlign w:val="center"/>
          </w:tcPr>
          <w:p w14:paraId="5F5BF26A"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1.7</w:t>
            </w:r>
            <w:r w:rsidRPr="00B92823">
              <w:rPr>
                <w:bCs/>
                <w:color w:val="000000" w:themeColor="text1"/>
                <w:sz w:val="20"/>
                <w:szCs w:val="20"/>
              </w:rPr>
              <w:t>%</w:t>
            </w:r>
          </w:p>
        </w:tc>
        <w:tc>
          <w:tcPr>
            <w:tcW w:w="1276" w:type="dxa"/>
            <w:vAlign w:val="center"/>
          </w:tcPr>
          <w:p w14:paraId="656FC3DE"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0BBA0E84"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7BCBA2E2" w14:textId="77777777" w:rsidR="002C1FC6" w:rsidRPr="00B92823" w:rsidRDefault="002C1FC6" w:rsidP="003B3AC5">
            <w:pPr>
              <w:tabs>
                <w:tab w:val="left" w:pos="284"/>
              </w:tabs>
              <w:jc w:val="right"/>
              <w:rPr>
                <w:b/>
                <w:color w:val="000000" w:themeColor="text1"/>
                <w:sz w:val="20"/>
                <w:szCs w:val="20"/>
              </w:rPr>
            </w:pPr>
            <w:r>
              <w:rPr>
                <w:b/>
                <w:color w:val="000000" w:themeColor="text1"/>
                <w:sz w:val="20"/>
                <w:szCs w:val="20"/>
                <w:lang w:val="el-GR"/>
              </w:rPr>
              <w:t>58.3</w:t>
            </w:r>
            <w:r w:rsidRPr="00B92823">
              <w:rPr>
                <w:b/>
                <w:color w:val="000000" w:themeColor="text1"/>
                <w:sz w:val="20"/>
                <w:szCs w:val="20"/>
              </w:rPr>
              <w:t>%</w:t>
            </w:r>
          </w:p>
        </w:tc>
        <w:tc>
          <w:tcPr>
            <w:tcW w:w="992" w:type="dxa"/>
            <w:vAlign w:val="center"/>
          </w:tcPr>
          <w:p w14:paraId="4E34BC80"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001" w:type="dxa"/>
            <w:vAlign w:val="center"/>
          </w:tcPr>
          <w:p w14:paraId="583052D7"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50E6E1DD"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3.3</w:t>
            </w:r>
            <w:r w:rsidRPr="00B92823">
              <w:rPr>
                <w:bCs/>
                <w:color w:val="000000" w:themeColor="text1"/>
                <w:sz w:val="20"/>
                <w:szCs w:val="20"/>
              </w:rPr>
              <w:t>%</w:t>
            </w:r>
          </w:p>
        </w:tc>
      </w:tr>
      <w:tr w:rsidR="002C1FC6" w14:paraId="48517674" w14:textId="77777777" w:rsidTr="003B3AC5">
        <w:tc>
          <w:tcPr>
            <w:tcW w:w="993" w:type="dxa"/>
            <w:tcBorders>
              <w:right w:val="single" w:sz="4" w:space="0" w:color="auto"/>
            </w:tcBorders>
          </w:tcPr>
          <w:p w14:paraId="26C1953F" w14:textId="77777777" w:rsidR="002C1FC6" w:rsidRPr="00921F07" w:rsidRDefault="002C1FC6" w:rsidP="003B3AC5">
            <w:pPr>
              <w:tabs>
                <w:tab w:val="left" w:pos="284"/>
              </w:tabs>
              <w:jc w:val="both"/>
              <w:rPr>
                <w:bCs/>
                <w:color w:val="000000" w:themeColor="text1"/>
                <w:sz w:val="20"/>
                <w:szCs w:val="20"/>
              </w:rPr>
            </w:pPr>
          </w:p>
        </w:tc>
        <w:tc>
          <w:tcPr>
            <w:tcW w:w="1418" w:type="dxa"/>
            <w:vMerge w:val="restart"/>
            <w:tcBorders>
              <w:left w:val="single" w:sz="4" w:space="0" w:color="auto"/>
              <w:right w:val="single" w:sz="4" w:space="0" w:color="auto"/>
            </w:tcBorders>
          </w:tcPr>
          <w:p w14:paraId="6B875758" w14:textId="77777777" w:rsidR="002C1FC6" w:rsidRPr="007A3FE0" w:rsidRDefault="002C1FC6" w:rsidP="003B3AC5">
            <w:pPr>
              <w:tabs>
                <w:tab w:val="left" w:pos="284"/>
              </w:tabs>
              <w:rPr>
                <w:b/>
                <w:color w:val="000000" w:themeColor="text1"/>
                <w:sz w:val="20"/>
                <w:szCs w:val="20"/>
              </w:rPr>
            </w:pPr>
            <w:r>
              <w:rPr>
                <w:b/>
                <w:color w:val="000000" w:themeColor="text1"/>
                <w:sz w:val="20"/>
                <w:szCs w:val="20"/>
              </w:rPr>
              <w:t>Cautious green investors</w:t>
            </w:r>
          </w:p>
          <w:p w14:paraId="422EB36B" w14:textId="77777777" w:rsidR="002C1FC6" w:rsidRPr="007A3FE0" w:rsidRDefault="002C1FC6" w:rsidP="003B3AC5">
            <w:pPr>
              <w:tabs>
                <w:tab w:val="left" w:pos="284"/>
              </w:tabs>
              <w:rPr>
                <w:b/>
                <w:color w:val="000000" w:themeColor="text1"/>
              </w:rPr>
            </w:pPr>
          </w:p>
        </w:tc>
        <w:tc>
          <w:tcPr>
            <w:tcW w:w="992" w:type="dxa"/>
            <w:tcBorders>
              <w:left w:val="single" w:sz="4" w:space="0" w:color="auto"/>
            </w:tcBorders>
          </w:tcPr>
          <w:p w14:paraId="14A5F1A8"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N</w:t>
            </w:r>
          </w:p>
        </w:tc>
        <w:tc>
          <w:tcPr>
            <w:tcW w:w="1134" w:type="dxa"/>
            <w:vAlign w:val="center"/>
          </w:tcPr>
          <w:p w14:paraId="3D346F15" w14:textId="77777777" w:rsidR="002C1FC6" w:rsidRPr="00204A67" w:rsidRDefault="002C1FC6" w:rsidP="003B3AC5">
            <w:pPr>
              <w:tabs>
                <w:tab w:val="left" w:pos="284"/>
              </w:tabs>
              <w:jc w:val="right"/>
              <w:rPr>
                <w:bCs/>
                <w:color w:val="000000" w:themeColor="text1"/>
                <w:sz w:val="20"/>
                <w:szCs w:val="20"/>
                <w:lang w:val="el-GR"/>
              </w:rPr>
            </w:pPr>
            <w:r>
              <w:rPr>
                <w:bCs/>
                <w:color w:val="000000" w:themeColor="text1"/>
                <w:sz w:val="20"/>
                <w:szCs w:val="20"/>
                <w:lang w:val="el-GR"/>
              </w:rPr>
              <w:t>7</w:t>
            </w:r>
          </w:p>
        </w:tc>
        <w:tc>
          <w:tcPr>
            <w:tcW w:w="1276" w:type="dxa"/>
            <w:vAlign w:val="center"/>
          </w:tcPr>
          <w:p w14:paraId="1F96432F" w14:textId="77777777" w:rsidR="002C1FC6" w:rsidRPr="00204A67"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1276" w:type="dxa"/>
            <w:vAlign w:val="center"/>
          </w:tcPr>
          <w:p w14:paraId="629C31A5" w14:textId="77777777" w:rsidR="002C1FC6" w:rsidRPr="00204A67"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992" w:type="dxa"/>
            <w:vAlign w:val="center"/>
          </w:tcPr>
          <w:p w14:paraId="1D298366" w14:textId="77777777" w:rsidR="002C1FC6" w:rsidRPr="00204A67"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992" w:type="dxa"/>
          </w:tcPr>
          <w:p w14:paraId="5CA2AE94" w14:textId="77777777" w:rsidR="002C1FC6" w:rsidRPr="00204A67" w:rsidRDefault="002C1FC6" w:rsidP="003B3AC5">
            <w:pPr>
              <w:tabs>
                <w:tab w:val="left" w:pos="284"/>
              </w:tabs>
              <w:jc w:val="right"/>
              <w:rPr>
                <w:bCs/>
                <w:color w:val="000000" w:themeColor="text1"/>
                <w:sz w:val="20"/>
                <w:szCs w:val="20"/>
                <w:lang w:val="el-GR"/>
              </w:rPr>
            </w:pPr>
            <w:r>
              <w:rPr>
                <w:bCs/>
                <w:color w:val="000000" w:themeColor="text1"/>
                <w:sz w:val="20"/>
                <w:szCs w:val="20"/>
                <w:lang w:val="el-GR"/>
              </w:rPr>
              <w:t>43</w:t>
            </w:r>
          </w:p>
        </w:tc>
        <w:tc>
          <w:tcPr>
            <w:tcW w:w="1001" w:type="dxa"/>
          </w:tcPr>
          <w:p w14:paraId="68104B64" w14:textId="77777777" w:rsidR="002C1FC6" w:rsidRPr="00204A67" w:rsidRDefault="002C1FC6" w:rsidP="003B3AC5">
            <w:pPr>
              <w:tabs>
                <w:tab w:val="left" w:pos="284"/>
              </w:tabs>
              <w:jc w:val="right"/>
              <w:rPr>
                <w:bCs/>
                <w:color w:val="000000" w:themeColor="text1"/>
                <w:sz w:val="20"/>
                <w:szCs w:val="20"/>
                <w:lang w:val="el-GR"/>
              </w:rPr>
            </w:pPr>
            <w:r>
              <w:rPr>
                <w:bCs/>
                <w:color w:val="000000" w:themeColor="text1"/>
                <w:sz w:val="20"/>
                <w:szCs w:val="20"/>
                <w:lang w:val="el-GR"/>
              </w:rPr>
              <w:t>0</w:t>
            </w:r>
          </w:p>
        </w:tc>
        <w:tc>
          <w:tcPr>
            <w:tcW w:w="842" w:type="dxa"/>
            <w:vAlign w:val="center"/>
          </w:tcPr>
          <w:p w14:paraId="54291D2F" w14:textId="77777777" w:rsidR="002C1FC6" w:rsidRPr="00204A67" w:rsidRDefault="002C1FC6" w:rsidP="003B3AC5">
            <w:pPr>
              <w:tabs>
                <w:tab w:val="left" w:pos="284"/>
              </w:tabs>
              <w:jc w:val="right"/>
              <w:rPr>
                <w:bCs/>
                <w:color w:val="000000" w:themeColor="text1"/>
                <w:sz w:val="20"/>
                <w:szCs w:val="20"/>
                <w:lang w:val="el-GR"/>
              </w:rPr>
            </w:pPr>
            <w:r>
              <w:rPr>
                <w:bCs/>
                <w:color w:val="000000" w:themeColor="text1"/>
                <w:sz w:val="20"/>
                <w:szCs w:val="20"/>
                <w:lang w:val="el-GR"/>
              </w:rPr>
              <w:t>50</w:t>
            </w:r>
          </w:p>
        </w:tc>
      </w:tr>
      <w:tr w:rsidR="002C1FC6" w14:paraId="4E54BD0F" w14:textId="77777777" w:rsidTr="003B3AC5">
        <w:tc>
          <w:tcPr>
            <w:tcW w:w="993" w:type="dxa"/>
            <w:tcBorders>
              <w:right w:val="single" w:sz="4" w:space="0" w:color="auto"/>
            </w:tcBorders>
          </w:tcPr>
          <w:p w14:paraId="783A2CEF"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6ADAC322" w14:textId="77777777" w:rsidR="002C1FC6" w:rsidRPr="007A3FE0" w:rsidRDefault="002C1FC6" w:rsidP="003B3AC5">
            <w:pPr>
              <w:tabs>
                <w:tab w:val="left" w:pos="284"/>
              </w:tabs>
              <w:rPr>
                <w:b/>
                <w:color w:val="000000" w:themeColor="text1"/>
              </w:rPr>
            </w:pPr>
          </w:p>
        </w:tc>
        <w:tc>
          <w:tcPr>
            <w:tcW w:w="992" w:type="dxa"/>
            <w:tcBorders>
              <w:left w:val="single" w:sz="4" w:space="0" w:color="auto"/>
            </w:tcBorders>
          </w:tcPr>
          <w:p w14:paraId="657CE85C"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 within groups</w:t>
            </w:r>
          </w:p>
        </w:tc>
        <w:tc>
          <w:tcPr>
            <w:tcW w:w="1134" w:type="dxa"/>
            <w:vAlign w:val="center"/>
          </w:tcPr>
          <w:p w14:paraId="03EAF8C1"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14</w:t>
            </w:r>
            <w:r w:rsidRPr="00B92823">
              <w:rPr>
                <w:bCs/>
                <w:color w:val="000000" w:themeColor="text1"/>
                <w:sz w:val="20"/>
                <w:szCs w:val="20"/>
              </w:rPr>
              <w:t>.0%</w:t>
            </w:r>
          </w:p>
        </w:tc>
        <w:tc>
          <w:tcPr>
            <w:tcW w:w="1276" w:type="dxa"/>
            <w:vAlign w:val="center"/>
          </w:tcPr>
          <w:p w14:paraId="6855A3BB"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38772FCD"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4F719068"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52BDC3D1" w14:textId="77777777" w:rsidR="002C1FC6" w:rsidRPr="00B3266B" w:rsidRDefault="002C1FC6" w:rsidP="003B3AC5">
            <w:pPr>
              <w:tabs>
                <w:tab w:val="left" w:pos="284"/>
              </w:tabs>
              <w:jc w:val="right"/>
              <w:rPr>
                <w:b/>
                <w:color w:val="000000" w:themeColor="text1"/>
                <w:sz w:val="20"/>
                <w:szCs w:val="20"/>
              </w:rPr>
            </w:pPr>
            <w:r w:rsidRPr="00B3266B">
              <w:rPr>
                <w:b/>
                <w:color w:val="000000" w:themeColor="text1"/>
                <w:sz w:val="20"/>
                <w:szCs w:val="20"/>
                <w:lang w:val="el-GR"/>
              </w:rPr>
              <w:t>86</w:t>
            </w:r>
            <w:r w:rsidRPr="00B3266B">
              <w:rPr>
                <w:b/>
                <w:color w:val="000000" w:themeColor="text1"/>
                <w:sz w:val="20"/>
                <w:szCs w:val="20"/>
              </w:rPr>
              <w:t>.0%</w:t>
            </w:r>
          </w:p>
        </w:tc>
        <w:tc>
          <w:tcPr>
            <w:tcW w:w="1001" w:type="dxa"/>
            <w:vAlign w:val="center"/>
          </w:tcPr>
          <w:p w14:paraId="550E0131"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15508D98"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100.0%</w:t>
            </w:r>
          </w:p>
        </w:tc>
      </w:tr>
      <w:tr w:rsidR="002C1FC6" w14:paraId="775A90D4" w14:textId="77777777" w:rsidTr="003B3AC5">
        <w:tc>
          <w:tcPr>
            <w:tcW w:w="993" w:type="dxa"/>
            <w:tcBorders>
              <w:right w:val="single" w:sz="4" w:space="0" w:color="auto"/>
            </w:tcBorders>
          </w:tcPr>
          <w:p w14:paraId="23E5D52C"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432FC1F7" w14:textId="77777777" w:rsidR="002C1FC6" w:rsidRPr="007A3FE0" w:rsidRDefault="002C1FC6" w:rsidP="003B3AC5">
            <w:pPr>
              <w:tabs>
                <w:tab w:val="left" w:pos="284"/>
              </w:tabs>
              <w:rPr>
                <w:b/>
                <w:color w:val="000000" w:themeColor="text1"/>
              </w:rPr>
            </w:pPr>
          </w:p>
        </w:tc>
        <w:tc>
          <w:tcPr>
            <w:tcW w:w="992" w:type="dxa"/>
            <w:tcBorders>
              <w:left w:val="single" w:sz="4" w:space="0" w:color="auto"/>
            </w:tcBorders>
          </w:tcPr>
          <w:p w14:paraId="1A30F76D"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 within clusters</w:t>
            </w:r>
          </w:p>
        </w:tc>
        <w:tc>
          <w:tcPr>
            <w:tcW w:w="1134" w:type="dxa"/>
            <w:vAlign w:val="center"/>
          </w:tcPr>
          <w:p w14:paraId="6390CA24"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12.1</w:t>
            </w:r>
            <w:r w:rsidRPr="00B92823">
              <w:rPr>
                <w:bCs/>
                <w:color w:val="000000" w:themeColor="text1"/>
                <w:sz w:val="20"/>
                <w:szCs w:val="20"/>
              </w:rPr>
              <w:t>%</w:t>
            </w:r>
          </w:p>
        </w:tc>
        <w:tc>
          <w:tcPr>
            <w:tcW w:w="1276" w:type="dxa"/>
            <w:vAlign w:val="center"/>
          </w:tcPr>
          <w:p w14:paraId="44A7B419"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1276" w:type="dxa"/>
            <w:vAlign w:val="center"/>
          </w:tcPr>
          <w:p w14:paraId="70B507EF"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6BFE4865"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992" w:type="dxa"/>
            <w:vAlign w:val="center"/>
          </w:tcPr>
          <w:p w14:paraId="152C2C2D" w14:textId="77777777" w:rsidR="002C1FC6" w:rsidRPr="00B3266B" w:rsidRDefault="002C1FC6" w:rsidP="003B3AC5">
            <w:pPr>
              <w:tabs>
                <w:tab w:val="left" w:pos="284"/>
              </w:tabs>
              <w:jc w:val="right"/>
              <w:rPr>
                <w:b/>
                <w:color w:val="000000" w:themeColor="text1"/>
                <w:sz w:val="20"/>
                <w:szCs w:val="20"/>
              </w:rPr>
            </w:pPr>
            <w:r w:rsidRPr="00B3266B">
              <w:rPr>
                <w:b/>
                <w:color w:val="000000" w:themeColor="text1"/>
                <w:sz w:val="20"/>
                <w:szCs w:val="20"/>
                <w:lang w:val="el-GR"/>
              </w:rPr>
              <w:t>58.1</w:t>
            </w:r>
            <w:r w:rsidRPr="00B3266B">
              <w:rPr>
                <w:b/>
                <w:color w:val="000000" w:themeColor="text1"/>
                <w:sz w:val="20"/>
                <w:szCs w:val="20"/>
              </w:rPr>
              <w:t>%</w:t>
            </w:r>
          </w:p>
        </w:tc>
        <w:tc>
          <w:tcPr>
            <w:tcW w:w="1001" w:type="dxa"/>
            <w:vAlign w:val="center"/>
          </w:tcPr>
          <w:p w14:paraId="5AA779F6"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0.0%</w:t>
            </w:r>
          </w:p>
        </w:tc>
        <w:tc>
          <w:tcPr>
            <w:tcW w:w="842" w:type="dxa"/>
            <w:vAlign w:val="center"/>
          </w:tcPr>
          <w:p w14:paraId="65FEB45F"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lang w:val="el-GR"/>
              </w:rPr>
              <w:t>20.4</w:t>
            </w:r>
            <w:r w:rsidRPr="00B92823">
              <w:rPr>
                <w:bCs/>
                <w:color w:val="000000" w:themeColor="text1"/>
                <w:sz w:val="20"/>
                <w:szCs w:val="20"/>
              </w:rPr>
              <w:t>%</w:t>
            </w:r>
          </w:p>
        </w:tc>
      </w:tr>
      <w:tr w:rsidR="002C1FC6" w14:paraId="26EE1660" w14:textId="77777777" w:rsidTr="003B3AC5">
        <w:tc>
          <w:tcPr>
            <w:tcW w:w="993" w:type="dxa"/>
            <w:tcBorders>
              <w:right w:val="single" w:sz="4" w:space="0" w:color="auto"/>
            </w:tcBorders>
          </w:tcPr>
          <w:p w14:paraId="6872F991" w14:textId="77777777" w:rsidR="002C1FC6" w:rsidRPr="00921F07" w:rsidRDefault="002C1FC6" w:rsidP="003B3AC5">
            <w:pPr>
              <w:tabs>
                <w:tab w:val="left" w:pos="284"/>
              </w:tabs>
              <w:jc w:val="both"/>
              <w:rPr>
                <w:bCs/>
                <w:color w:val="000000" w:themeColor="text1"/>
                <w:sz w:val="20"/>
                <w:szCs w:val="20"/>
              </w:rPr>
            </w:pPr>
          </w:p>
        </w:tc>
        <w:tc>
          <w:tcPr>
            <w:tcW w:w="1418" w:type="dxa"/>
            <w:vMerge w:val="restart"/>
            <w:tcBorders>
              <w:left w:val="single" w:sz="4" w:space="0" w:color="auto"/>
              <w:right w:val="single" w:sz="4" w:space="0" w:color="auto"/>
            </w:tcBorders>
          </w:tcPr>
          <w:p w14:paraId="1DDD26BD" w14:textId="77777777" w:rsidR="002C1FC6" w:rsidRPr="007A3FE0" w:rsidRDefault="002C1FC6" w:rsidP="003B3AC5">
            <w:pPr>
              <w:tabs>
                <w:tab w:val="left" w:pos="284"/>
              </w:tabs>
              <w:rPr>
                <w:b/>
                <w:color w:val="000000" w:themeColor="text1"/>
                <w:sz w:val="20"/>
                <w:szCs w:val="20"/>
              </w:rPr>
            </w:pPr>
            <w:r>
              <w:rPr>
                <w:b/>
                <w:color w:val="000000" w:themeColor="text1"/>
                <w:sz w:val="20"/>
                <w:szCs w:val="20"/>
              </w:rPr>
              <w:t>Green n</w:t>
            </w:r>
            <w:r w:rsidRPr="007A3FE0">
              <w:rPr>
                <w:b/>
                <w:color w:val="000000" w:themeColor="text1"/>
                <w:sz w:val="20"/>
                <w:szCs w:val="20"/>
              </w:rPr>
              <w:t>on-believers</w:t>
            </w:r>
          </w:p>
          <w:p w14:paraId="4823EC30" w14:textId="77777777" w:rsidR="002C1FC6" w:rsidRPr="007A3FE0" w:rsidRDefault="002C1FC6" w:rsidP="003B3AC5">
            <w:pPr>
              <w:tabs>
                <w:tab w:val="left" w:pos="284"/>
              </w:tabs>
              <w:rPr>
                <w:b/>
                <w:color w:val="000000" w:themeColor="text1"/>
              </w:rPr>
            </w:pPr>
          </w:p>
        </w:tc>
        <w:tc>
          <w:tcPr>
            <w:tcW w:w="992" w:type="dxa"/>
            <w:tcBorders>
              <w:left w:val="single" w:sz="4" w:space="0" w:color="auto"/>
            </w:tcBorders>
          </w:tcPr>
          <w:p w14:paraId="2528CAE0"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N</w:t>
            </w:r>
          </w:p>
        </w:tc>
        <w:tc>
          <w:tcPr>
            <w:tcW w:w="1134" w:type="dxa"/>
            <w:vAlign w:val="center"/>
          </w:tcPr>
          <w:p w14:paraId="28FBBA42"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13</w:t>
            </w:r>
          </w:p>
        </w:tc>
        <w:tc>
          <w:tcPr>
            <w:tcW w:w="1276" w:type="dxa"/>
            <w:vAlign w:val="center"/>
          </w:tcPr>
          <w:p w14:paraId="5C25495F"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24</w:t>
            </w:r>
          </w:p>
        </w:tc>
        <w:tc>
          <w:tcPr>
            <w:tcW w:w="1276" w:type="dxa"/>
            <w:vAlign w:val="center"/>
          </w:tcPr>
          <w:p w14:paraId="1D7CA1B9"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992" w:type="dxa"/>
            <w:vAlign w:val="center"/>
          </w:tcPr>
          <w:p w14:paraId="5154F260"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992" w:type="dxa"/>
          </w:tcPr>
          <w:p w14:paraId="42E3213F"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w:t>
            </w:r>
          </w:p>
        </w:tc>
        <w:tc>
          <w:tcPr>
            <w:tcW w:w="1001" w:type="dxa"/>
          </w:tcPr>
          <w:p w14:paraId="1E7F3598"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34</w:t>
            </w:r>
          </w:p>
        </w:tc>
        <w:tc>
          <w:tcPr>
            <w:tcW w:w="842" w:type="dxa"/>
            <w:vAlign w:val="center"/>
          </w:tcPr>
          <w:p w14:paraId="1137DB8B"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71</w:t>
            </w:r>
          </w:p>
        </w:tc>
      </w:tr>
      <w:tr w:rsidR="002C1FC6" w14:paraId="325E85CD" w14:textId="77777777" w:rsidTr="003B3AC5">
        <w:tc>
          <w:tcPr>
            <w:tcW w:w="993" w:type="dxa"/>
            <w:tcBorders>
              <w:right w:val="single" w:sz="4" w:space="0" w:color="auto"/>
            </w:tcBorders>
          </w:tcPr>
          <w:p w14:paraId="16DD212B"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3C4E1C41" w14:textId="77777777" w:rsidR="002C1FC6" w:rsidRDefault="002C1FC6" w:rsidP="003B3AC5">
            <w:pPr>
              <w:tabs>
                <w:tab w:val="left" w:pos="284"/>
              </w:tabs>
              <w:jc w:val="both"/>
              <w:rPr>
                <w:b/>
                <w:color w:val="000000" w:themeColor="text1"/>
              </w:rPr>
            </w:pPr>
          </w:p>
        </w:tc>
        <w:tc>
          <w:tcPr>
            <w:tcW w:w="992" w:type="dxa"/>
            <w:tcBorders>
              <w:left w:val="single" w:sz="4" w:space="0" w:color="auto"/>
            </w:tcBorders>
          </w:tcPr>
          <w:p w14:paraId="1B9EB4D8"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 within groups</w:t>
            </w:r>
          </w:p>
        </w:tc>
        <w:tc>
          <w:tcPr>
            <w:tcW w:w="1134" w:type="dxa"/>
            <w:vAlign w:val="center"/>
          </w:tcPr>
          <w:p w14:paraId="328C8408"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18</w:t>
            </w:r>
            <w:r w:rsidRPr="00B92823">
              <w:rPr>
                <w:bCs/>
                <w:color w:val="000000" w:themeColor="text1"/>
                <w:sz w:val="20"/>
                <w:szCs w:val="20"/>
              </w:rPr>
              <w:t>.</w:t>
            </w:r>
            <w:r>
              <w:rPr>
                <w:bCs/>
                <w:color w:val="000000" w:themeColor="text1"/>
                <w:sz w:val="20"/>
                <w:szCs w:val="20"/>
              </w:rPr>
              <w:t>3</w:t>
            </w:r>
            <w:r w:rsidRPr="00B92823">
              <w:rPr>
                <w:bCs/>
                <w:color w:val="000000" w:themeColor="text1"/>
                <w:sz w:val="20"/>
                <w:szCs w:val="20"/>
              </w:rPr>
              <w:t>%</w:t>
            </w:r>
          </w:p>
        </w:tc>
        <w:tc>
          <w:tcPr>
            <w:tcW w:w="1276" w:type="dxa"/>
            <w:vAlign w:val="center"/>
          </w:tcPr>
          <w:p w14:paraId="53B1FE46"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33.8</w:t>
            </w:r>
            <w:r w:rsidRPr="00B92823">
              <w:rPr>
                <w:bCs/>
                <w:color w:val="000000" w:themeColor="text1"/>
                <w:sz w:val="20"/>
                <w:szCs w:val="20"/>
              </w:rPr>
              <w:t>%</w:t>
            </w:r>
          </w:p>
        </w:tc>
        <w:tc>
          <w:tcPr>
            <w:tcW w:w="1276" w:type="dxa"/>
            <w:vAlign w:val="center"/>
          </w:tcPr>
          <w:p w14:paraId="6E749553"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0.0</w:t>
            </w:r>
            <w:r w:rsidRPr="00B92823">
              <w:rPr>
                <w:bCs/>
                <w:color w:val="000000" w:themeColor="text1"/>
                <w:sz w:val="20"/>
                <w:szCs w:val="20"/>
              </w:rPr>
              <w:t>%</w:t>
            </w:r>
          </w:p>
        </w:tc>
        <w:tc>
          <w:tcPr>
            <w:tcW w:w="992" w:type="dxa"/>
            <w:vAlign w:val="center"/>
          </w:tcPr>
          <w:p w14:paraId="09917F73"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0.0</w:t>
            </w:r>
            <w:r w:rsidRPr="00B92823">
              <w:rPr>
                <w:bCs/>
                <w:color w:val="000000" w:themeColor="text1"/>
                <w:sz w:val="20"/>
                <w:szCs w:val="20"/>
              </w:rPr>
              <w:t>%</w:t>
            </w:r>
          </w:p>
        </w:tc>
        <w:tc>
          <w:tcPr>
            <w:tcW w:w="992" w:type="dxa"/>
            <w:vAlign w:val="center"/>
          </w:tcPr>
          <w:p w14:paraId="2DD320A4"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0.0</w:t>
            </w:r>
            <w:r w:rsidRPr="00B92823">
              <w:rPr>
                <w:bCs/>
                <w:color w:val="000000" w:themeColor="text1"/>
                <w:sz w:val="20"/>
                <w:szCs w:val="20"/>
              </w:rPr>
              <w:t>%</w:t>
            </w:r>
          </w:p>
        </w:tc>
        <w:tc>
          <w:tcPr>
            <w:tcW w:w="1001" w:type="dxa"/>
            <w:vAlign w:val="center"/>
          </w:tcPr>
          <w:p w14:paraId="17980075" w14:textId="77777777" w:rsidR="002C1FC6" w:rsidRPr="00B272EC" w:rsidRDefault="002C1FC6" w:rsidP="003B3AC5">
            <w:pPr>
              <w:tabs>
                <w:tab w:val="left" w:pos="284"/>
              </w:tabs>
              <w:jc w:val="right"/>
              <w:rPr>
                <w:b/>
                <w:color w:val="000000" w:themeColor="text1"/>
                <w:sz w:val="20"/>
                <w:szCs w:val="20"/>
              </w:rPr>
            </w:pPr>
            <w:r w:rsidRPr="00B272EC">
              <w:rPr>
                <w:b/>
                <w:color w:val="000000" w:themeColor="text1"/>
                <w:sz w:val="20"/>
                <w:szCs w:val="20"/>
              </w:rPr>
              <w:t>47.9%</w:t>
            </w:r>
          </w:p>
        </w:tc>
        <w:tc>
          <w:tcPr>
            <w:tcW w:w="842" w:type="dxa"/>
            <w:vAlign w:val="center"/>
          </w:tcPr>
          <w:p w14:paraId="3D5649EB"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100.0%</w:t>
            </w:r>
          </w:p>
        </w:tc>
      </w:tr>
      <w:tr w:rsidR="002C1FC6" w14:paraId="7650B24D" w14:textId="77777777" w:rsidTr="003B3AC5">
        <w:tc>
          <w:tcPr>
            <w:tcW w:w="993" w:type="dxa"/>
            <w:tcBorders>
              <w:right w:val="single" w:sz="4" w:space="0" w:color="auto"/>
            </w:tcBorders>
          </w:tcPr>
          <w:p w14:paraId="6F3FE39C" w14:textId="77777777" w:rsidR="002C1FC6" w:rsidRPr="00921F07" w:rsidRDefault="002C1FC6" w:rsidP="003B3AC5">
            <w:pPr>
              <w:tabs>
                <w:tab w:val="left" w:pos="284"/>
              </w:tabs>
              <w:jc w:val="both"/>
              <w:rPr>
                <w:bCs/>
                <w:color w:val="000000" w:themeColor="text1"/>
                <w:sz w:val="20"/>
                <w:szCs w:val="20"/>
              </w:rPr>
            </w:pPr>
          </w:p>
        </w:tc>
        <w:tc>
          <w:tcPr>
            <w:tcW w:w="1418" w:type="dxa"/>
            <w:vMerge/>
            <w:tcBorders>
              <w:left w:val="single" w:sz="4" w:space="0" w:color="auto"/>
              <w:right w:val="single" w:sz="4" w:space="0" w:color="auto"/>
            </w:tcBorders>
          </w:tcPr>
          <w:p w14:paraId="010BC539" w14:textId="77777777" w:rsidR="002C1FC6" w:rsidRDefault="002C1FC6" w:rsidP="003B3AC5">
            <w:pPr>
              <w:tabs>
                <w:tab w:val="left" w:pos="284"/>
              </w:tabs>
              <w:jc w:val="both"/>
              <w:rPr>
                <w:b/>
                <w:color w:val="000000" w:themeColor="text1"/>
              </w:rPr>
            </w:pPr>
          </w:p>
        </w:tc>
        <w:tc>
          <w:tcPr>
            <w:tcW w:w="992" w:type="dxa"/>
            <w:tcBorders>
              <w:left w:val="single" w:sz="4" w:space="0" w:color="auto"/>
            </w:tcBorders>
          </w:tcPr>
          <w:p w14:paraId="3B99BE40"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 within clusters</w:t>
            </w:r>
          </w:p>
        </w:tc>
        <w:tc>
          <w:tcPr>
            <w:tcW w:w="1134" w:type="dxa"/>
            <w:vAlign w:val="center"/>
          </w:tcPr>
          <w:p w14:paraId="14246CFA"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22</w:t>
            </w:r>
            <w:r w:rsidRPr="00B92823">
              <w:rPr>
                <w:bCs/>
                <w:color w:val="000000" w:themeColor="text1"/>
                <w:sz w:val="20"/>
                <w:szCs w:val="20"/>
              </w:rPr>
              <w:t>.</w:t>
            </w:r>
            <w:r>
              <w:rPr>
                <w:bCs/>
                <w:color w:val="000000" w:themeColor="text1"/>
                <w:sz w:val="20"/>
                <w:szCs w:val="20"/>
              </w:rPr>
              <w:t>4</w:t>
            </w:r>
            <w:r w:rsidRPr="00B92823">
              <w:rPr>
                <w:bCs/>
                <w:color w:val="000000" w:themeColor="text1"/>
                <w:sz w:val="20"/>
                <w:szCs w:val="20"/>
              </w:rPr>
              <w:t>%</w:t>
            </w:r>
          </w:p>
        </w:tc>
        <w:tc>
          <w:tcPr>
            <w:tcW w:w="1276" w:type="dxa"/>
            <w:vAlign w:val="center"/>
          </w:tcPr>
          <w:p w14:paraId="54757BF3"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41.4</w:t>
            </w:r>
            <w:r w:rsidRPr="00B92823">
              <w:rPr>
                <w:bCs/>
                <w:color w:val="000000" w:themeColor="text1"/>
                <w:sz w:val="20"/>
                <w:szCs w:val="20"/>
              </w:rPr>
              <w:t>%</w:t>
            </w:r>
          </w:p>
        </w:tc>
        <w:tc>
          <w:tcPr>
            <w:tcW w:w="1276" w:type="dxa"/>
            <w:vAlign w:val="center"/>
          </w:tcPr>
          <w:p w14:paraId="3A20FDE8"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0.0</w:t>
            </w:r>
            <w:r w:rsidRPr="00B92823">
              <w:rPr>
                <w:bCs/>
                <w:color w:val="000000" w:themeColor="text1"/>
                <w:sz w:val="20"/>
                <w:szCs w:val="20"/>
              </w:rPr>
              <w:t>%</w:t>
            </w:r>
          </w:p>
        </w:tc>
        <w:tc>
          <w:tcPr>
            <w:tcW w:w="992" w:type="dxa"/>
            <w:vAlign w:val="center"/>
          </w:tcPr>
          <w:p w14:paraId="1EB984F3"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0.0</w:t>
            </w:r>
            <w:r w:rsidRPr="00B92823">
              <w:rPr>
                <w:bCs/>
                <w:color w:val="000000" w:themeColor="text1"/>
                <w:sz w:val="20"/>
                <w:szCs w:val="20"/>
              </w:rPr>
              <w:t>%</w:t>
            </w:r>
          </w:p>
        </w:tc>
        <w:tc>
          <w:tcPr>
            <w:tcW w:w="992" w:type="dxa"/>
            <w:vAlign w:val="center"/>
          </w:tcPr>
          <w:p w14:paraId="4E2E25AF" w14:textId="77777777" w:rsidR="002C1FC6" w:rsidRPr="00B92823" w:rsidRDefault="002C1FC6" w:rsidP="003B3AC5">
            <w:pPr>
              <w:tabs>
                <w:tab w:val="left" w:pos="284"/>
              </w:tabs>
              <w:jc w:val="right"/>
              <w:rPr>
                <w:bCs/>
                <w:color w:val="000000" w:themeColor="text1"/>
                <w:sz w:val="20"/>
                <w:szCs w:val="20"/>
              </w:rPr>
            </w:pPr>
            <w:r>
              <w:rPr>
                <w:bCs/>
                <w:color w:val="000000" w:themeColor="text1"/>
                <w:sz w:val="20"/>
                <w:szCs w:val="20"/>
              </w:rPr>
              <w:t>0.0</w:t>
            </w:r>
            <w:r w:rsidRPr="00B92823">
              <w:rPr>
                <w:bCs/>
                <w:color w:val="000000" w:themeColor="text1"/>
                <w:sz w:val="20"/>
                <w:szCs w:val="20"/>
              </w:rPr>
              <w:t>%</w:t>
            </w:r>
          </w:p>
        </w:tc>
        <w:tc>
          <w:tcPr>
            <w:tcW w:w="1001" w:type="dxa"/>
            <w:vAlign w:val="center"/>
          </w:tcPr>
          <w:p w14:paraId="5B688862" w14:textId="77777777" w:rsidR="002C1FC6" w:rsidRPr="00B272EC" w:rsidRDefault="002C1FC6" w:rsidP="003B3AC5">
            <w:pPr>
              <w:tabs>
                <w:tab w:val="left" w:pos="284"/>
              </w:tabs>
              <w:jc w:val="right"/>
              <w:rPr>
                <w:b/>
                <w:color w:val="000000" w:themeColor="text1"/>
                <w:sz w:val="20"/>
                <w:szCs w:val="20"/>
              </w:rPr>
            </w:pPr>
            <w:r w:rsidRPr="00B272EC">
              <w:rPr>
                <w:b/>
                <w:color w:val="000000" w:themeColor="text1"/>
                <w:sz w:val="20"/>
                <w:szCs w:val="20"/>
              </w:rPr>
              <w:t>100.0%</w:t>
            </w:r>
          </w:p>
        </w:tc>
        <w:tc>
          <w:tcPr>
            <w:tcW w:w="842" w:type="dxa"/>
            <w:vAlign w:val="center"/>
          </w:tcPr>
          <w:p w14:paraId="54450153"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29.0%</w:t>
            </w:r>
          </w:p>
        </w:tc>
      </w:tr>
      <w:tr w:rsidR="002C1FC6" w14:paraId="46407372" w14:textId="77777777" w:rsidTr="003B3AC5">
        <w:tc>
          <w:tcPr>
            <w:tcW w:w="993" w:type="dxa"/>
            <w:tcBorders>
              <w:bottom w:val="single" w:sz="4" w:space="0" w:color="auto"/>
            </w:tcBorders>
          </w:tcPr>
          <w:p w14:paraId="10D53C6C" w14:textId="77777777" w:rsidR="002C1FC6" w:rsidRDefault="002C1FC6" w:rsidP="003B3AC5">
            <w:pPr>
              <w:tabs>
                <w:tab w:val="left" w:pos="284"/>
              </w:tabs>
              <w:jc w:val="both"/>
              <w:rPr>
                <w:b/>
                <w:color w:val="000000" w:themeColor="text1"/>
              </w:rPr>
            </w:pPr>
            <w:r w:rsidRPr="00921F07">
              <w:rPr>
                <w:bCs/>
                <w:color w:val="000000" w:themeColor="text1"/>
                <w:sz w:val="20"/>
                <w:szCs w:val="20"/>
              </w:rPr>
              <w:t>Total</w:t>
            </w:r>
          </w:p>
        </w:tc>
        <w:tc>
          <w:tcPr>
            <w:tcW w:w="1418" w:type="dxa"/>
            <w:tcBorders>
              <w:bottom w:val="single" w:sz="4" w:space="0" w:color="auto"/>
            </w:tcBorders>
          </w:tcPr>
          <w:p w14:paraId="5F7BA5DE" w14:textId="77777777" w:rsidR="002C1FC6" w:rsidRDefault="002C1FC6" w:rsidP="003B3AC5">
            <w:pPr>
              <w:tabs>
                <w:tab w:val="left" w:pos="284"/>
              </w:tabs>
              <w:jc w:val="both"/>
              <w:rPr>
                <w:b/>
                <w:color w:val="000000" w:themeColor="text1"/>
              </w:rPr>
            </w:pPr>
          </w:p>
        </w:tc>
        <w:tc>
          <w:tcPr>
            <w:tcW w:w="992" w:type="dxa"/>
            <w:tcBorders>
              <w:bottom w:val="single" w:sz="4" w:space="0" w:color="auto"/>
            </w:tcBorders>
          </w:tcPr>
          <w:p w14:paraId="25971D0D" w14:textId="77777777" w:rsidR="002C1FC6" w:rsidRPr="00921F07" w:rsidRDefault="002C1FC6" w:rsidP="003B3AC5">
            <w:pPr>
              <w:tabs>
                <w:tab w:val="left" w:pos="284"/>
              </w:tabs>
              <w:rPr>
                <w:bCs/>
                <w:color w:val="000000" w:themeColor="text1"/>
                <w:sz w:val="20"/>
                <w:szCs w:val="20"/>
              </w:rPr>
            </w:pPr>
            <w:r w:rsidRPr="00921F07">
              <w:rPr>
                <w:bCs/>
                <w:color w:val="000000" w:themeColor="text1"/>
                <w:sz w:val="20"/>
                <w:szCs w:val="20"/>
              </w:rPr>
              <w:t>N</w:t>
            </w:r>
          </w:p>
        </w:tc>
        <w:tc>
          <w:tcPr>
            <w:tcW w:w="1134" w:type="dxa"/>
            <w:tcBorders>
              <w:bottom w:val="single" w:sz="4" w:space="0" w:color="auto"/>
            </w:tcBorders>
            <w:vAlign w:val="center"/>
          </w:tcPr>
          <w:p w14:paraId="314248AD"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58</w:t>
            </w:r>
          </w:p>
        </w:tc>
        <w:tc>
          <w:tcPr>
            <w:tcW w:w="1276" w:type="dxa"/>
            <w:tcBorders>
              <w:bottom w:val="single" w:sz="4" w:space="0" w:color="auto"/>
            </w:tcBorders>
            <w:vAlign w:val="center"/>
          </w:tcPr>
          <w:p w14:paraId="56EADD3A"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58</w:t>
            </w:r>
          </w:p>
        </w:tc>
        <w:tc>
          <w:tcPr>
            <w:tcW w:w="1276" w:type="dxa"/>
            <w:tcBorders>
              <w:bottom w:val="single" w:sz="4" w:space="0" w:color="auto"/>
            </w:tcBorders>
            <w:vAlign w:val="center"/>
          </w:tcPr>
          <w:p w14:paraId="0B35E5BF"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9</w:t>
            </w:r>
          </w:p>
        </w:tc>
        <w:tc>
          <w:tcPr>
            <w:tcW w:w="992" w:type="dxa"/>
            <w:tcBorders>
              <w:bottom w:val="single" w:sz="4" w:space="0" w:color="auto"/>
            </w:tcBorders>
            <w:vAlign w:val="center"/>
          </w:tcPr>
          <w:p w14:paraId="2DBB848A"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12</w:t>
            </w:r>
          </w:p>
        </w:tc>
        <w:tc>
          <w:tcPr>
            <w:tcW w:w="992" w:type="dxa"/>
            <w:tcBorders>
              <w:bottom w:val="single" w:sz="4" w:space="0" w:color="auto"/>
            </w:tcBorders>
          </w:tcPr>
          <w:p w14:paraId="0DD865CC"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74</w:t>
            </w:r>
          </w:p>
        </w:tc>
        <w:tc>
          <w:tcPr>
            <w:tcW w:w="1001" w:type="dxa"/>
            <w:tcBorders>
              <w:bottom w:val="single" w:sz="4" w:space="0" w:color="auto"/>
            </w:tcBorders>
          </w:tcPr>
          <w:p w14:paraId="41C5F769" w14:textId="77777777" w:rsidR="002C1FC6" w:rsidRPr="00E145C5" w:rsidRDefault="002C1FC6" w:rsidP="003B3AC5">
            <w:pPr>
              <w:tabs>
                <w:tab w:val="left" w:pos="284"/>
              </w:tabs>
              <w:jc w:val="right"/>
              <w:rPr>
                <w:bCs/>
                <w:color w:val="000000" w:themeColor="text1"/>
                <w:sz w:val="20"/>
                <w:szCs w:val="20"/>
                <w:lang w:val="el-GR"/>
              </w:rPr>
            </w:pPr>
            <w:r>
              <w:rPr>
                <w:bCs/>
                <w:color w:val="000000" w:themeColor="text1"/>
                <w:sz w:val="20"/>
                <w:szCs w:val="20"/>
                <w:lang w:val="el-GR"/>
              </w:rPr>
              <w:t>34</w:t>
            </w:r>
          </w:p>
        </w:tc>
        <w:tc>
          <w:tcPr>
            <w:tcW w:w="842" w:type="dxa"/>
            <w:tcBorders>
              <w:bottom w:val="single" w:sz="4" w:space="0" w:color="auto"/>
            </w:tcBorders>
            <w:vAlign w:val="center"/>
          </w:tcPr>
          <w:p w14:paraId="62B148BD" w14:textId="77777777" w:rsidR="002C1FC6" w:rsidRPr="00B92823" w:rsidRDefault="002C1FC6" w:rsidP="003B3AC5">
            <w:pPr>
              <w:tabs>
                <w:tab w:val="left" w:pos="284"/>
              </w:tabs>
              <w:jc w:val="right"/>
              <w:rPr>
                <w:bCs/>
                <w:color w:val="000000" w:themeColor="text1"/>
                <w:sz w:val="20"/>
                <w:szCs w:val="20"/>
              </w:rPr>
            </w:pPr>
            <w:r w:rsidRPr="00B92823">
              <w:rPr>
                <w:bCs/>
                <w:color w:val="000000" w:themeColor="text1"/>
                <w:sz w:val="20"/>
                <w:szCs w:val="20"/>
              </w:rPr>
              <w:t>245</w:t>
            </w:r>
          </w:p>
        </w:tc>
      </w:tr>
      <w:tr w:rsidR="002C1FC6" w14:paraId="5E543EAB" w14:textId="77777777" w:rsidTr="003B3AC5">
        <w:tc>
          <w:tcPr>
            <w:tcW w:w="993" w:type="dxa"/>
            <w:tcBorders>
              <w:top w:val="single" w:sz="4" w:space="0" w:color="auto"/>
              <w:bottom w:val="single" w:sz="4" w:space="0" w:color="auto"/>
            </w:tcBorders>
          </w:tcPr>
          <w:p w14:paraId="3199AEC3" w14:textId="77777777" w:rsidR="002C1FC6" w:rsidRDefault="002C1FC6" w:rsidP="003B3AC5">
            <w:pPr>
              <w:tabs>
                <w:tab w:val="left" w:pos="284"/>
              </w:tabs>
              <w:rPr>
                <w:bCs/>
                <w:color w:val="000000" w:themeColor="text1"/>
                <w:sz w:val="20"/>
                <w:szCs w:val="20"/>
              </w:rPr>
            </w:pPr>
          </w:p>
        </w:tc>
        <w:tc>
          <w:tcPr>
            <w:tcW w:w="1418" w:type="dxa"/>
            <w:tcBorders>
              <w:top w:val="single" w:sz="4" w:space="0" w:color="auto"/>
              <w:bottom w:val="single" w:sz="4" w:space="0" w:color="auto"/>
            </w:tcBorders>
          </w:tcPr>
          <w:p w14:paraId="6FD23A37" w14:textId="77777777" w:rsidR="002C1FC6" w:rsidRDefault="002C1FC6" w:rsidP="003B3AC5">
            <w:pPr>
              <w:tabs>
                <w:tab w:val="left" w:pos="284"/>
              </w:tabs>
              <w:rPr>
                <w:bCs/>
                <w:color w:val="000000" w:themeColor="text1"/>
                <w:sz w:val="20"/>
                <w:szCs w:val="20"/>
              </w:rPr>
            </w:pPr>
          </w:p>
        </w:tc>
        <w:tc>
          <w:tcPr>
            <w:tcW w:w="8505" w:type="dxa"/>
            <w:gridSpan w:val="8"/>
            <w:tcBorders>
              <w:top w:val="single" w:sz="4" w:space="0" w:color="auto"/>
              <w:bottom w:val="single" w:sz="4" w:space="0" w:color="auto"/>
            </w:tcBorders>
          </w:tcPr>
          <w:p w14:paraId="6F1045D7" w14:textId="77777777" w:rsidR="002C1FC6" w:rsidRPr="00017F01" w:rsidRDefault="002C1FC6" w:rsidP="003B3AC5">
            <w:pPr>
              <w:tabs>
                <w:tab w:val="left" w:pos="284"/>
              </w:tabs>
              <w:rPr>
                <w:bCs/>
                <w:color w:val="000000" w:themeColor="text1"/>
                <w:sz w:val="20"/>
                <w:szCs w:val="20"/>
              </w:rPr>
            </w:pPr>
            <w:r>
              <w:rPr>
                <w:bCs/>
                <w:color w:val="000000" w:themeColor="text1"/>
                <w:sz w:val="20"/>
                <w:szCs w:val="20"/>
              </w:rPr>
              <w:t xml:space="preserve">Pearson Chi Square value = </w:t>
            </w:r>
            <w:r w:rsidRPr="00017F01">
              <w:rPr>
                <w:bCs/>
                <w:color w:val="000000" w:themeColor="text1"/>
                <w:sz w:val="20"/>
                <w:szCs w:val="20"/>
              </w:rPr>
              <w:t>589</w:t>
            </w:r>
            <w:r>
              <w:rPr>
                <w:bCs/>
                <w:color w:val="000000" w:themeColor="text1"/>
                <w:sz w:val="20"/>
                <w:szCs w:val="20"/>
              </w:rPr>
              <w:t>.</w:t>
            </w:r>
            <w:r w:rsidRPr="00017F01">
              <w:rPr>
                <w:bCs/>
                <w:color w:val="000000" w:themeColor="text1"/>
                <w:sz w:val="20"/>
                <w:szCs w:val="20"/>
              </w:rPr>
              <w:t>006</w:t>
            </w:r>
            <w:r>
              <w:rPr>
                <w:bCs/>
                <w:color w:val="000000" w:themeColor="text1"/>
                <w:sz w:val="20"/>
                <w:szCs w:val="20"/>
              </w:rPr>
              <w:t>, p&lt;0.001, Cramer’s V = 0.6</w:t>
            </w:r>
            <w:r w:rsidRPr="00017F01">
              <w:rPr>
                <w:bCs/>
                <w:color w:val="000000" w:themeColor="text1"/>
                <w:sz w:val="20"/>
                <w:szCs w:val="20"/>
              </w:rPr>
              <w:t>93</w:t>
            </w:r>
            <w:r>
              <w:rPr>
                <w:bCs/>
                <w:color w:val="000000" w:themeColor="text1"/>
                <w:sz w:val="20"/>
                <w:szCs w:val="20"/>
              </w:rPr>
              <w:t>, p&lt;0.001</w:t>
            </w:r>
            <w:r w:rsidRPr="00017F01">
              <w:rPr>
                <w:bCs/>
                <w:color w:val="000000" w:themeColor="text1"/>
                <w:sz w:val="20"/>
                <w:szCs w:val="20"/>
              </w:rPr>
              <w:t>.</w:t>
            </w:r>
          </w:p>
        </w:tc>
      </w:tr>
    </w:tbl>
    <w:p w14:paraId="60F4FFCF" w14:textId="77777777" w:rsidR="002C1FC6" w:rsidRDefault="002C1FC6" w:rsidP="002C1FC6">
      <w:pPr>
        <w:sectPr w:rsidR="002C1FC6" w:rsidSect="002C1FC6">
          <w:pgSz w:w="11900" w:h="16840"/>
          <w:pgMar w:top="1440" w:right="1440" w:bottom="1440" w:left="1440" w:header="708" w:footer="708" w:gutter="0"/>
          <w:pgNumType w:start="55"/>
          <w:cols w:space="708"/>
          <w:titlePg/>
          <w:docGrid w:linePitch="360"/>
        </w:sectPr>
      </w:pPr>
    </w:p>
    <w:p w14:paraId="3206924D" w14:textId="77777777" w:rsidR="002C1FC6" w:rsidRDefault="002C1FC6" w:rsidP="002C1FC6"/>
    <w:p w14:paraId="41274F3E" w14:textId="77777777" w:rsidR="002C1FC6" w:rsidRDefault="002C1FC6" w:rsidP="002C1FC6">
      <w:pPr>
        <w:tabs>
          <w:tab w:val="left" w:pos="284"/>
        </w:tabs>
        <w:jc w:val="both"/>
        <w:rPr>
          <w:b/>
          <w:color w:val="000000" w:themeColor="text1"/>
        </w:rPr>
      </w:pPr>
      <w:r w:rsidRPr="00B202F7">
        <w:rPr>
          <w:b/>
          <w:color w:val="000000" w:themeColor="text1"/>
        </w:rPr>
        <w:t>A</w:t>
      </w:r>
      <w:r>
        <w:rPr>
          <w:b/>
          <w:color w:val="000000" w:themeColor="text1"/>
        </w:rPr>
        <w:t>8</w:t>
      </w:r>
      <w:r w:rsidRPr="00B202F7">
        <w:rPr>
          <w:b/>
          <w:color w:val="000000" w:themeColor="text1"/>
        </w:rPr>
        <w:t xml:space="preserve"> – Demographic profile of company groups (conceptual typology) and clusters (empirical typology)</w:t>
      </w:r>
      <w:r>
        <w:rPr>
          <w:b/>
          <w:color w:val="000000" w:themeColor="text1"/>
        </w:rPr>
        <w:t xml:space="preserve">  </w:t>
      </w:r>
    </w:p>
    <w:p w14:paraId="1C17CB00" w14:textId="77777777" w:rsidR="002C1FC6" w:rsidRDefault="002C1FC6" w:rsidP="002C1FC6">
      <w:pPr>
        <w:tabs>
          <w:tab w:val="left" w:pos="284"/>
        </w:tabs>
        <w:jc w:val="both"/>
      </w:pPr>
    </w:p>
    <w:tbl>
      <w:tblPr>
        <w:tblStyle w:val="TableGrid"/>
        <w:tblW w:w="146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1418"/>
        <w:gridCol w:w="850"/>
        <w:gridCol w:w="992"/>
        <w:gridCol w:w="993"/>
        <w:gridCol w:w="850"/>
        <w:gridCol w:w="992"/>
        <w:gridCol w:w="851"/>
        <w:gridCol w:w="992"/>
        <w:gridCol w:w="851"/>
        <w:gridCol w:w="992"/>
        <w:gridCol w:w="921"/>
        <w:gridCol w:w="922"/>
        <w:gridCol w:w="921"/>
        <w:gridCol w:w="922"/>
      </w:tblGrid>
      <w:tr w:rsidR="002C1FC6" w14:paraId="4B9AB1B8" w14:textId="77777777" w:rsidTr="003B3AC5">
        <w:tc>
          <w:tcPr>
            <w:tcW w:w="1135" w:type="dxa"/>
            <w:vMerge w:val="restart"/>
          </w:tcPr>
          <w:p w14:paraId="57D391CB" w14:textId="77777777" w:rsidR="002C1FC6" w:rsidRDefault="002C1FC6" w:rsidP="003B3AC5">
            <w:pPr>
              <w:tabs>
                <w:tab w:val="left" w:pos="284"/>
              </w:tabs>
              <w:jc w:val="both"/>
              <w:rPr>
                <w:color w:val="000000" w:themeColor="text1"/>
              </w:rPr>
            </w:pPr>
          </w:p>
        </w:tc>
        <w:tc>
          <w:tcPr>
            <w:tcW w:w="1418" w:type="dxa"/>
            <w:vMerge w:val="restart"/>
          </w:tcPr>
          <w:p w14:paraId="6A8D0DEF" w14:textId="77777777" w:rsidR="002C1FC6" w:rsidRDefault="002C1FC6" w:rsidP="003B3AC5">
            <w:pPr>
              <w:tabs>
                <w:tab w:val="left" w:pos="284"/>
              </w:tabs>
              <w:jc w:val="both"/>
              <w:rPr>
                <w:color w:val="000000" w:themeColor="text1"/>
              </w:rPr>
            </w:pPr>
          </w:p>
        </w:tc>
        <w:tc>
          <w:tcPr>
            <w:tcW w:w="850" w:type="dxa"/>
            <w:vMerge w:val="restart"/>
            <w:vAlign w:val="center"/>
          </w:tcPr>
          <w:p w14:paraId="405C66F6" w14:textId="77777777" w:rsidR="002C1FC6" w:rsidRDefault="002C1FC6" w:rsidP="003B3AC5">
            <w:pPr>
              <w:tabs>
                <w:tab w:val="left" w:pos="284"/>
              </w:tabs>
              <w:jc w:val="center"/>
              <w:rPr>
                <w:color w:val="000000" w:themeColor="text1"/>
                <w:sz w:val="20"/>
                <w:szCs w:val="20"/>
              </w:rPr>
            </w:pPr>
            <w:r w:rsidRPr="00384615">
              <w:rPr>
                <w:color w:val="000000" w:themeColor="text1"/>
                <w:sz w:val="20"/>
                <w:szCs w:val="20"/>
              </w:rPr>
              <w:t>N</w:t>
            </w:r>
          </w:p>
          <w:p w14:paraId="33E6BCBE" w14:textId="77777777" w:rsidR="002C1FC6" w:rsidRPr="00384615" w:rsidRDefault="002C1FC6" w:rsidP="003B3AC5">
            <w:pPr>
              <w:tabs>
                <w:tab w:val="left" w:pos="284"/>
              </w:tabs>
              <w:jc w:val="center"/>
              <w:rPr>
                <w:color w:val="000000" w:themeColor="text1"/>
                <w:sz w:val="20"/>
                <w:szCs w:val="20"/>
              </w:rPr>
            </w:pPr>
            <w:r w:rsidRPr="00384615">
              <w:rPr>
                <w:color w:val="000000" w:themeColor="text1"/>
                <w:sz w:val="20"/>
                <w:szCs w:val="20"/>
              </w:rPr>
              <w:t>245</w:t>
            </w:r>
          </w:p>
        </w:tc>
        <w:tc>
          <w:tcPr>
            <w:tcW w:w="1985" w:type="dxa"/>
            <w:gridSpan w:val="2"/>
            <w:vAlign w:val="center"/>
          </w:tcPr>
          <w:p w14:paraId="35E3828A" w14:textId="77777777" w:rsidR="002C1FC6" w:rsidRPr="00202552" w:rsidRDefault="002C1FC6" w:rsidP="003B3AC5">
            <w:pPr>
              <w:tabs>
                <w:tab w:val="left" w:pos="284"/>
              </w:tabs>
              <w:jc w:val="center"/>
              <w:rPr>
                <w:b/>
                <w:color w:val="000000" w:themeColor="text1"/>
              </w:rPr>
            </w:pPr>
            <w:r>
              <w:rPr>
                <w:b/>
                <w:color w:val="000000" w:themeColor="text1"/>
                <w:sz w:val="20"/>
                <w:szCs w:val="20"/>
              </w:rPr>
              <w:t>Green r</w:t>
            </w:r>
            <w:r w:rsidRPr="007A3FE0">
              <w:rPr>
                <w:b/>
                <w:color w:val="000000" w:themeColor="text1"/>
                <w:sz w:val="20"/>
                <w:szCs w:val="20"/>
              </w:rPr>
              <w:t>eluctants</w:t>
            </w:r>
          </w:p>
        </w:tc>
        <w:tc>
          <w:tcPr>
            <w:tcW w:w="1842" w:type="dxa"/>
            <w:gridSpan w:val="2"/>
            <w:vAlign w:val="center"/>
          </w:tcPr>
          <w:p w14:paraId="7413C6D7" w14:textId="77777777" w:rsidR="002C1FC6" w:rsidRPr="00202552" w:rsidRDefault="002C1FC6" w:rsidP="003B3AC5">
            <w:pPr>
              <w:tabs>
                <w:tab w:val="left" w:pos="284"/>
              </w:tabs>
              <w:jc w:val="center"/>
              <w:rPr>
                <w:b/>
                <w:color w:val="000000" w:themeColor="text1"/>
              </w:rPr>
            </w:pPr>
            <w:r>
              <w:rPr>
                <w:b/>
                <w:color w:val="000000" w:themeColor="text1"/>
                <w:sz w:val="20"/>
                <w:szCs w:val="20"/>
              </w:rPr>
              <w:t xml:space="preserve">Green </w:t>
            </w:r>
            <w:proofErr w:type="spellStart"/>
            <w:r>
              <w:rPr>
                <w:b/>
                <w:color w:val="000000" w:themeColor="text1"/>
                <w:sz w:val="20"/>
                <w:szCs w:val="20"/>
              </w:rPr>
              <w:t>disinvestors</w:t>
            </w:r>
            <w:proofErr w:type="spellEnd"/>
          </w:p>
        </w:tc>
        <w:tc>
          <w:tcPr>
            <w:tcW w:w="1843" w:type="dxa"/>
            <w:gridSpan w:val="2"/>
            <w:vAlign w:val="center"/>
          </w:tcPr>
          <w:p w14:paraId="35C016B9" w14:textId="77777777" w:rsidR="002C1FC6" w:rsidRPr="00202552" w:rsidRDefault="002C1FC6" w:rsidP="003B3AC5">
            <w:pPr>
              <w:tabs>
                <w:tab w:val="left" w:pos="284"/>
              </w:tabs>
              <w:jc w:val="center"/>
              <w:rPr>
                <w:b/>
                <w:color w:val="000000" w:themeColor="text1"/>
              </w:rPr>
            </w:pPr>
            <w:r>
              <w:rPr>
                <w:b/>
                <w:color w:val="000000" w:themeColor="text1"/>
                <w:sz w:val="20"/>
                <w:szCs w:val="20"/>
              </w:rPr>
              <w:t>Strategic green investors</w:t>
            </w:r>
          </w:p>
        </w:tc>
        <w:tc>
          <w:tcPr>
            <w:tcW w:w="1843" w:type="dxa"/>
            <w:gridSpan w:val="2"/>
            <w:vAlign w:val="center"/>
          </w:tcPr>
          <w:p w14:paraId="25349159" w14:textId="77777777" w:rsidR="002C1FC6" w:rsidRPr="00202552" w:rsidRDefault="002C1FC6" w:rsidP="003B3AC5">
            <w:pPr>
              <w:tabs>
                <w:tab w:val="left" w:pos="284"/>
              </w:tabs>
              <w:jc w:val="center"/>
              <w:rPr>
                <w:b/>
                <w:color w:val="000000" w:themeColor="text1"/>
              </w:rPr>
            </w:pPr>
            <w:r>
              <w:rPr>
                <w:b/>
                <w:color w:val="000000" w:themeColor="text1"/>
                <w:sz w:val="20"/>
                <w:szCs w:val="20"/>
              </w:rPr>
              <w:t>Opportunistic green i</w:t>
            </w:r>
            <w:r w:rsidRPr="007A3FE0">
              <w:rPr>
                <w:b/>
                <w:color w:val="000000" w:themeColor="text1"/>
                <w:sz w:val="20"/>
                <w:szCs w:val="20"/>
              </w:rPr>
              <w:t>nvestors</w:t>
            </w:r>
          </w:p>
        </w:tc>
        <w:tc>
          <w:tcPr>
            <w:tcW w:w="1843" w:type="dxa"/>
            <w:gridSpan w:val="2"/>
            <w:vAlign w:val="center"/>
          </w:tcPr>
          <w:p w14:paraId="6CB8CA83" w14:textId="77777777" w:rsidR="002C1FC6" w:rsidRPr="00202552" w:rsidRDefault="002C1FC6" w:rsidP="003B3AC5">
            <w:pPr>
              <w:tabs>
                <w:tab w:val="left" w:pos="284"/>
              </w:tabs>
              <w:jc w:val="center"/>
              <w:rPr>
                <w:b/>
                <w:color w:val="000000" w:themeColor="text1"/>
                <w:sz w:val="20"/>
                <w:szCs w:val="20"/>
              </w:rPr>
            </w:pPr>
            <w:r>
              <w:rPr>
                <w:b/>
                <w:color w:val="000000" w:themeColor="text1"/>
                <w:sz w:val="20"/>
                <w:szCs w:val="20"/>
              </w:rPr>
              <w:t>Cautious green investors</w:t>
            </w:r>
          </w:p>
        </w:tc>
        <w:tc>
          <w:tcPr>
            <w:tcW w:w="1843" w:type="dxa"/>
            <w:gridSpan w:val="2"/>
            <w:vAlign w:val="center"/>
          </w:tcPr>
          <w:p w14:paraId="083DF2DD" w14:textId="77777777" w:rsidR="002C1FC6" w:rsidRPr="00B86362" w:rsidRDefault="002C1FC6" w:rsidP="003B3AC5">
            <w:pPr>
              <w:tabs>
                <w:tab w:val="left" w:pos="284"/>
              </w:tabs>
              <w:jc w:val="center"/>
              <w:rPr>
                <w:b/>
                <w:color w:val="000000" w:themeColor="text1"/>
                <w:sz w:val="20"/>
                <w:szCs w:val="20"/>
                <w:lang w:val="el-GR"/>
              </w:rPr>
            </w:pPr>
            <w:r>
              <w:rPr>
                <w:b/>
                <w:color w:val="000000" w:themeColor="text1"/>
                <w:sz w:val="20"/>
                <w:szCs w:val="20"/>
              </w:rPr>
              <w:t>Green n</w:t>
            </w:r>
            <w:r w:rsidRPr="007A3FE0">
              <w:rPr>
                <w:b/>
                <w:color w:val="000000" w:themeColor="text1"/>
                <w:sz w:val="20"/>
                <w:szCs w:val="20"/>
              </w:rPr>
              <w:t>on-believers</w:t>
            </w:r>
          </w:p>
        </w:tc>
      </w:tr>
      <w:tr w:rsidR="002C1FC6" w14:paraId="4283F1D9" w14:textId="77777777" w:rsidTr="003B3AC5">
        <w:tc>
          <w:tcPr>
            <w:tcW w:w="1135" w:type="dxa"/>
            <w:vMerge/>
          </w:tcPr>
          <w:p w14:paraId="08A0CAD8" w14:textId="77777777" w:rsidR="002C1FC6" w:rsidRDefault="002C1FC6" w:rsidP="003B3AC5">
            <w:pPr>
              <w:tabs>
                <w:tab w:val="left" w:pos="284"/>
              </w:tabs>
              <w:jc w:val="both"/>
              <w:rPr>
                <w:color w:val="000000" w:themeColor="text1"/>
              </w:rPr>
            </w:pPr>
          </w:p>
        </w:tc>
        <w:tc>
          <w:tcPr>
            <w:tcW w:w="1418" w:type="dxa"/>
            <w:vMerge/>
          </w:tcPr>
          <w:p w14:paraId="1B9282A2" w14:textId="77777777" w:rsidR="002C1FC6" w:rsidRDefault="002C1FC6" w:rsidP="003B3AC5">
            <w:pPr>
              <w:tabs>
                <w:tab w:val="left" w:pos="284"/>
              </w:tabs>
              <w:jc w:val="both"/>
              <w:rPr>
                <w:color w:val="000000" w:themeColor="text1"/>
              </w:rPr>
            </w:pPr>
          </w:p>
        </w:tc>
        <w:tc>
          <w:tcPr>
            <w:tcW w:w="850" w:type="dxa"/>
            <w:vMerge/>
          </w:tcPr>
          <w:p w14:paraId="5EAA433D" w14:textId="77777777" w:rsidR="002C1FC6" w:rsidRDefault="002C1FC6" w:rsidP="003B3AC5">
            <w:pPr>
              <w:tabs>
                <w:tab w:val="left" w:pos="284"/>
              </w:tabs>
              <w:jc w:val="both"/>
              <w:rPr>
                <w:color w:val="000000" w:themeColor="text1"/>
              </w:rPr>
            </w:pPr>
          </w:p>
        </w:tc>
        <w:tc>
          <w:tcPr>
            <w:tcW w:w="992" w:type="dxa"/>
            <w:tcBorders>
              <w:bottom w:val="single" w:sz="4" w:space="0" w:color="auto"/>
            </w:tcBorders>
            <w:vAlign w:val="bottom"/>
          </w:tcPr>
          <w:p w14:paraId="44E25274"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Groups</w:t>
            </w:r>
          </w:p>
        </w:tc>
        <w:tc>
          <w:tcPr>
            <w:tcW w:w="993" w:type="dxa"/>
            <w:tcBorders>
              <w:bottom w:val="single" w:sz="4" w:space="0" w:color="auto"/>
            </w:tcBorders>
            <w:vAlign w:val="bottom"/>
          </w:tcPr>
          <w:p w14:paraId="3981F712"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Clusters</w:t>
            </w:r>
          </w:p>
        </w:tc>
        <w:tc>
          <w:tcPr>
            <w:tcW w:w="850" w:type="dxa"/>
            <w:tcBorders>
              <w:bottom w:val="single" w:sz="4" w:space="0" w:color="auto"/>
            </w:tcBorders>
            <w:vAlign w:val="bottom"/>
          </w:tcPr>
          <w:p w14:paraId="49F03997"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Groups</w:t>
            </w:r>
          </w:p>
        </w:tc>
        <w:tc>
          <w:tcPr>
            <w:tcW w:w="992" w:type="dxa"/>
            <w:tcBorders>
              <w:bottom w:val="single" w:sz="4" w:space="0" w:color="auto"/>
            </w:tcBorders>
            <w:vAlign w:val="bottom"/>
          </w:tcPr>
          <w:p w14:paraId="1FDE3DB5"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Clusters</w:t>
            </w:r>
          </w:p>
        </w:tc>
        <w:tc>
          <w:tcPr>
            <w:tcW w:w="851" w:type="dxa"/>
            <w:tcBorders>
              <w:bottom w:val="single" w:sz="4" w:space="0" w:color="auto"/>
            </w:tcBorders>
            <w:vAlign w:val="bottom"/>
          </w:tcPr>
          <w:p w14:paraId="2BF21927"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Groups</w:t>
            </w:r>
          </w:p>
        </w:tc>
        <w:tc>
          <w:tcPr>
            <w:tcW w:w="992" w:type="dxa"/>
            <w:tcBorders>
              <w:bottom w:val="single" w:sz="4" w:space="0" w:color="auto"/>
            </w:tcBorders>
            <w:vAlign w:val="bottom"/>
          </w:tcPr>
          <w:p w14:paraId="01BBC331"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Clusters</w:t>
            </w:r>
          </w:p>
        </w:tc>
        <w:tc>
          <w:tcPr>
            <w:tcW w:w="851" w:type="dxa"/>
            <w:tcBorders>
              <w:bottom w:val="single" w:sz="4" w:space="0" w:color="auto"/>
            </w:tcBorders>
            <w:vAlign w:val="bottom"/>
          </w:tcPr>
          <w:p w14:paraId="1B3BCFFF"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Groups</w:t>
            </w:r>
          </w:p>
        </w:tc>
        <w:tc>
          <w:tcPr>
            <w:tcW w:w="992" w:type="dxa"/>
            <w:tcBorders>
              <w:bottom w:val="single" w:sz="4" w:space="0" w:color="auto"/>
            </w:tcBorders>
            <w:vAlign w:val="bottom"/>
          </w:tcPr>
          <w:p w14:paraId="60A72F05"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Clusters</w:t>
            </w:r>
          </w:p>
        </w:tc>
        <w:tc>
          <w:tcPr>
            <w:tcW w:w="921" w:type="dxa"/>
            <w:tcBorders>
              <w:bottom w:val="single" w:sz="4" w:space="0" w:color="auto"/>
            </w:tcBorders>
            <w:vAlign w:val="bottom"/>
          </w:tcPr>
          <w:p w14:paraId="08C3CB4E"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Groups</w:t>
            </w:r>
          </w:p>
        </w:tc>
        <w:tc>
          <w:tcPr>
            <w:tcW w:w="922" w:type="dxa"/>
            <w:tcBorders>
              <w:bottom w:val="single" w:sz="4" w:space="0" w:color="auto"/>
            </w:tcBorders>
            <w:vAlign w:val="bottom"/>
          </w:tcPr>
          <w:p w14:paraId="5A5B25CF"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Clusters</w:t>
            </w:r>
          </w:p>
        </w:tc>
        <w:tc>
          <w:tcPr>
            <w:tcW w:w="921" w:type="dxa"/>
            <w:tcBorders>
              <w:bottom w:val="single" w:sz="4" w:space="0" w:color="auto"/>
            </w:tcBorders>
            <w:vAlign w:val="bottom"/>
          </w:tcPr>
          <w:p w14:paraId="75C6520F"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Groups</w:t>
            </w:r>
          </w:p>
        </w:tc>
        <w:tc>
          <w:tcPr>
            <w:tcW w:w="922" w:type="dxa"/>
            <w:tcBorders>
              <w:bottom w:val="single" w:sz="4" w:space="0" w:color="auto"/>
            </w:tcBorders>
            <w:vAlign w:val="bottom"/>
          </w:tcPr>
          <w:p w14:paraId="5446FDD0" w14:textId="77777777" w:rsidR="002C1FC6" w:rsidRPr="00202552" w:rsidRDefault="002C1FC6" w:rsidP="003B3AC5">
            <w:pPr>
              <w:tabs>
                <w:tab w:val="left" w:pos="284"/>
              </w:tabs>
              <w:jc w:val="center"/>
              <w:rPr>
                <w:bCs/>
                <w:color w:val="000000" w:themeColor="text1"/>
                <w:sz w:val="20"/>
                <w:szCs w:val="20"/>
              </w:rPr>
            </w:pPr>
            <w:r w:rsidRPr="00202552">
              <w:rPr>
                <w:bCs/>
                <w:color w:val="000000" w:themeColor="text1"/>
                <w:sz w:val="20"/>
                <w:szCs w:val="20"/>
              </w:rPr>
              <w:t>Clusters</w:t>
            </w:r>
          </w:p>
        </w:tc>
      </w:tr>
      <w:tr w:rsidR="002C1FC6" w14:paraId="6CA58664" w14:textId="77777777" w:rsidTr="003B3AC5">
        <w:tc>
          <w:tcPr>
            <w:tcW w:w="1135" w:type="dxa"/>
            <w:vMerge w:val="restart"/>
          </w:tcPr>
          <w:p w14:paraId="5AE1F124" w14:textId="77777777" w:rsidR="002C1FC6" w:rsidRPr="00202552" w:rsidRDefault="002C1FC6" w:rsidP="003B3AC5">
            <w:pPr>
              <w:tabs>
                <w:tab w:val="left" w:pos="284"/>
              </w:tabs>
              <w:jc w:val="both"/>
              <w:rPr>
                <w:color w:val="000000" w:themeColor="text1"/>
                <w:sz w:val="20"/>
                <w:szCs w:val="20"/>
              </w:rPr>
            </w:pPr>
            <w:r w:rsidRPr="00202552">
              <w:rPr>
                <w:b/>
                <w:caps/>
                <w:sz w:val="20"/>
                <w:szCs w:val="20"/>
              </w:rPr>
              <w:t xml:space="preserve">Market </w:t>
            </w:r>
            <w:r w:rsidRPr="00202552">
              <w:rPr>
                <w:caps/>
                <w:color w:val="000000" w:themeColor="text1"/>
                <w:sz w:val="20"/>
                <w:szCs w:val="20"/>
              </w:rPr>
              <w:t xml:space="preserve"> </w:t>
            </w:r>
          </w:p>
        </w:tc>
        <w:tc>
          <w:tcPr>
            <w:tcW w:w="1418" w:type="dxa"/>
          </w:tcPr>
          <w:p w14:paraId="28ECCDB8" w14:textId="77777777" w:rsidR="002C1FC6" w:rsidRPr="00202552" w:rsidRDefault="002C1FC6" w:rsidP="003B3AC5">
            <w:pPr>
              <w:tabs>
                <w:tab w:val="left" w:pos="284"/>
              </w:tabs>
              <w:jc w:val="both"/>
              <w:rPr>
                <w:color w:val="000000" w:themeColor="text1"/>
                <w:sz w:val="20"/>
                <w:szCs w:val="20"/>
              </w:rPr>
            </w:pPr>
            <w:r w:rsidRPr="00202552">
              <w:rPr>
                <w:sz w:val="20"/>
                <w:szCs w:val="20"/>
              </w:rPr>
              <w:t>B2C</w:t>
            </w:r>
          </w:p>
        </w:tc>
        <w:tc>
          <w:tcPr>
            <w:tcW w:w="850" w:type="dxa"/>
          </w:tcPr>
          <w:p w14:paraId="1F9CC4F1"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40</w:t>
            </w:r>
            <w:r>
              <w:rPr>
                <w:color w:val="000000" w:themeColor="text1"/>
                <w:sz w:val="20"/>
                <w:szCs w:val="20"/>
                <w:lang w:val="el-GR"/>
              </w:rPr>
              <w:t>.</w:t>
            </w:r>
            <w:r>
              <w:rPr>
                <w:color w:val="000000" w:themeColor="text1"/>
                <w:sz w:val="20"/>
                <w:szCs w:val="20"/>
              </w:rPr>
              <w:t>0</w:t>
            </w:r>
            <w:r w:rsidRPr="00202552">
              <w:rPr>
                <w:color w:val="000000" w:themeColor="text1"/>
                <w:sz w:val="20"/>
                <w:szCs w:val="20"/>
              </w:rPr>
              <w:t>%</w:t>
            </w:r>
          </w:p>
        </w:tc>
        <w:tc>
          <w:tcPr>
            <w:tcW w:w="992" w:type="dxa"/>
            <w:tcBorders>
              <w:top w:val="single" w:sz="4" w:space="0" w:color="auto"/>
            </w:tcBorders>
          </w:tcPr>
          <w:p w14:paraId="5C3C14C3"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29.7</w:t>
            </w:r>
            <w:r w:rsidRPr="00202552">
              <w:rPr>
                <w:color w:val="000000" w:themeColor="text1"/>
                <w:sz w:val="20"/>
                <w:szCs w:val="20"/>
              </w:rPr>
              <w:t>%</w:t>
            </w:r>
          </w:p>
        </w:tc>
        <w:tc>
          <w:tcPr>
            <w:tcW w:w="993" w:type="dxa"/>
            <w:tcBorders>
              <w:top w:val="single" w:sz="4" w:space="0" w:color="auto"/>
            </w:tcBorders>
          </w:tcPr>
          <w:p w14:paraId="07F5540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34.5</w:t>
            </w:r>
            <w:r w:rsidRPr="00202552">
              <w:rPr>
                <w:color w:val="000000" w:themeColor="text1"/>
                <w:sz w:val="20"/>
                <w:szCs w:val="20"/>
              </w:rPr>
              <w:t>%</w:t>
            </w:r>
          </w:p>
        </w:tc>
        <w:tc>
          <w:tcPr>
            <w:tcW w:w="850" w:type="dxa"/>
            <w:tcBorders>
              <w:top w:val="single" w:sz="4" w:space="0" w:color="auto"/>
            </w:tcBorders>
          </w:tcPr>
          <w:p w14:paraId="69A6876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36.1%</w:t>
            </w:r>
          </w:p>
        </w:tc>
        <w:tc>
          <w:tcPr>
            <w:tcW w:w="992" w:type="dxa"/>
            <w:tcBorders>
              <w:top w:val="single" w:sz="4" w:space="0" w:color="auto"/>
            </w:tcBorders>
          </w:tcPr>
          <w:p w14:paraId="34A5975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46.5</w:t>
            </w:r>
            <w:r w:rsidRPr="00202552">
              <w:rPr>
                <w:color w:val="000000" w:themeColor="text1"/>
                <w:sz w:val="20"/>
                <w:szCs w:val="20"/>
              </w:rPr>
              <w:t>%</w:t>
            </w:r>
          </w:p>
        </w:tc>
        <w:tc>
          <w:tcPr>
            <w:tcW w:w="851" w:type="dxa"/>
            <w:tcBorders>
              <w:top w:val="single" w:sz="4" w:space="0" w:color="auto"/>
            </w:tcBorders>
          </w:tcPr>
          <w:p w14:paraId="4FAAE5E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37.2</w:t>
            </w:r>
            <w:r w:rsidRPr="00202552">
              <w:rPr>
                <w:color w:val="000000" w:themeColor="text1"/>
                <w:sz w:val="20"/>
                <w:szCs w:val="20"/>
              </w:rPr>
              <w:t>%</w:t>
            </w:r>
          </w:p>
        </w:tc>
        <w:tc>
          <w:tcPr>
            <w:tcW w:w="992" w:type="dxa"/>
            <w:tcBorders>
              <w:top w:val="single" w:sz="4" w:space="0" w:color="auto"/>
            </w:tcBorders>
          </w:tcPr>
          <w:p w14:paraId="6A42A2D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44.4</w:t>
            </w:r>
            <w:r w:rsidRPr="00202552">
              <w:rPr>
                <w:color w:val="000000" w:themeColor="text1"/>
                <w:sz w:val="20"/>
                <w:szCs w:val="20"/>
              </w:rPr>
              <w:t>%</w:t>
            </w:r>
          </w:p>
        </w:tc>
        <w:tc>
          <w:tcPr>
            <w:tcW w:w="851" w:type="dxa"/>
            <w:tcBorders>
              <w:top w:val="single" w:sz="4" w:space="0" w:color="auto"/>
            </w:tcBorders>
          </w:tcPr>
          <w:p w14:paraId="196DD65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37.5</w:t>
            </w:r>
            <w:r w:rsidRPr="00202552">
              <w:rPr>
                <w:color w:val="000000" w:themeColor="text1"/>
                <w:sz w:val="20"/>
                <w:szCs w:val="20"/>
              </w:rPr>
              <w:t>%</w:t>
            </w:r>
          </w:p>
        </w:tc>
        <w:tc>
          <w:tcPr>
            <w:tcW w:w="992" w:type="dxa"/>
            <w:tcBorders>
              <w:top w:val="single" w:sz="4" w:space="0" w:color="auto"/>
            </w:tcBorders>
          </w:tcPr>
          <w:p w14:paraId="25C599D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41.7</w:t>
            </w:r>
            <w:r w:rsidRPr="00202552">
              <w:rPr>
                <w:color w:val="000000" w:themeColor="text1"/>
                <w:sz w:val="20"/>
                <w:szCs w:val="20"/>
              </w:rPr>
              <w:t>%</w:t>
            </w:r>
          </w:p>
        </w:tc>
        <w:tc>
          <w:tcPr>
            <w:tcW w:w="921" w:type="dxa"/>
            <w:tcBorders>
              <w:top w:val="single" w:sz="4" w:space="0" w:color="auto"/>
            </w:tcBorders>
          </w:tcPr>
          <w:p w14:paraId="28AB575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48.0</w:t>
            </w:r>
            <w:r w:rsidRPr="00202552">
              <w:rPr>
                <w:color w:val="000000" w:themeColor="text1"/>
                <w:sz w:val="20"/>
                <w:szCs w:val="20"/>
              </w:rPr>
              <w:t>%</w:t>
            </w:r>
          </w:p>
        </w:tc>
        <w:tc>
          <w:tcPr>
            <w:tcW w:w="922" w:type="dxa"/>
            <w:tcBorders>
              <w:top w:val="single" w:sz="4" w:space="0" w:color="auto"/>
            </w:tcBorders>
          </w:tcPr>
          <w:p w14:paraId="5043ACE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40.5</w:t>
            </w:r>
            <w:r w:rsidRPr="00202552">
              <w:rPr>
                <w:color w:val="000000" w:themeColor="text1"/>
                <w:sz w:val="20"/>
                <w:szCs w:val="20"/>
              </w:rPr>
              <w:t>%</w:t>
            </w:r>
          </w:p>
        </w:tc>
        <w:tc>
          <w:tcPr>
            <w:tcW w:w="921" w:type="dxa"/>
            <w:tcBorders>
              <w:top w:val="single" w:sz="4" w:space="0" w:color="auto"/>
            </w:tcBorders>
          </w:tcPr>
          <w:p w14:paraId="4F4E02FF"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43.7%</w:t>
            </w:r>
          </w:p>
        </w:tc>
        <w:tc>
          <w:tcPr>
            <w:tcW w:w="922" w:type="dxa"/>
            <w:tcBorders>
              <w:top w:val="single" w:sz="4" w:space="0" w:color="auto"/>
            </w:tcBorders>
          </w:tcPr>
          <w:p w14:paraId="7ED5D6F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35.3</w:t>
            </w:r>
            <w:r w:rsidRPr="00202552">
              <w:rPr>
                <w:color w:val="000000" w:themeColor="text1"/>
                <w:sz w:val="20"/>
                <w:szCs w:val="20"/>
              </w:rPr>
              <w:t>%</w:t>
            </w:r>
          </w:p>
        </w:tc>
      </w:tr>
      <w:tr w:rsidR="002C1FC6" w14:paraId="0335ED9B" w14:textId="77777777" w:rsidTr="003B3AC5">
        <w:tc>
          <w:tcPr>
            <w:tcW w:w="1135" w:type="dxa"/>
            <w:vMerge/>
          </w:tcPr>
          <w:p w14:paraId="2521AC7B" w14:textId="77777777" w:rsidR="002C1FC6" w:rsidRDefault="002C1FC6" w:rsidP="003B3AC5">
            <w:pPr>
              <w:tabs>
                <w:tab w:val="left" w:pos="284"/>
              </w:tabs>
              <w:jc w:val="both"/>
              <w:rPr>
                <w:color w:val="000000" w:themeColor="text1"/>
              </w:rPr>
            </w:pPr>
          </w:p>
        </w:tc>
        <w:tc>
          <w:tcPr>
            <w:tcW w:w="1418" w:type="dxa"/>
          </w:tcPr>
          <w:p w14:paraId="17E2B1CB" w14:textId="77777777" w:rsidR="002C1FC6" w:rsidRPr="00202552" w:rsidRDefault="002C1FC6" w:rsidP="003B3AC5">
            <w:pPr>
              <w:tabs>
                <w:tab w:val="left" w:pos="284"/>
              </w:tabs>
              <w:jc w:val="both"/>
              <w:rPr>
                <w:color w:val="000000" w:themeColor="text1"/>
                <w:sz w:val="20"/>
                <w:szCs w:val="20"/>
              </w:rPr>
            </w:pPr>
            <w:r w:rsidRPr="00202552">
              <w:rPr>
                <w:sz w:val="20"/>
                <w:szCs w:val="20"/>
              </w:rPr>
              <w:t>B2B</w:t>
            </w:r>
          </w:p>
        </w:tc>
        <w:tc>
          <w:tcPr>
            <w:tcW w:w="850" w:type="dxa"/>
          </w:tcPr>
          <w:p w14:paraId="6ECB7AA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29.4</w:t>
            </w:r>
            <w:r w:rsidRPr="00202552">
              <w:rPr>
                <w:color w:val="000000" w:themeColor="text1"/>
                <w:sz w:val="20"/>
                <w:szCs w:val="20"/>
              </w:rPr>
              <w:t>%</w:t>
            </w:r>
          </w:p>
        </w:tc>
        <w:tc>
          <w:tcPr>
            <w:tcW w:w="992" w:type="dxa"/>
          </w:tcPr>
          <w:p w14:paraId="0F2E5F6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40.5</w:t>
            </w:r>
            <w:r w:rsidRPr="00202552">
              <w:rPr>
                <w:color w:val="000000" w:themeColor="text1"/>
                <w:sz w:val="20"/>
                <w:szCs w:val="20"/>
              </w:rPr>
              <w:t>%</w:t>
            </w:r>
          </w:p>
        </w:tc>
        <w:tc>
          <w:tcPr>
            <w:tcW w:w="993" w:type="dxa"/>
          </w:tcPr>
          <w:p w14:paraId="010F6F9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36.2</w:t>
            </w:r>
            <w:r w:rsidRPr="00202552">
              <w:rPr>
                <w:color w:val="000000" w:themeColor="text1"/>
                <w:sz w:val="20"/>
                <w:szCs w:val="20"/>
              </w:rPr>
              <w:t>%</w:t>
            </w:r>
          </w:p>
        </w:tc>
        <w:tc>
          <w:tcPr>
            <w:tcW w:w="850" w:type="dxa"/>
          </w:tcPr>
          <w:p w14:paraId="483937B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27.8%</w:t>
            </w:r>
          </w:p>
        </w:tc>
        <w:tc>
          <w:tcPr>
            <w:tcW w:w="992" w:type="dxa"/>
          </w:tcPr>
          <w:p w14:paraId="561B605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19.0</w:t>
            </w:r>
            <w:r w:rsidRPr="00202552">
              <w:rPr>
                <w:color w:val="000000" w:themeColor="text1"/>
                <w:sz w:val="20"/>
                <w:szCs w:val="20"/>
              </w:rPr>
              <w:t>%</w:t>
            </w:r>
          </w:p>
        </w:tc>
        <w:tc>
          <w:tcPr>
            <w:tcW w:w="851" w:type="dxa"/>
          </w:tcPr>
          <w:p w14:paraId="734BCE6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27.9</w:t>
            </w:r>
            <w:r w:rsidRPr="00202552">
              <w:rPr>
                <w:color w:val="000000" w:themeColor="text1"/>
                <w:sz w:val="20"/>
                <w:szCs w:val="20"/>
              </w:rPr>
              <w:t>%</w:t>
            </w:r>
          </w:p>
        </w:tc>
        <w:tc>
          <w:tcPr>
            <w:tcW w:w="992" w:type="dxa"/>
          </w:tcPr>
          <w:p w14:paraId="3E396B3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33.3</w:t>
            </w:r>
            <w:r w:rsidRPr="00202552">
              <w:rPr>
                <w:color w:val="000000" w:themeColor="text1"/>
                <w:sz w:val="20"/>
                <w:szCs w:val="20"/>
              </w:rPr>
              <w:t>%</w:t>
            </w:r>
          </w:p>
        </w:tc>
        <w:tc>
          <w:tcPr>
            <w:tcW w:w="851" w:type="dxa"/>
          </w:tcPr>
          <w:p w14:paraId="3BD28F6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37.5</w:t>
            </w:r>
            <w:r w:rsidRPr="00202552">
              <w:rPr>
                <w:color w:val="000000" w:themeColor="text1"/>
                <w:sz w:val="20"/>
                <w:szCs w:val="20"/>
              </w:rPr>
              <w:t>%</w:t>
            </w:r>
          </w:p>
        </w:tc>
        <w:tc>
          <w:tcPr>
            <w:tcW w:w="992" w:type="dxa"/>
          </w:tcPr>
          <w:p w14:paraId="17D4DA6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41.7</w:t>
            </w:r>
            <w:r w:rsidRPr="00202552">
              <w:rPr>
                <w:color w:val="000000" w:themeColor="text1"/>
                <w:sz w:val="20"/>
                <w:szCs w:val="20"/>
              </w:rPr>
              <w:t>%</w:t>
            </w:r>
          </w:p>
        </w:tc>
        <w:tc>
          <w:tcPr>
            <w:tcW w:w="921" w:type="dxa"/>
          </w:tcPr>
          <w:p w14:paraId="5BCC90A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24.0</w:t>
            </w:r>
            <w:r w:rsidRPr="00202552">
              <w:rPr>
                <w:color w:val="000000" w:themeColor="text1"/>
                <w:sz w:val="20"/>
                <w:szCs w:val="20"/>
              </w:rPr>
              <w:t>%</w:t>
            </w:r>
          </w:p>
        </w:tc>
        <w:tc>
          <w:tcPr>
            <w:tcW w:w="922" w:type="dxa"/>
          </w:tcPr>
          <w:p w14:paraId="51D5C5E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27.0</w:t>
            </w:r>
            <w:r w:rsidRPr="00202552">
              <w:rPr>
                <w:color w:val="000000" w:themeColor="text1"/>
                <w:sz w:val="20"/>
                <w:szCs w:val="20"/>
              </w:rPr>
              <w:t>%</w:t>
            </w:r>
          </w:p>
        </w:tc>
        <w:tc>
          <w:tcPr>
            <w:tcW w:w="921" w:type="dxa"/>
          </w:tcPr>
          <w:p w14:paraId="111554EF"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28.2%</w:t>
            </w:r>
          </w:p>
        </w:tc>
        <w:tc>
          <w:tcPr>
            <w:tcW w:w="922" w:type="dxa"/>
          </w:tcPr>
          <w:p w14:paraId="7A680287"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35.3%</w:t>
            </w:r>
          </w:p>
        </w:tc>
      </w:tr>
      <w:tr w:rsidR="002C1FC6" w14:paraId="1ABC34A0" w14:textId="77777777" w:rsidTr="003B3AC5">
        <w:trPr>
          <w:trHeight w:val="321"/>
        </w:trPr>
        <w:tc>
          <w:tcPr>
            <w:tcW w:w="1135" w:type="dxa"/>
            <w:vMerge/>
          </w:tcPr>
          <w:p w14:paraId="46E910D3" w14:textId="77777777" w:rsidR="002C1FC6" w:rsidRDefault="002C1FC6" w:rsidP="003B3AC5">
            <w:pPr>
              <w:tabs>
                <w:tab w:val="left" w:pos="284"/>
              </w:tabs>
              <w:jc w:val="both"/>
              <w:rPr>
                <w:color w:val="000000" w:themeColor="text1"/>
              </w:rPr>
            </w:pPr>
          </w:p>
        </w:tc>
        <w:tc>
          <w:tcPr>
            <w:tcW w:w="1418" w:type="dxa"/>
          </w:tcPr>
          <w:p w14:paraId="76374D5C" w14:textId="77777777" w:rsidR="002C1FC6" w:rsidRPr="00202552" w:rsidRDefault="002C1FC6" w:rsidP="003B3AC5">
            <w:pPr>
              <w:tabs>
                <w:tab w:val="left" w:pos="284"/>
              </w:tabs>
              <w:jc w:val="both"/>
              <w:rPr>
                <w:color w:val="000000" w:themeColor="text1"/>
                <w:sz w:val="20"/>
                <w:szCs w:val="20"/>
              </w:rPr>
            </w:pPr>
            <w:r w:rsidRPr="00202552">
              <w:rPr>
                <w:sz w:val="20"/>
                <w:szCs w:val="20"/>
              </w:rPr>
              <w:t>Both</w:t>
            </w:r>
          </w:p>
        </w:tc>
        <w:tc>
          <w:tcPr>
            <w:tcW w:w="850" w:type="dxa"/>
          </w:tcPr>
          <w:p w14:paraId="429FCA0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30.6</w:t>
            </w:r>
            <w:r w:rsidRPr="00202552">
              <w:rPr>
                <w:color w:val="000000" w:themeColor="text1"/>
                <w:sz w:val="20"/>
                <w:szCs w:val="20"/>
              </w:rPr>
              <w:t>%</w:t>
            </w:r>
          </w:p>
        </w:tc>
        <w:tc>
          <w:tcPr>
            <w:tcW w:w="992" w:type="dxa"/>
          </w:tcPr>
          <w:p w14:paraId="0716D8F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29.5</w:t>
            </w:r>
            <w:r w:rsidRPr="00202552">
              <w:rPr>
                <w:color w:val="000000" w:themeColor="text1"/>
                <w:sz w:val="20"/>
                <w:szCs w:val="20"/>
              </w:rPr>
              <w:t>%</w:t>
            </w:r>
          </w:p>
        </w:tc>
        <w:tc>
          <w:tcPr>
            <w:tcW w:w="993" w:type="dxa"/>
          </w:tcPr>
          <w:p w14:paraId="128F6FA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29.3</w:t>
            </w:r>
            <w:r w:rsidRPr="00202552">
              <w:rPr>
                <w:color w:val="000000" w:themeColor="text1"/>
                <w:sz w:val="20"/>
                <w:szCs w:val="20"/>
              </w:rPr>
              <w:t>%</w:t>
            </w:r>
          </w:p>
        </w:tc>
        <w:tc>
          <w:tcPr>
            <w:tcW w:w="850" w:type="dxa"/>
          </w:tcPr>
          <w:p w14:paraId="23BC0CCD"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36.1%</w:t>
            </w:r>
          </w:p>
        </w:tc>
        <w:tc>
          <w:tcPr>
            <w:tcW w:w="992" w:type="dxa"/>
          </w:tcPr>
          <w:p w14:paraId="0043DCD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34.5</w:t>
            </w:r>
            <w:r w:rsidRPr="00202552">
              <w:rPr>
                <w:color w:val="000000" w:themeColor="text1"/>
                <w:sz w:val="20"/>
                <w:szCs w:val="20"/>
              </w:rPr>
              <w:t>%</w:t>
            </w:r>
          </w:p>
        </w:tc>
        <w:tc>
          <w:tcPr>
            <w:tcW w:w="851" w:type="dxa"/>
          </w:tcPr>
          <w:p w14:paraId="467C82D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34.9</w:t>
            </w:r>
            <w:r w:rsidRPr="00202552">
              <w:rPr>
                <w:color w:val="000000" w:themeColor="text1"/>
                <w:sz w:val="20"/>
                <w:szCs w:val="20"/>
              </w:rPr>
              <w:t>%</w:t>
            </w:r>
          </w:p>
        </w:tc>
        <w:tc>
          <w:tcPr>
            <w:tcW w:w="992" w:type="dxa"/>
          </w:tcPr>
          <w:p w14:paraId="31B5592A"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22.2</w:t>
            </w:r>
            <w:r w:rsidRPr="00202552">
              <w:rPr>
                <w:color w:val="000000" w:themeColor="text1"/>
                <w:sz w:val="20"/>
                <w:szCs w:val="20"/>
              </w:rPr>
              <w:t>%</w:t>
            </w:r>
          </w:p>
        </w:tc>
        <w:tc>
          <w:tcPr>
            <w:tcW w:w="851" w:type="dxa"/>
          </w:tcPr>
          <w:p w14:paraId="152A724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25.0</w:t>
            </w:r>
            <w:r w:rsidRPr="00202552">
              <w:rPr>
                <w:color w:val="000000" w:themeColor="text1"/>
                <w:sz w:val="20"/>
                <w:szCs w:val="20"/>
              </w:rPr>
              <w:t>%</w:t>
            </w:r>
          </w:p>
        </w:tc>
        <w:tc>
          <w:tcPr>
            <w:tcW w:w="992" w:type="dxa"/>
          </w:tcPr>
          <w:p w14:paraId="186FF03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16.7</w:t>
            </w:r>
            <w:r w:rsidRPr="00202552">
              <w:rPr>
                <w:color w:val="000000" w:themeColor="text1"/>
                <w:sz w:val="20"/>
                <w:szCs w:val="20"/>
              </w:rPr>
              <w:t>%</w:t>
            </w:r>
          </w:p>
        </w:tc>
        <w:tc>
          <w:tcPr>
            <w:tcW w:w="921" w:type="dxa"/>
          </w:tcPr>
          <w:p w14:paraId="195EDAE0"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28.</w:t>
            </w:r>
            <w:r>
              <w:rPr>
                <w:color w:val="000000" w:themeColor="text1"/>
                <w:sz w:val="20"/>
                <w:szCs w:val="20"/>
                <w:lang w:val="el-GR"/>
              </w:rPr>
              <w:t>0</w:t>
            </w:r>
            <w:r w:rsidRPr="00202552">
              <w:rPr>
                <w:color w:val="000000" w:themeColor="text1"/>
                <w:sz w:val="20"/>
                <w:szCs w:val="20"/>
              </w:rPr>
              <w:t>%</w:t>
            </w:r>
          </w:p>
        </w:tc>
        <w:tc>
          <w:tcPr>
            <w:tcW w:w="922" w:type="dxa"/>
          </w:tcPr>
          <w:p w14:paraId="66FF910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32.4</w:t>
            </w:r>
            <w:r w:rsidRPr="00202552">
              <w:rPr>
                <w:color w:val="000000" w:themeColor="text1"/>
                <w:sz w:val="20"/>
                <w:szCs w:val="20"/>
              </w:rPr>
              <w:t>%</w:t>
            </w:r>
          </w:p>
        </w:tc>
        <w:tc>
          <w:tcPr>
            <w:tcW w:w="921" w:type="dxa"/>
          </w:tcPr>
          <w:p w14:paraId="756A8DBB"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28.2%</w:t>
            </w:r>
          </w:p>
        </w:tc>
        <w:tc>
          <w:tcPr>
            <w:tcW w:w="922" w:type="dxa"/>
          </w:tcPr>
          <w:p w14:paraId="13CC2BE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lang w:val="el-GR"/>
              </w:rPr>
              <w:t>29.4</w:t>
            </w:r>
            <w:r w:rsidRPr="00202552">
              <w:rPr>
                <w:color w:val="000000" w:themeColor="text1"/>
                <w:sz w:val="20"/>
                <w:szCs w:val="20"/>
              </w:rPr>
              <w:t>%</w:t>
            </w:r>
          </w:p>
        </w:tc>
      </w:tr>
      <w:tr w:rsidR="002C1FC6" w14:paraId="411D5DBC" w14:textId="77777777" w:rsidTr="003B3AC5">
        <w:trPr>
          <w:trHeight w:val="93"/>
        </w:trPr>
        <w:tc>
          <w:tcPr>
            <w:tcW w:w="1135" w:type="dxa"/>
            <w:vMerge/>
            <w:tcBorders>
              <w:bottom w:val="single" w:sz="4" w:space="0" w:color="auto"/>
            </w:tcBorders>
          </w:tcPr>
          <w:p w14:paraId="413BA874" w14:textId="77777777" w:rsidR="002C1FC6" w:rsidRDefault="002C1FC6" w:rsidP="003B3AC5">
            <w:pPr>
              <w:tabs>
                <w:tab w:val="left" w:pos="284"/>
              </w:tabs>
              <w:jc w:val="both"/>
              <w:rPr>
                <w:color w:val="000000" w:themeColor="text1"/>
              </w:rPr>
            </w:pPr>
          </w:p>
        </w:tc>
        <w:tc>
          <w:tcPr>
            <w:tcW w:w="1418" w:type="dxa"/>
            <w:tcBorders>
              <w:bottom w:val="single" w:sz="4" w:space="0" w:color="auto"/>
            </w:tcBorders>
          </w:tcPr>
          <w:p w14:paraId="28BA4B2D"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Total</w:t>
            </w:r>
          </w:p>
        </w:tc>
        <w:tc>
          <w:tcPr>
            <w:tcW w:w="850" w:type="dxa"/>
            <w:tcBorders>
              <w:bottom w:val="single" w:sz="4" w:space="0" w:color="auto"/>
            </w:tcBorders>
          </w:tcPr>
          <w:p w14:paraId="0DE2B972"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4DF0F17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3" w:type="dxa"/>
            <w:tcBorders>
              <w:bottom w:val="single" w:sz="4" w:space="0" w:color="auto"/>
            </w:tcBorders>
          </w:tcPr>
          <w:p w14:paraId="2F6BBAF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0" w:type="dxa"/>
            <w:tcBorders>
              <w:bottom w:val="single" w:sz="4" w:space="0" w:color="auto"/>
            </w:tcBorders>
          </w:tcPr>
          <w:p w14:paraId="52F08F0A"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71AC4F6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7A6EAA95"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02930EB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5EA759D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552D85A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4E6C9F7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382EB5F5"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7307390A"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772427F2"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r>
      <w:tr w:rsidR="002C1FC6" w14:paraId="655A3AC9" w14:textId="77777777" w:rsidTr="003B3AC5">
        <w:trPr>
          <w:trHeight w:val="158"/>
        </w:trPr>
        <w:tc>
          <w:tcPr>
            <w:tcW w:w="10916" w:type="dxa"/>
            <w:gridSpan w:val="11"/>
            <w:tcBorders>
              <w:top w:val="single" w:sz="4" w:space="0" w:color="auto"/>
            </w:tcBorders>
          </w:tcPr>
          <w:p w14:paraId="1EA1C1A7"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3E8EDAAA"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0967920A" w14:textId="77777777" w:rsidR="002C1FC6" w:rsidRPr="005C39B3" w:rsidRDefault="002C1FC6" w:rsidP="003B3AC5">
            <w:pPr>
              <w:tabs>
                <w:tab w:val="left" w:pos="284"/>
              </w:tabs>
              <w:jc w:val="both"/>
              <w:rPr>
                <w:color w:val="000000" w:themeColor="text1"/>
                <w:sz w:val="10"/>
                <w:szCs w:val="10"/>
              </w:rPr>
            </w:pPr>
          </w:p>
        </w:tc>
      </w:tr>
      <w:tr w:rsidR="002C1FC6" w14:paraId="29A8E2C7" w14:textId="77777777" w:rsidTr="003B3AC5">
        <w:tc>
          <w:tcPr>
            <w:tcW w:w="1135" w:type="dxa"/>
            <w:vMerge w:val="restart"/>
          </w:tcPr>
          <w:p w14:paraId="518E10DA" w14:textId="77777777" w:rsidR="002C1FC6" w:rsidRPr="00202552" w:rsidRDefault="002C1FC6" w:rsidP="003B3AC5">
            <w:pPr>
              <w:tabs>
                <w:tab w:val="left" w:pos="284"/>
              </w:tabs>
              <w:jc w:val="both"/>
              <w:rPr>
                <w:color w:val="000000" w:themeColor="text1"/>
                <w:sz w:val="20"/>
                <w:szCs w:val="20"/>
              </w:rPr>
            </w:pPr>
            <w:r w:rsidRPr="00202552">
              <w:rPr>
                <w:b/>
                <w:caps/>
                <w:sz w:val="20"/>
                <w:szCs w:val="20"/>
              </w:rPr>
              <w:t>Type</w:t>
            </w:r>
          </w:p>
        </w:tc>
        <w:tc>
          <w:tcPr>
            <w:tcW w:w="1418" w:type="dxa"/>
          </w:tcPr>
          <w:p w14:paraId="5229613F" w14:textId="77777777" w:rsidR="002C1FC6" w:rsidRPr="00202552" w:rsidRDefault="002C1FC6" w:rsidP="003B3AC5">
            <w:pPr>
              <w:tabs>
                <w:tab w:val="left" w:pos="284"/>
              </w:tabs>
              <w:jc w:val="both"/>
              <w:rPr>
                <w:color w:val="000000" w:themeColor="text1"/>
                <w:sz w:val="20"/>
                <w:szCs w:val="20"/>
              </w:rPr>
            </w:pPr>
            <w:r w:rsidRPr="00202552">
              <w:rPr>
                <w:sz w:val="20"/>
                <w:szCs w:val="20"/>
              </w:rPr>
              <w:t>Domestic</w:t>
            </w:r>
          </w:p>
        </w:tc>
        <w:tc>
          <w:tcPr>
            <w:tcW w:w="850" w:type="dxa"/>
          </w:tcPr>
          <w:p w14:paraId="188496D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61</w:t>
            </w:r>
            <w:r>
              <w:rPr>
                <w:color w:val="000000" w:themeColor="text1"/>
                <w:sz w:val="20"/>
                <w:szCs w:val="20"/>
                <w:lang w:val="el-GR"/>
              </w:rPr>
              <w:t>.</w:t>
            </w:r>
            <w:r>
              <w:rPr>
                <w:color w:val="000000" w:themeColor="text1"/>
                <w:sz w:val="20"/>
                <w:szCs w:val="20"/>
              </w:rPr>
              <w:t>2</w:t>
            </w:r>
            <w:r w:rsidRPr="00202552">
              <w:rPr>
                <w:color w:val="000000" w:themeColor="text1"/>
                <w:sz w:val="20"/>
                <w:szCs w:val="20"/>
              </w:rPr>
              <w:t>%</w:t>
            </w:r>
          </w:p>
        </w:tc>
        <w:tc>
          <w:tcPr>
            <w:tcW w:w="992" w:type="dxa"/>
          </w:tcPr>
          <w:p w14:paraId="319C621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56.8</w:t>
            </w:r>
            <w:r w:rsidRPr="00202552">
              <w:rPr>
                <w:color w:val="000000" w:themeColor="text1"/>
                <w:sz w:val="20"/>
                <w:szCs w:val="20"/>
              </w:rPr>
              <w:t>%</w:t>
            </w:r>
          </w:p>
        </w:tc>
        <w:tc>
          <w:tcPr>
            <w:tcW w:w="993" w:type="dxa"/>
          </w:tcPr>
          <w:p w14:paraId="576CFDD3"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63.8</w:t>
            </w:r>
            <w:r w:rsidRPr="00202552">
              <w:rPr>
                <w:color w:val="000000" w:themeColor="text1"/>
                <w:sz w:val="20"/>
                <w:szCs w:val="20"/>
              </w:rPr>
              <w:t>%</w:t>
            </w:r>
          </w:p>
        </w:tc>
        <w:tc>
          <w:tcPr>
            <w:tcW w:w="850" w:type="dxa"/>
          </w:tcPr>
          <w:p w14:paraId="0B527B32"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69.4%</w:t>
            </w:r>
          </w:p>
        </w:tc>
        <w:tc>
          <w:tcPr>
            <w:tcW w:w="992" w:type="dxa"/>
          </w:tcPr>
          <w:p w14:paraId="764CE41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65.5</w:t>
            </w:r>
            <w:r w:rsidRPr="00202552">
              <w:rPr>
                <w:color w:val="000000" w:themeColor="text1"/>
                <w:sz w:val="20"/>
                <w:szCs w:val="20"/>
              </w:rPr>
              <w:t>%</w:t>
            </w:r>
          </w:p>
        </w:tc>
        <w:tc>
          <w:tcPr>
            <w:tcW w:w="851" w:type="dxa"/>
          </w:tcPr>
          <w:p w14:paraId="7ED6FF4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46.5</w:t>
            </w:r>
            <w:r w:rsidRPr="00202552">
              <w:rPr>
                <w:color w:val="000000" w:themeColor="text1"/>
                <w:sz w:val="20"/>
                <w:szCs w:val="20"/>
              </w:rPr>
              <w:t>%</w:t>
            </w:r>
          </w:p>
        </w:tc>
        <w:tc>
          <w:tcPr>
            <w:tcW w:w="992" w:type="dxa"/>
          </w:tcPr>
          <w:p w14:paraId="190D089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55.6</w:t>
            </w:r>
            <w:r w:rsidRPr="00202552">
              <w:rPr>
                <w:color w:val="000000" w:themeColor="text1"/>
                <w:sz w:val="20"/>
                <w:szCs w:val="20"/>
              </w:rPr>
              <w:t>%</w:t>
            </w:r>
          </w:p>
        </w:tc>
        <w:tc>
          <w:tcPr>
            <w:tcW w:w="851" w:type="dxa"/>
          </w:tcPr>
          <w:p w14:paraId="2410283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37.5</w:t>
            </w:r>
            <w:r w:rsidRPr="00202552">
              <w:rPr>
                <w:color w:val="000000" w:themeColor="text1"/>
                <w:sz w:val="20"/>
                <w:szCs w:val="20"/>
              </w:rPr>
              <w:t>%</w:t>
            </w:r>
          </w:p>
        </w:tc>
        <w:tc>
          <w:tcPr>
            <w:tcW w:w="992" w:type="dxa"/>
          </w:tcPr>
          <w:p w14:paraId="1AE3436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25.0</w:t>
            </w:r>
            <w:r w:rsidRPr="00202552">
              <w:rPr>
                <w:color w:val="000000" w:themeColor="text1"/>
                <w:sz w:val="20"/>
                <w:szCs w:val="20"/>
              </w:rPr>
              <w:t>%</w:t>
            </w:r>
          </w:p>
        </w:tc>
        <w:tc>
          <w:tcPr>
            <w:tcW w:w="921" w:type="dxa"/>
          </w:tcPr>
          <w:p w14:paraId="1B9ECC6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56.0</w:t>
            </w:r>
            <w:r w:rsidRPr="00202552">
              <w:rPr>
                <w:color w:val="000000" w:themeColor="text1"/>
                <w:sz w:val="20"/>
                <w:szCs w:val="20"/>
              </w:rPr>
              <w:t>%</w:t>
            </w:r>
          </w:p>
        </w:tc>
        <w:tc>
          <w:tcPr>
            <w:tcW w:w="922" w:type="dxa"/>
          </w:tcPr>
          <w:p w14:paraId="36150F9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51</w:t>
            </w:r>
            <w:r w:rsidRPr="00202552">
              <w:rPr>
                <w:color w:val="000000" w:themeColor="text1"/>
                <w:sz w:val="20"/>
                <w:szCs w:val="20"/>
              </w:rPr>
              <w:t>.4%</w:t>
            </w:r>
          </w:p>
        </w:tc>
        <w:tc>
          <w:tcPr>
            <w:tcW w:w="921" w:type="dxa"/>
          </w:tcPr>
          <w:p w14:paraId="610320B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76.4</w:t>
            </w:r>
            <w:r w:rsidRPr="00202552">
              <w:rPr>
                <w:color w:val="000000" w:themeColor="text1"/>
                <w:sz w:val="20"/>
                <w:szCs w:val="20"/>
              </w:rPr>
              <w:t>%</w:t>
            </w:r>
          </w:p>
        </w:tc>
        <w:tc>
          <w:tcPr>
            <w:tcW w:w="922" w:type="dxa"/>
          </w:tcPr>
          <w:p w14:paraId="5009F92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85.3</w:t>
            </w:r>
            <w:r w:rsidRPr="00202552">
              <w:rPr>
                <w:color w:val="000000" w:themeColor="text1"/>
                <w:sz w:val="20"/>
                <w:szCs w:val="20"/>
              </w:rPr>
              <w:t>%</w:t>
            </w:r>
          </w:p>
        </w:tc>
      </w:tr>
      <w:tr w:rsidR="002C1FC6" w14:paraId="1DBEFB4E" w14:textId="77777777" w:rsidTr="003B3AC5">
        <w:tc>
          <w:tcPr>
            <w:tcW w:w="1135" w:type="dxa"/>
            <w:vMerge/>
          </w:tcPr>
          <w:p w14:paraId="4F10C54F" w14:textId="77777777" w:rsidR="002C1FC6" w:rsidRDefault="002C1FC6" w:rsidP="003B3AC5">
            <w:pPr>
              <w:tabs>
                <w:tab w:val="left" w:pos="284"/>
              </w:tabs>
              <w:jc w:val="both"/>
              <w:rPr>
                <w:color w:val="000000" w:themeColor="text1"/>
              </w:rPr>
            </w:pPr>
          </w:p>
        </w:tc>
        <w:tc>
          <w:tcPr>
            <w:tcW w:w="1418" w:type="dxa"/>
          </w:tcPr>
          <w:p w14:paraId="516E3972" w14:textId="77777777" w:rsidR="002C1FC6" w:rsidRPr="00202552" w:rsidRDefault="002C1FC6" w:rsidP="003B3AC5">
            <w:pPr>
              <w:tabs>
                <w:tab w:val="left" w:pos="284"/>
              </w:tabs>
              <w:jc w:val="both"/>
              <w:rPr>
                <w:color w:val="000000" w:themeColor="text1"/>
                <w:sz w:val="20"/>
                <w:szCs w:val="20"/>
              </w:rPr>
            </w:pPr>
            <w:r w:rsidRPr="00202552">
              <w:rPr>
                <w:sz w:val="20"/>
                <w:szCs w:val="20"/>
              </w:rPr>
              <w:t>Multinational</w:t>
            </w:r>
          </w:p>
        </w:tc>
        <w:tc>
          <w:tcPr>
            <w:tcW w:w="850" w:type="dxa"/>
          </w:tcPr>
          <w:p w14:paraId="0C9EAAC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38.8</w:t>
            </w:r>
            <w:r w:rsidRPr="00202552">
              <w:rPr>
                <w:color w:val="000000" w:themeColor="text1"/>
                <w:sz w:val="20"/>
                <w:szCs w:val="20"/>
              </w:rPr>
              <w:t>%</w:t>
            </w:r>
          </w:p>
        </w:tc>
        <w:tc>
          <w:tcPr>
            <w:tcW w:w="992" w:type="dxa"/>
          </w:tcPr>
          <w:p w14:paraId="3E0A380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43.2</w:t>
            </w:r>
            <w:r w:rsidRPr="00202552">
              <w:rPr>
                <w:color w:val="000000" w:themeColor="text1"/>
                <w:sz w:val="20"/>
                <w:szCs w:val="20"/>
              </w:rPr>
              <w:t>%</w:t>
            </w:r>
          </w:p>
        </w:tc>
        <w:tc>
          <w:tcPr>
            <w:tcW w:w="993" w:type="dxa"/>
          </w:tcPr>
          <w:p w14:paraId="29147D6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36.2</w:t>
            </w:r>
            <w:r w:rsidRPr="00202552">
              <w:rPr>
                <w:color w:val="000000" w:themeColor="text1"/>
                <w:sz w:val="20"/>
                <w:szCs w:val="20"/>
              </w:rPr>
              <w:t>%</w:t>
            </w:r>
          </w:p>
        </w:tc>
        <w:tc>
          <w:tcPr>
            <w:tcW w:w="850" w:type="dxa"/>
          </w:tcPr>
          <w:p w14:paraId="121B7A8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30.6%</w:t>
            </w:r>
          </w:p>
        </w:tc>
        <w:tc>
          <w:tcPr>
            <w:tcW w:w="992" w:type="dxa"/>
          </w:tcPr>
          <w:p w14:paraId="4337BFD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34.5</w:t>
            </w:r>
            <w:r w:rsidRPr="00202552">
              <w:rPr>
                <w:color w:val="000000" w:themeColor="text1"/>
                <w:sz w:val="20"/>
                <w:szCs w:val="20"/>
              </w:rPr>
              <w:t>%</w:t>
            </w:r>
          </w:p>
        </w:tc>
        <w:tc>
          <w:tcPr>
            <w:tcW w:w="851" w:type="dxa"/>
          </w:tcPr>
          <w:p w14:paraId="4CC87E0A"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53.5</w:t>
            </w:r>
            <w:r w:rsidRPr="00202552">
              <w:rPr>
                <w:color w:val="000000" w:themeColor="text1"/>
                <w:sz w:val="20"/>
                <w:szCs w:val="20"/>
              </w:rPr>
              <w:t>%</w:t>
            </w:r>
          </w:p>
        </w:tc>
        <w:tc>
          <w:tcPr>
            <w:tcW w:w="992" w:type="dxa"/>
          </w:tcPr>
          <w:p w14:paraId="4298300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44.4</w:t>
            </w:r>
            <w:r w:rsidRPr="00202552">
              <w:rPr>
                <w:color w:val="000000" w:themeColor="text1"/>
                <w:sz w:val="20"/>
                <w:szCs w:val="20"/>
              </w:rPr>
              <w:t>%</w:t>
            </w:r>
          </w:p>
        </w:tc>
        <w:tc>
          <w:tcPr>
            <w:tcW w:w="851" w:type="dxa"/>
          </w:tcPr>
          <w:p w14:paraId="63777A0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62.5</w:t>
            </w:r>
            <w:r w:rsidRPr="00202552">
              <w:rPr>
                <w:color w:val="000000" w:themeColor="text1"/>
                <w:sz w:val="20"/>
                <w:szCs w:val="20"/>
              </w:rPr>
              <w:t>%</w:t>
            </w:r>
          </w:p>
        </w:tc>
        <w:tc>
          <w:tcPr>
            <w:tcW w:w="992" w:type="dxa"/>
          </w:tcPr>
          <w:p w14:paraId="799201B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75.0</w:t>
            </w:r>
            <w:r w:rsidRPr="00202552">
              <w:rPr>
                <w:color w:val="000000" w:themeColor="text1"/>
                <w:sz w:val="20"/>
                <w:szCs w:val="20"/>
              </w:rPr>
              <w:t>%</w:t>
            </w:r>
          </w:p>
        </w:tc>
        <w:tc>
          <w:tcPr>
            <w:tcW w:w="921" w:type="dxa"/>
          </w:tcPr>
          <w:p w14:paraId="71589DC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44.0</w:t>
            </w:r>
            <w:r w:rsidRPr="00202552">
              <w:rPr>
                <w:color w:val="000000" w:themeColor="text1"/>
                <w:sz w:val="20"/>
                <w:szCs w:val="20"/>
              </w:rPr>
              <w:t>%</w:t>
            </w:r>
          </w:p>
        </w:tc>
        <w:tc>
          <w:tcPr>
            <w:tcW w:w="922" w:type="dxa"/>
          </w:tcPr>
          <w:p w14:paraId="6FA99C1A"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48</w:t>
            </w:r>
            <w:r w:rsidRPr="00202552">
              <w:rPr>
                <w:color w:val="000000" w:themeColor="text1"/>
                <w:sz w:val="20"/>
                <w:szCs w:val="20"/>
              </w:rPr>
              <w:t>.6%</w:t>
            </w:r>
          </w:p>
        </w:tc>
        <w:tc>
          <w:tcPr>
            <w:tcW w:w="921" w:type="dxa"/>
          </w:tcPr>
          <w:p w14:paraId="58D6964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25.4</w:t>
            </w:r>
            <w:r w:rsidRPr="00202552">
              <w:rPr>
                <w:color w:val="000000" w:themeColor="text1"/>
                <w:sz w:val="20"/>
                <w:szCs w:val="20"/>
              </w:rPr>
              <w:t>%</w:t>
            </w:r>
          </w:p>
        </w:tc>
        <w:tc>
          <w:tcPr>
            <w:tcW w:w="922" w:type="dxa"/>
          </w:tcPr>
          <w:p w14:paraId="3B50970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14.7</w:t>
            </w:r>
            <w:r w:rsidRPr="00202552">
              <w:rPr>
                <w:color w:val="000000" w:themeColor="text1"/>
                <w:sz w:val="20"/>
                <w:szCs w:val="20"/>
              </w:rPr>
              <w:t>%</w:t>
            </w:r>
          </w:p>
        </w:tc>
      </w:tr>
      <w:tr w:rsidR="002C1FC6" w14:paraId="6B506CF7" w14:textId="77777777" w:rsidTr="003B3AC5">
        <w:tc>
          <w:tcPr>
            <w:tcW w:w="1135" w:type="dxa"/>
            <w:vMerge/>
            <w:tcBorders>
              <w:bottom w:val="single" w:sz="4" w:space="0" w:color="auto"/>
            </w:tcBorders>
          </w:tcPr>
          <w:p w14:paraId="42BB9A4E" w14:textId="77777777" w:rsidR="002C1FC6" w:rsidRDefault="002C1FC6" w:rsidP="003B3AC5">
            <w:pPr>
              <w:tabs>
                <w:tab w:val="left" w:pos="284"/>
              </w:tabs>
              <w:jc w:val="both"/>
              <w:rPr>
                <w:color w:val="000000" w:themeColor="text1"/>
              </w:rPr>
            </w:pPr>
          </w:p>
        </w:tc>
        <w:tc>
          <w:tcPr>
            <w:tcW w:w="1418" w:type="dxa"/>
            <w:tcBorders>
              <w:bottom w:val="single" w:sz="4" w:space="0" w:color="auto"/>
            </w:tcBorders>
            <w:vAlign w:val="center"/>
          </w:tcPr>
          <w:p w14:paraId="321B7A4E"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Total</w:t>
            </w:r>
          </w:p>
        </w:tc>
        <w:tc>
          <w:tcPr>
            <w:tcW w:w="850" w:type="dxa"/>
            <w:tcBorders>
              <w:bottom w:val="single" w:sz="4" w:space="0" w:color="auto"/>
            </w:tcBorders>
            <w:vAlign w:val="center"/>
          </w:tcPr>
          <w:p w14:paraId="632FBF40"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39C8EDF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3" w:type="dxa"/>
            <w:tcBorders>
              <w:bottom w:val="single" w:sz="4" w:space="0" w:color="auto"/>
            </w:tcBorders>
          </w:tcPr>
          <w:p w14:paraId="6C5CFB6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0" w:type="dxa"/>
            <w:tcBorders>
              <w:bottom w:val="single" w:sz="4" w:space="0" w:color="auto"/>
            </w:tcBorders>
          </w:tcPr>
          <w:p w14:paraId="4625C236"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31986E0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3FC0F4C7"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687B5D0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5FAC63C7"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737CB6C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127C3F25"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438F1BEC"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642F106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7C94962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r>
      <w:tr w:rsidR="002C1FC6" w14:paraId="2205DABA" w14:textId="77777777" w:rsidTr="003B3AC5">
        <w:trPr>
          <w:trHeight w:val="179"/>
        </w:trPr>
        <w:tc>
          <w:tcPr>
            <w:tcW w:w="10916" w:type="dxa"/>
            <w:gridSpan w:val="11"/>
            <w:tcBorders>
              <w:top w:val="single" w:sz="4" w:space="0" w:color="auto"/>
            </w:tcBorders>
          </w:tcPr>
          <w:p w14:paraId="07713F0A"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1E8C0720"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7CFA1BB5" w14:textId="77777777" w:rsidR="002C1FC6" w:rsidRPr="005C39B3" w:rsidRDefault="002C1FC6" w:rsidP="003B3AC5">
            <w:pPr>
              <w:tabs>
                <w:tab w:val="left" w:pos="284"/>
              </w:tabs>
              <w:jc w:val="both"/>
              <w:rPr>
                <w:color w:val="000000" w:themeColor="text1"/>
                <w:sz w:val="10"/>
                <w:szCs w:val="10"/>
              </w:rPr>
            </w:pPr>
          </w:p>
        </w:tc>
      </w:tr>
      <w:tr w:rsidR="002C1FC6" w14:paraId="640B4BF0" w14:textId="77777777" w:rsidTr="003B3AC5">
        <w:tc>
          <w:tcPr>
            <w:tcW w:w="1135" w:type="dxa"/>
            <w:vMerge w:val="restart"/>
          </w:tcPr>
          <w:p w14:paraId="55A4E1AB" w14:textId="77777777" w:rsidR="002C1FC6" w:rsidRPr="00202552" w:rsidRDefault="002C1FC6" w:rsidP="003B3AC5">
            <w:pPr>
              <w:tabs>
                <w:tab w:val="left" w:pos="284"/>
              </w:tabs>
              <w:jc w:val="both"/>
              <w:rPr>
                <w:color w:val="000000" w:themeColor="text1"/>
                <w:sz w:val="20"/>
                <w:szCs w:val="20"/>
              </w:rPr>
            </w:pPr>
            <w:r w:rsidRPr="00202552">
              <w:rPr>
                <w:b/>
                <w:caps/>
                <w:sz w:val="20"/>
                <w:szCs w:val="20"/>
              </w:rPr>
              <w:t>Sector</w:t>
            </w:r>
          </w:p>
        </w:tc>
        <w:tc>
          <w:tcPr>
            <w:tcW w:w="1418" w:type="dxa"/>
          </w:tcPr>
          <w:p w14:paraId="31723DA1" w14:textId="77777777" w:rsidR="002C1FC6" w:rsidRPr="00202552" w:rsidRDefault="002C1FC6" w:rsidP="003B3AC5">
            <w:pPr>
              <w:tabs>
                <w:tab w:val="left" w:pos="284"/>
              </w:tabs>
              <w:rPr>
                <w:color w:val="000000" w:themeColor="text1"/>
                <w:sz w:val="20"/>
                <w:szCs w:val="20"/>
              </w:rPr>
            </w:pPr>
            <w:r w:rsidRPr="00202552">
              <w:rPr>
                <w:sz w:val="20"/>
                <w:szCs w:val="20"/>
              </w:rPr>
              <w:t>FMCG</w:t>
            </w:r>
          </w:p>
        </w:tc>
        <w:tc>
          <w:tcPr>
            <w:tcW w:w="850" w:type="dxa"/>
            <w:vAlign w:val="center"/>
          </w:tcPr>
          <w:p w14:paraId="06B32188" w14:textId="77777777" w:rsidR="002C1FC6" w:rsidRPr="00202552" w:rsidRDefault="002C1FC6" w:rsidP="003B3AC5">
            <w:pPr>
              <w:tabs>
                <w:tab w:val="left" w:pos="284"/>
              </w:tabs>
              <w:rPr>
                <w:color w:val="000000" w:themeColor="text1"/>
                <w:sz w:val="20"/>
                <w:szCs w:val="20"/>
              </w:rPr>
            </w:pPr>
            <w:r>
              <w:rPr>
                <w:color w:val="000000" w:themeColor="text1"/>
                <w:sz w:val="20"/>
                <w:szCs w:val="20"/>
              </w:rPr>
              <w:t>25.3</w:t>
            </w:r>
            <w:r w:rsidRPr="00202552">
              <w:rPr>
                <w:color w:val="000000" w:themeColor="text1"/>
                <w:sz w:val="20"/>
                <w:szCs w:val="20"/>
              </w:rPr>
              <w:t>%</w:t>
            </w:r>
          </w:p>
        </w:tc>
        <w:tc>
          <w:tcPr>
            <w:tcW w:w="992" w:type="dxa"/>
          </w:tcPr>
          <w:p w14:paraId="211A224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24.3</w:t>
            </w:r>
            <w:r w:rsidRPr="00202552">
              <w:rPr>
                <w:color w:val="000000" w:themeColor="text1"/>
                <w:sz w:val="20"/>
                <w:szCs w:val="20"/>
              </w:rPr>
              <w:t>%</w:t>
            </w:r>
          </w:p>
        </w:tc>
        <w:tc>
          <w:tcPr>
            <w:tcW w:w="993" w:type="dxa"/>
          </w:tcPr>
          <w:p w14:paraId="02A2607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22.4</w:t>
            </w:r>
            <w:r w:rsidRPr="00202552">
              <w:rPr>
                <w:color w:val="000000" w:themeColor="text1"/>
                <w:sz w:val="20"/>
                <w:szCs w:val="20"/>
              </w:rPr>
              <w:t>%</w:t>
            </w:r>
          </w:p>
        </w:tc>
        <w:tc>
          <w:tcPr>
            <w:tcW w:w="850" w:type="dxa"/>
          </w:tcPr>
          <w:p w14:paraId="2A5B0760"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19.4%</w:t>
            </w:r>
          </w:p>
        </w:tc>
        <w:tc>
          <w:tcPr>
            <w:tcW w:w="992" w:type="dxa"/>
          </w:tcPr>
          <w:p w14:paraId="0136C16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25.9</w:t>
            </w:r>
            <w:r w:rsidRPr="00202552">
              <w:rPr>
                <w:color w:val="000000" w:themeColor="text1"/>
                <w:sz w:val="20"/>
                <w:szCs w:val="20"/>
              </w:rPr>
              <w:t>%</w:t>
            </w:r>
          </w:p>
        </w:tc>
        <w:tc>
          <w:tcPr>
            <w:tcW w:w="851" w:type="dxa"/>
          </w:tcPr>
          <w:p w14:paraId="2CA72B0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34.9</w:t>
            </w:r>
            <w:r w:rsidRPr="00202552">
              <w:rPr>
                <w:color w:val="000000" w:themeColor="text1"/>
                <w:sz w:val="20"/>
                <w:szCs w:val="20"/>
              </w:rPr>
              <w:t>%</w:t>
            </w:r>
          </w:p>
        </w:tc>
        <w:tc>
          <w:tcPr>
            <w:tcW w:w="992" w:type="dxa"/>
          </w:tcPr>
          <w:p w14:paraId="242A300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33.3</w:t>
            </w:r>
            <w:r w:rsidRPr="00202552">
              <w:rPr>
                <w:color w:val="000000" w:themeColor="text1"/>
                <w:sz w:val="20"/>
                <w:szCs w:val="20"/>
              </w:rPr>
              <w:t>%</w:t>
            </w:r>
          </w:p>
        </w:tc>
        <w:tc>
          <w:tcPr>
            <w:tcW w:w="851" w:type="dxa"/>
          </w:tcPr>
          <w:p w14:paraId="0181D11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37</w:t>
            </w:r>
            <w:r w:rsidRPr="00202552">
              <w:rPr>
                <w:color w:val="000000" w:themeColor="text1"/>
                <w:sz w:val="20"/>
                <w:szCs w:val="20"/>
              </w:rPr>
              <w:t>.5%</w:t>
            </w:r>
          </w:p>
        </w:tc>
        <w:tc>
          <w:tcPr>
            <w:tcW w:w="992" w:type="dxa"/>
          </w:tcPr>
          <w:p w14:paraId="6C3EBB8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41.7</w:t>
            </w:r>
            <w:r w:rsidRPr="00202552">
              <w:rPr>
                <w:color w:val="000000" w:themeColor="text1"/>
                <w:sz w:val="20"/>
                <w:szCs w:val="20"/>
              </w:rPr>
              <w:t>%</w:t>
            </w:r>
          </w:p>
        </w:tc>
        <w:tc>
          <w:tcPr>
            <w:tcW w:w="921" w:type="dxa"/>
          </w:tcPr>
          <w:p w14:paraId="3DAC0DC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24.0</w:t>
            </w:r>
            <w:r w:rsidRPr="00202552">
              <w:rPr>
                <w:color w:val="000000" w:themeColor="text1"/>
                <w:sz w:val="20"/>
                <w:szCs w:val="20"/>
              </w:rPr>
              <w:t>%</w:t>
            </w:r>
          </w:p>
        </w:tc>
        <w:tc>
          <w:tcPr>
            <w:tcW w:w="922" w:type="dxa"/>
          </w:tcPr>
          <w:p w14:paraId="0C998B0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27.0</w:t>
            </w:r>
            <w:r w:rsidRPr="00202552">
              <w:rPr>
                <w:color w:val="000000" w:themeColor="text1"/>
                <w:sz w:val="20"/>
                <w:szCs w:val="20"/>
              </w:rPr>
              <w:t>%</w:t>
            </w:r>
          </w:p>
        </w:tc>
        <w:tc>
          <w:tcPr>
            <w:tcW w:w="921" w:type="dxa"/>
          </w:tcPr>
          <w:p w14:paraId="7978199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22.5</w:t>
            </w:r>
            <w:r w:rsidRPr="00202552">
              <w:rPr>
                <w:color w:val="000000" w:themeColor="text1"/>
                <w:sz w:val="20"/>
                <w:szCs w:val="20"/>
              </w:rPr>
              <w:t>%</w:t>
            </w:r>
          </w:p>
        </w:tc>
        <w:tc>
          <w:tcPr>
            <w:tcW w:w="922" w:type="dxa"/>
          </w:tcPr>
          <w:p w14:paraId="0F7A5B3F"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17.6%</w:t>
            </w:r>
          </w:p>
        </w:tc>
      </w:tr>
      <w:tr w:rsidR="002C1FC6" w14:paraId="6A2E9148" w14:textId="77777777" w:rsidTr="003B3AC5">
        <w:tc>
          <w:tcPr>
            <w:tcW w:w="1135" w:type="dxa"/>
            <w:vMerge/>
          </w:tcPr>
          <w:p w14:paraId="206D1E0A" w14:textId="77777777" w:rsidR="002C1FC6" w:rsidRDefault="002C1FC6" w:rsidP="003B3AC5">
            <w:pPr>
              <w:tabs>
                <w:tab w:val="left" w:pos="284"/>
              </w:tabs>
              <w:jc w:val="both"/>
              <w:rPr>
                <w:color w:val="000000" w:themeColor="text1"/>
              </w:rPr>
            </w:pPr>
          </w:p>
        </w:tc>
        <w:tc>
          <w:tcPr>
            <w:tcW w:w="1418" w:type="dxa"/>
          </w:tcPr>
          <w:p w14:paraId="15263609" w14:textId="77777777" w:rsidR="002C1FC6" w:rsidRPr="00202552" w:rsidRDefault="002C1FC6" w:rsidP="003B3AC5">
            <w:pPr>
              <w:tabs>
                <w:tab w:val="left" w:pos="284"/>
              </w:tabs>
              <w:rPr>
                <w:color w:val="000000" w:themeColor="text1"/>
                <w:sz w:val="20"/>
                <w:szCs w:val="20"/>
              </w:rPr>
            </w:pPr>
            <w:r w:rsidRPr="00202552">
              <w:rPr>
                <w:sz w:val="20"/>
                <w:szCs w:val="20"/>
              </w:rPr>
              <w:t>Services</w:t>
            </w:r>
          </w:p>
        </w:tc>
        <w:tc>
          <w:tcPr>
            <w:tcW w:w="850" w:type="dxa"/>
            <w:vAlign w:val="center"/>
          </w:tcPr>
          <w:p w14:paraId="75F3A6EC" w14:textId="77777777" w:rsidR="002C1FC6" w:rsidRPr="00202552" w:rsidRDefault="002C1FC6" w:rsidP="003B3AC5">
            <w:pPr>
              <w:tabs>
                <w:tab w:val="left" w:pos="284"/>
              </w:tabs>
              <w:rPr>
                <w:color w:val="000000" w:themeColor="text1"/>
                <w:sz w:val="20"/>
                <w:szCs w:val="20"/>
              </w:rPr>
            </w:pPr>
            <w:r>
              <w:rPr>
                <w:color w:val="000000" w:themeColor="text1"/>
                <w:sz w:val="20"/>
                <w:szCs w:val="20"/>
              </w:rPr>
              <w:t>26.9</w:t>
            </w:r>
            <w:r w:rsidRPr="00202552">
              <w:rPr>
                <w:color w:val="000000" w:themeColor="text1"/>
                <w:sz w:val="20"/>
                <w:szCs w:val="20"/>
              </w:rPr>
              <w:t>%</w:t>
            </w:r>
          </w:p>
        </w:tc>
        <w:tc>
          <w:tcPr>
            <w:tcW w:w="992" w:type="dxa"/>
          </w:tcPr>
          <w:p w14:paraId="1F5799A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40.5</w:t>
            </w:r>
            <w:r w:rsidRPr="00202552">
              <w:rPr>
                <w:color w:val="000000" w:themeColor="text1"/>
                <w:sz w:val="20"/>
                <w:szCs w:val="20"/>
              </w:rPr>
              <w:t>%</w:t>
            </w:r>
          </w:p>
        </w:tc>
        <w:tc>
          <w:tcPr>
            <w:tcW w:w="993" w:type="dxa"/>
          </w:tcPr>
          <w:p w14:paraId="7EAE877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31.0</w:t>
            </w:r>
            <w:r w:rsidRPr="00202552">
              <w:rPr>
                <w:color w:val="000000" w:themeColor="text1"/>
                <w:sz w:val="20"/>
                <w:szCs w:val="20"/>
              </w:rPr>
              <w:t>%</w:t>
            </w:r>
          </w:p>
        </w:tc>
        <w:tc>
          <w:tcPr>
            <w:tcW w:w="850" w:type="dxa"/>
          </w:tcPr>
          <w:p w14:paraId="0890AEDD"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27.8%</w:t>
            </w:r>
          </w:p>
        </w:tc>
        <w:tc>
          <w:tcPr>
            <w:tcW w:w="992" w:type="dxa"/>
          </w:tcPr>
          <w:p w14:paraId="31910FB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20</w:t>
            </w:r>
            <w:r w:rsidRPr="00202552">
              <w:rPr>
                <w:color w:val="000000" w:themeColor="text1"/>
                <w:sz w:val="20"/>
                <w:szCs w:val="20"/>
              </w:rPr>
              <w:t>.7%</w:t>
            </w:r>
          </w:p>
        </w:tc>
        <w:tc>
          <w:tcPr>
            <w:tcW w:w="851" w:type="dxa"/>
          </w:tcPr>
          <w:p w14:paraId="251447C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20.9</w:t>
            </w:r>
            <w:r w:rsidRPr="00202552">
              <w:rPr>
                <w:color w:val="000000" w:themeColor="text1"/>
                <w:sz w:val="20"/>
                <w:szCs w:val="20"/>
              </w:rPr>
              <w:t>%</w:t>
            </w:r>
          </w:p>
        </w:tc>
        <w:tc>
          <w:tcPr>
            <w:tcW w:w="992" w:type="dxa"/>
          </w:tcPr>
          <w:p w14:paraId="1613746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33.3</w:t>
            </w:r>
            <w:r w:rsidRPr="00202552">
              <w:rPr>
                <w:color w:val="000000" w:themeColor="text1"/>
                <w:sz w:val="20"/>
                <w:szCs w:val="20"/>
              </w:rPr>
              <w:t>%</w:t>
            </w:r>
          </w:p>
        </w:tc>
        <w:tc>
          <w:tcPr>
            <w:tcW w:w="851" w:type="dxa"/>
          </w:tcPr>
          <w:p w14:paraId="0364EFE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21.1%</w:t>
            </w:r>
          </w:p>
        </w:tc>
        <w:tc>
          <w:tcPr>
            <w:tcW w:w="992" w:type="dxa"/>
          </w:tcPr>
          <w:p w14:paraId="5254470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37.</w:t>
            </w:r>
            <w:r>
              <w:rPr>
                <w:color w:val="000000" w:themeColor="text1"/>
                <w:sz w:val="20"/>
                <w:szCs w:val="20"/>
              </w:rPr>
              <w:t>5</w:t>
            </w:r>
            <w:r w:rsidRPr="00202552">
              <w:rPr>
                <w:color w:val="000000" w:themeColor="text1"/>
                <w:sz w:val="20"/>
                <w:szCs w:val="20"/>
              </w:rPr>
              <w:t>%</w:t>
            </w:r>
          </w:p>
        </w:tc>
        <w:tc>
          <w:tcPr>
            <w:tcW w:w="921" w:type="dxa"/>
          </w:tcPr>
          <w:p w14:paraId="06350C9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25.0</w:t>
            </w:r>
            <w:r w:rsidRPr="00202552">
              <w:rPr>
                <w:color w:val="000000" w:themeColor="text1"/>
                <w:sz w:val="20"/>
                <w:szCs w:val="20"/>
              </w:rPr>
              <w:t>%</w:t>
            </w:r>
          </w:p>
        </w:tc>
        <w:tc>
          <w:tcPr>
            <w:tcW w:w="922" w:type="dxa"/>
          </w:tcPr>
          <w:p w14:paraId="3C31CAA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27.0</w:t>
            </w:r>
            <w:r w:rsidRPr="00202552">
              <w:rPr>
                <w:color w:val="000000" w:themeColor="text1"/>
                <w:sz w:val="20"/>
                <w:szCs w:val="20"/>
              </w:rPr>
              <w:t>%</w:t>
            </w:r>
          </w:p>
        </w:tc>
        <w:tc>
          <w:tcPr>
            <w:tcW w:w="921" w:type="dxa"/>
          </w:tcPr>
          <w:p w14:paraId="5D38974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21.1</w:t>
            </w:r>
            <w:r w:rsidRPr="00202552">
              <w:rPr>
                <w:color w:val="000000" w:themeColor="text1"/>
                <w:sz w:val="20"/>
                <w:szCs w:val="20"/>
              </w:rPr>
              <w:t>%</w:t>
            </w:r>
          </w:p>
        </w:tc>
        <w:tc>
          <w:tcPr>
            <w:tcW w:w="922" w:type="dxa"/>
          </w:tcPr>
          <w:p w14:paraId="5F0F54A1"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29.4</w:t>
            </w:r>
            <w:r w:rsidRPr="00202552">
              <w:rPr>
                <w:color w:val="000000" w:themeColor="text1"/>
                <w:sz w:val="20"/>
                <w:szCs w:val="20"/>
              </w:rPr>
              <w:t>%</w:t>
            </w:r>
          </w:p>
        </w:tc>
      </w:tr>
      <w:tr w:rsidR="002C1FC6" w14:paraId="2F493C53" w14:textId="77777777" w:rsidTr="003B3AC5">
        <w:tc>
          <w:tcPr>
            <w:tcW w:w="1135" w:type="dxa"/>
            <w:vMerge/>
          </w:tcPr>
          <w:p w14:paraId="17886D79" w14:textId="77777777" w:rsidR="002C1FC6" w:rsidRDefault="002C1FC6" w:rsidP="003B3AC5">
            <w:pPr>
              <w:tabs>
                <w:tab w:val="left" w:pos="284"/>
              </w:tabs>
              <w:jc w:val="both"/>
              <w:rPr>
                <w:color w:val="000000" w:themeColor="text1"/>
              </w:rPr>
            </w:pPr>
          </w:p>
        </w:tc>
        <w:tc>
          <w:tcPr>
            <w:tcW w:w="1418" w:type="dxa"/>
          </w:tcPr>
          <w:p w14:paraId="67DC672A" w14:textId="77777777" w:rsidR="002C1FC6" w:rsidRPr="00202552" w:rsidRDefault="002C1FC6" w:rsidP="003B3AC5">
            <w:pPr>
              <w:tabs>
                <w:tab w:val="left" w:pos="284"/>
              </w:tabs>
              <w:rPr>
                <w:color w:val="000000" w:themeColor="text1"/>
                <w:sz w:val="20"/>
                <w:szCs w:val="20"/>
              </w:rPr>
            </w:pPr>
            <w:r w:rsidRPr="00202552">
              <w:rPr>
                <w:sz w:val="20"/>
                <w:szCs w:val="20"/>
              </w:rPr>
              <w:t>Industrial Products</w:t>
            </w:r>
          </w:p>
        </w:tc>
        <w:tc>
          <w:tcPr>
            <w:tcW w:w="850" w:type="dxa"/>
            <w:vAlign w:val="center"/>
          </w:tcPr>
          <w:p w14:paraId="0D6E968B" w14:textId="77777777" w:rsidR="002C1FC6" w:rsidRPr="00202552" w:rsidRDefault="002C1FC6" w:rsidP="003B3AC5">
            <w:pPr>
              <w:tabs>
                <w:tab w:val="left" w:pos="284"/>
              </w:tabs>
              <w:rPr>
                <w:color w:val="000000" w:themeColor="text1"/>
                <w:sz w:val="20"/>
                <w:szCs w:val="20"/>
              </w:rPr>
            </w:pPr>
            <w:r>
              <w:rPr>
                <w:color w:val="000000" w:themeColor="text1"/>
                <w:sz w:val="20"/>
                <w:szCs w:val="20"/>
              </w:rPr>
              <w:t>20.4</w:t>
            </w:r>
            <w:r w:rsidRPr="00202552">
              <w:rPr>
                <w:color w:val="000000" w:themeColor="text1"/>
                <w:sz w:val="20"/>
                <w:szCs w:val="20"/>
              </w:rPr>
              <w:t>%</w:t>
            </w:r>
          </w:p>
        </w:tc>
        <w:tc>
          <w:tcPr>
            <w:tcW w:w="992" w:type="dxa"/>
            <w:vAlign w:val="center"/>
          </w:tcPr>
          <w:p w14:paraId="669215A1" w14:textId="77777777" w:rsidR="002C1FC6" w:rsidRPr="00202552" w:rsidRDefault="002C1FC6" w:rsidP="003B3AC5">
            <w:pPr>
              <w:tabs>
                <w:tab w:val="left" w:pos="284"/>
              </w:tabs>
              <w:rPr>
                <w:color w:val="000000" w:themeColor="text1"/>
                <w:sz w:val="20"/>
                <w:szCs w:val="20"/>
              </w:rPr>
            </w:pPr>
            <w:r>
              <w:rPr>
                <w:color w:val="000000" w:themeColor="text1"/>
                <w:sz w:val="20"/>
                <w:szCs w:val="20"/>
              </w:rPr>
              <w:t>18.9</w:t>
            </w:r>
            <w:r w:rsidRPr="00202552">
              <w:rPr>
                <w:color w:val="000000" w:themeColor="text1"/>
                <w:sz w:val="20"/>
                <w:szCs w:val="20"/>
              </w:rPr>
              <w:t>%</w:t>
            </w:r>
          </w:p>
        </w:tc>
        <w:tc>
          <w:tcPr>
            <w:tcW w:w="993" w:type="dxa"/>
            <w:vAlign w:val="center"/>
          </w:tcPr>
          <w:p w14:paraId="0D54B81A" w14:textId="77777777" w:rsidR="002C1FC6" w:rsidRPr="00202552" w:rsidRDefault="002C1FC6" w:rsidP="003B3AC5">
            <w:pPr>
              <w:tabs>
                <w:tab w:val="left" w:pos="284"/>
              </w:tabs>
              <w:rPr>
                <w:color w:val="000000" w:themeColor="text1"/>
                <w:sz w:val="20"/>
                <w:szCs w:val="20"/>
              </w:rPr>
            </w:pPr>
            <w:r>
              <w:rPr>
                <w:color w:val="000000" w:themeColor="text1"/>
                <w:sz w:val="20"/>
                <w:szCs w:val="20"/>
              </w:rPr>
              <w:t>20.7</w:t>
            </w:r>
            <w:r w:rsidRPr="00202552">
              <w:rPr>
                <w:color w:val="000000" w:themeColor="text1"/>
                <w:sz w:val="20"/>
                <w:szCs w:val="20"/>
              </w:rPr>
              <w:t>%</w:t>
            </w:r>
          </w:p>
        </w:tc>
        <w:tc>
          <w:tcPr>
            <w:tcW w:w="850" w:type="dxa"/>
            <w:vAlign w:val="center"/>
          </w:tcPr>
          <w:p w14:paraId="06278588"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22.2%</w:t>
            </w:r>
          </w:p>
        </w:tc>
        <w:tc>
          <w:tcPr>
            <w:tcW w:w="992" w:type="dxa"/>
            <w:vAlign w:val="center"/>
          </w:tcPr>
          <w:p w14:paraId="353A5BD8" w14:textId="77777777" w:rsidR="002C1FC6" w:rsidRPr="00202552" w:rsidRDefault="002C1FC6" w:rsidP="003B3AC5">
            <w:pPr>
              <w:tabs>
                <w:tab w:val="left" w:pos="284"/>
              </w:tabs>
              <w:rPr>
                <w:color w:val="000000" w:themeColor="text1"/>
                <w:sz w:val="20"/>
                <w:szCs w:val="20"/>
              </w:rPr>
            </w:pPr>
            <w:r>
              <w:rPr>
                <w:color w:val="000000" w:themeColor="text1"/>
                <w:sz w:val="20"/>
                <w:szCs w:val="20"/>
              </w:rPr>
              <w:t>19.0</w:t>
            </w:r>
            <w:r w:rsidRPr="00202552">
              <w:rPr>
                <w:color w:val="000000" w:themeColor="text1"/>
                <w:sz w:val="20"/>
                <w:szCs w:val="20"/>
              </w:rPr>
              <w:t>%</w:t>
            </w:r>
          </w:p>
        </w:tc>
        <w:tc>
          <w:tcPr>
            <w:tcW w:w="851" w:type="dxa"/>
            <w:vAlign w:val="center"/>
          </w:tcPr>
          <w:p w14:paraId="1AE2321B" w14:textId="77777777" w:rsidR="002C1FC6" w:rsidRPr="00202552" w:rsidRDefault="002C1FC6" w:rsidP="003B3AC5">
            <w:pPr>
              <w:tabs>
                <w:tab w:val="left" w:pos="284"/>
              </w:tabs>
              <w:rPr>
                <w:color w:val="000000" w:themeColor="text1"/>
                <w:sz w:val="20"/>
                <w:szCs w:val="20"/>
              </w:rPr>
            </w:pPr>
            <w:r>
              <w:rPr>
                <w:color w:val="000000" w:themeColor="text1"/>
                <w:sz w:val="20"/>
                <w:szCs w:val="20"/>
              </w:rPr>
              <w:t>18.6</w:t>
            </w:r>
            <w:r w:rsidRPr="00202552">
              <w:rPr>
                <w:color w:val="000000" w:themeColor="text1"/>
                <w:sz w:val="20"/>
                <w:szCs w:val="20"/>
              </w:rPr>
              <w:t>%</w:t>
            </w:r>
          </w:p>
        </w:tc>
        <w:tc>
          <w:tcPr>
            <w:tcW w:w="992" w:type="dxa"/>
            <w:vAlign w:val="center"/>
          </w:tcPr>
          <w:p w14:paraId="72A8F7F8" w14:textId="77777777" w:rsidR="002C1FC6" w:rsidRPr="00202552" w:rsidRDefault="002C1FC6" w:rsidP="003B3AC5">
            <w:pPr>
              <w:tabs>
                <w:tab w:val="left" w:pos="284"/>
              </w:tabs>
              <w:rPr>
                <w:color w:val="000000" w:themeColor="text1"/>
                <w:sz w:val="20"/>
                <w:szCs w:val="20"/>
              </w:rPr>
            </w:pPr>
            <w:r>
              <w:rPr>
                <w:color w:val="000000" w:themeColor="text1"/>
                <w:sz w:val="20"/>
                <w:szCs w:val="20"/>
              </w:rPr>
              <w:t>11.1</w:t>
            </w:r>
            <w:r w:rsidRPr="00202552">
              <w:rPr>
                <w:color w:val="000000" w:themeColor="text1"/>
                <w:sz w:val="20"/>
                <w:szCs w:val="20"/>
              </w:rPr>
              <w:t>%</w:t>
            </w:r>
          </w:p>
        </w:tc>
        <w:tc>
          <w:tcPr>
            <w:tcW w:w="851" w:type="dxa"/>
            <w:vAlign w:val="center"/>
          </w:tcPr>
          <w:p w14:paraId="573DCDD8"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19.7%</w:t>
            </w:r>
          </w:p>
        </w:tc>
        <w:tc>
          <w:tcPr>
            <w:tcW w:w="992" w:type="dxa"/>
            <w:vAlign w:val="center"/>
          </w:tcPr>
          <w:p w14:paraId="790EAEC2"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17.6%</w:t>
            </w:r>
          </w:p>
        </w:tc>
        <w:tc>
          <w:tcPr>
            <w:tcW w:w="921" w:type="dxa"/>
            <w:vAlign w:val="center"/>
          </w:tcPr>
          <w:p w14:paraId="435339C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25.0</w:t>
            </w:r>
            <w:r w:rsidRPr="00202552">
              <w:rPr>
                <w:color w:val="000000" w:themeColor="text1"/>
                <w:sz w:val="20"/>
                <w:szCs w:val="20"/>
              </w:rPr>
              <w:t>%</w:t>
            </w:r>
          </w:p>
        </w:tc>
        <w:tc>
          <w:tcPr>
            <w:tcW w:w="922" w:type="dxa"/>
            <w:vAlign w:val="center"/>
          </w:tcPr>
          <w:p w14:paraId="6ADC069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25.0</w:t>
            </w:r>
            <w:r w:rsidRPr="00202552">
              <w:rPr>
                <w:color w:val="000000" w:themeColor="text1"/>
                <w:sz w:val="20"/>
                <w:szCs w:val="20"/>
              </w:rPr>
              <w:t>%</w:t>
            </w:r>
          </w:p>
        </w:tc>
        <w:tc>
          <w:tcPr>
            <w:tcW w:w="921" w:type="dxa"/>
            <w:vAlign w:val="center"/>
          </w:tcPr>
          <w:p w14:paraId="15F6C34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19.7</w:t>
            </w:r>
            <w:r w:rsidRPr="00202552">
              <w:rPr>
                <w:color w:val="000000" w:themeColor="text1"/>
                <w:sz w:val="20"/>
                <w:szCs w:val="20"/>
              </w:rPr>
              <w:t>%</w:t>
            </w:r>
          </w:p>
        </w:tc>
        <w:tc>
          <w:tcPr>
            <w:tcW w:w="922" w:type="dxa"/>
            <w:vAlign w:val="center"/>
          </w:tcPr>
          <w:p w14:paraId="36AD3EA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20</w:t>
            </w:r>
            <w:r w:rsidRPr="00202552">
              <w:rPr>
                <w:color w:val="000000" w:themeColor="text1"/>
                <w:sz w:val="20"/>
                <w:szCs w:val="20"/>
              </w:rPr>
              <w:t>.6%</w:t>
            </w:r>
          </w:p>
        </w:tc>
      </w:tr>
      <w:tr w:rsidR="002C1FC6" w14:paraId="037300A7" w14:textId="77777777" w:rsidTr="003B3AC5">
        <w:tc>
          <w:tcPr>
            <w:tcW w:w="1135" w:type="dxa"/>
            <w:vMerge/>
          </w:tcPr>
          <w:p w14:paraId="279C03B6" w14:textId="77777777" w:rsidR="002C1FC6" w:rsidRDefault="002C1FC6" w:rsidP="003B3AC5">
            <w:pPr>
              <w:tabs>
                <w:tab w:val="left" w:pos="284"/>
              </w:tabs>
              <w:jc w:val="both"/>
              <w:rPr>
                <w:color w:val="000000" w:themeColor="text1"/>
              </w:rPr>
            </w:pPr>
          </w:p>
        </w:tc>
        <w:tc>
          <w:tcPr>
            <w:tcW w:w="1418" w:type="dxa"/>
          </w:tcPr>
          <w:p w14:paraId="27472281" w14:textId="77777777" w:rsidR="002C1FC6" w:rsidRPr="00202552" w:rsidRDefault="002C1FC6" w:rsidP="003B3AC5">
            <w:pPr>
              <w:tabs>
                <w:tab w:val="left" w:pos="284"/>
              </w:tabs>
              <w:rPr>
                <w:color w:val="000000" w:themeColor="text1"/>
                <w:sz w:val="20"/>
                <w:szCs w:val="20"/>
              </w:rPr>
            </w:pPr>
            <w:r w:rsidRPr="00202552">
              <w:rPr>
                <w:sz w:val="20"/>
                <w:szCs w:val="20"/>
              </w:rPr>
              <w:t>Wholesalers &amp; Retailers</w:t>
            </w:r>
          </w:p>
        </w:tc>
        <w:tc>
          <w:tcPr>
            <w:tcW w:w="850" w:type="dxa"/>
            <w:vAlign w:val="center"/>
          </w:tcPr>
          <w:p w14:paraId="6F0369FB" w14:textId="77777777" w:rsidR="002C1FC6" w:rsidRPr="00202552" w:rsidRDefault="002C1FC6" w:rsidP="003B3AC5">
            <w:pPr>
              <w:tabs>
                <w:tab w:val="left" w:pos="284"/>
              </w:tabs>
              <w:rPr>
                <w:color w:val="000000" w:themeColor="text1"/>
                <w:sz w:val="20"/>
                <w:szCs w:val="20"/>
              </w:rPr>
            </w:pPr>
            <w:r>
              <w:rPr>
                <w:color w:val="000000" w:themeColor="text1"/>
                <w:sz w:val="20"/>
                <w:szCs w:val="20"/>
              </w:rPr>
              <w:t>13.9</w:t>
            </w:r>
            <w:r w:rsidRPr="00202552">
              <w:rPr>
                <w:color w:val="000000" w:themeColor="text1"/>
                <w:sz w:val="20"/>
                <w:szCs w:val="20"/>
              </w:rPr>
              <w:t>%</w:t>
            </w:r>
          </w:p>
        </w:tc>
        <w:tc>
          <w:tcPr>
            <w:tcW w:w="992" w:type="dxa"/>
            <w:vAlign w:val="center"/>
          </w:tcPr>
          <w:p w14:paraId="7105A815" w14:textId="77777777" w:rsidR="002C1FC6" w:rsidRPr="00202552" w:rsidRDefault="002C1FC6" w:rsidP="003B3AC5">
            <w:pPr>
              <w:tabs>
                <w:tab w:val="left" w:pos="284"/>
              </w:tabs>
              <w:rPr>
                <w:color w:val="000000" w:themeColor="text1"/>
                <w:sz w:val="20"/>
                <w:szCs w:val="20"/>
              </w:rPr>
            </w:pPr>
            <w:r>
              <w:rPr>
                <w:color w:val="000000" w:themeColor="text1"/>
                <w:sz w:val="20"/>
                <w:szCs w:val="20"/>
              </w:rPr>
              <w:t>13.5</w:t>
            </w:r>
            <w:r w:rsidRPr="00202552">
              <w:rPr>
                <w:color w:val="000000" w:themeColor="text1"/>
                <w:sz w:val="20"/>
                <w:szCs w:val="20"/>
              </w:rPr>
              <w:t>%</w:t>
            </w:r>
          </w:p>
        </w:tc>
        <w:tc>
          <w:tcPr>
            <w:tcW w:w="993" w:type="dxa"/>
            <w:vAlign w:val="center"/>
          </w:tcPr>
          <w:p w14:paraId="010E2F09" w14:textId="77777777" w:rsidR="002C1FC6" w:rsidRPr="00202552" w:rsidRDefault="002C1FC6" w:rsidP="003B3AC5">
            <w:pPr>
              <w:tabs>
                <w:tab w:val="left" w:pos="284"/>
              </w:tabs>
              <w:rPr>
                <w:color w:val="000000" w:themeColor="text1"/>
                <w:sz w:val="20"/>
                <w:szCs w:val="20"/>
              </w:rPr>
            </w:pPr>
            <w:r>
              <w:rPr>
                <w:color w:val="000000" w:themeColor="text1"/>
                <w:sz w:val="20"/>
                <w:szCs w:val="20"/>
              </w:rPr>
              <w:t>17.2</w:t>
            </w:r>
            <w:r w:rsidRPr="00202552">
              <w:rPr>
                <w:color w:val="000000" w:themeColor="text1"/>
                <w:sz w:val="20"/>
                <w:szCs w:val="20"/>
              </w:rPr>
              <w:t>%</w:t>
            </w:r>
          </w:p>
        </w:tc>
        <w:tc>
          <w:tcPr>
            <w:tcW w:w="850" w:type="dxa"/>
            <w:vAlign w:val="center"/>
          </w:tcPr>
          <w:p w14:paraId="182F140F"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16.7%</w:t>
            </w:r>
          </w:p>
        </w:tc>
        <w:tc>
          <w:tcPr>
            <w:tcW w:w="992" w:type="dxa"/>
            <w:vAlign w:val="center"/>
          </w:tcPr>
          <w:p w14:paraId="6121483C" w14:textId="77777777" w:rsidR="002C1FC6" w:rsidRPr="00202552" w:rsidRDefault="002C1FC6" w:rsidP="003B3AC5">
            <w:pPr>
              <w:tabs>
                <w:tab w:val="left" w:pos="284"/>
              </w:tabs>
              <w:rPr>
                <w:color w:val="000000" w:themeColor="text1"/>
                <w:sz w:val="20"/>
                <w:szCs w:val="20"/>
              </w:rPr>
            </w:pPr>
            <w:r>
              <w:rPr>
                <w:color w:val="000000" w:themeColor="text1"/>
                <w:sz w:val="20"/>
                <w:szCs w:val="20"/>
              </w:rPr>
              <w:t>17.2</w:t>
            </w:r>
            <w:r w:rsidRPr="00202552">
              <w:rPr>
                <w:color w:val="000000" w:themeColor="text1"/>
                <w:sz w:val="20"/>
                <w:szCs w:val="20"/>
              </w:rPr>
              <w:t>%</w:t>
            </w:r>
          </w:p>
        </w:tc>
        <w:tc>
          <w:tcPr>
            <w:tcW w:w="851" w:type="dxa"/>
            <w:vAlign w:val="center"/>
          </w:tcPr>
          <w:p w14:paraId="54DD0165" w14:textId="77777777" w:rsidR="002C1FC6" w:rsidRPr="00202552" w:rsidRDefault="002C1FC6" w:rsidP="003B3AC5">
            <w:pPr>
              <w:tabs>
                <w:tab w:val="left" w:pos="284"/>
              </w:tabs>
              <w:rPr>
                <w:color w:val="000000" w:themeColor="text1"/>
                <w:sz w:val="20"/>
                <w:szCs w:val="20"/>
              </w:rPr>
            </w:pPr>
            <w:r>
              <w:rPr>
                <w:color w:val="000000" w:themeColor="text1"/>
                <w:sz w:val="20"/>
                <w:szCs w:val="20"/>
              </w:rPr>
              <w:t>14.0</w:t>
            </w:r>
            <w:r w:rsidRPr="00202552">
              <w:rPr>
                <w:color w:val="000000" w:themeColor="text1"/>
                <w:sz w:val="20"/>
                <w:szCs w:val="20"/>
              </w:rPr>
              <w:t>%</w:t>
            </w:r>
          </w:p>
        </w:tc>
        <w:tc>
          <w:tcPr>
            <w:tcW w:w="992" w:type="dxa"/>
            <w:vAlign w:val="center"/>
          </w:tcPr>
          <w:p w14:paraId="3D8B6EE3" w14:textId="77777777" w:rsidR="002C1FC6" w:rsidRPr="00202552" w:rsidRDefault="002C1FC6" w:rsidP="003B3AC5">
            <w:pPr>
              <w:tabs>
                <w:tab w:val="left" w:pos="284"/>
              </w:tabs>
              <w:rPr>
                <w:color w:val="000000" w:themeColor="text1"/>
                <w:sz w:val="20"/>
                <w:szCs w:val="20"/>
              </w:rPr>
            </w:pPr>
            <w:r>
              <w:rPr>
                <w:color w:val="000000" w:themeColor="text1"/>
                <w:sz w:val="20"/>
                <w:szCs w:val="20"/>
              </w:rPr>
              <w:t>11.1</w:t>
            </w:r>
            <w:r w:rsidRPr="00202552">
              <w:rPr>
                <w:color w:val="000000" w:themeColor="text1"/>
                <w:sz w:val="20"/>
                <w:szCs w:val="20"/>
              </w:rPr>
              <w:t>%</w:t>
            </w:r>
          </w:p>
        </w:tc>
        <w:tc>
          <w:tcPr>
            <w:tcW w:w="851" w:type="dxa"/>
            <w:vAlign w:val="center"/>
          </w:tcPr>
          <w:p w14:paraId="2929C339"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15.5%</w:t>
            </w:r>
          </w:p>
        </w:tc>
        <w:tc>
          <w:tcPr>
            <w:tcW w:w="992" w:type="dxa"/>
            <w:vAlign w:val="center"/>
          </w:tcPr>
          <w:p w14:paraId="4233237F"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13.7%</w:t>
            </w:r>
          </w:p>
        </w:tc>
        <w:tc>
          <w:tcPr>
            <w:tcW w:w="921" w:type="dxa"/>
            <w:vAlign w:val="center"/>
          </w:tcPr>
          <w:p w14:paraId="3EE5850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922" w:type="dxa"/>
            <w:vAlign w:val="center"/>
          </w:tcPr>
          <w:p w14:paraId="062DE2E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921" w:type="dxa"/>
            <w:vAlign w:val="center"/>
          </w:tcPr>
          <w:p w14:paraId="2966344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15.5</w:t>
            </w:r>
            <w:r w:rsidRPr="00202552">
              <w:rPr>
                <w:color w:val="000000" w:themeColor="text1"/>
                <w:sz w:val="20"/>
                <w:szCs w:val="20"/>
              </w:rPr>
              <w:t>%</w:t>
            </w:r>
          </w:p>
        </w:tc>
        <w:tc>
          <w:tcPr>
            <w:tcW w:w="922" w:type="dxa"/>
            <w:vAlign w:val="center"/>
          </w:tcPr>
          <w:p w14:paraId="50EF328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11.8</w:t>
            </w:r>
            <w:r w:rsidRPr="00202552">
              <w:rPr>
                <w:color w:val="000000" w:themeColor="text1"/>
                <w:sz w:val="20"/>
                <w:szCs w:val="20"/>
              </w:rPr>
              <w:t>%</w:t>
            </w:r>
          </w:p>
        </w:tc>
      </w:tr>
      <w:tr w:rsidR="002C1FC6" w14:paraId="13C5E4C8" w14:textId="77777777" w:rsidTr="003B3AC5">
        <w:tc>
          <w:tcPr>
            <w:tcW w:w="1135" w:type="dxa"/>
            <w:vMerge/>
          </w:tcPr>
          <w:p w14:paraId="6DECA756" w14:textId="77777777" w:rsidR="002C1FC6" w:rsidRDefault="002C1FC6" w:rsidP="003B3AC5">
            <w:pPr>
              <w:tabs>
                <w:tab w:val="left" w:pos="284"/>
              </w:tabs>
              <w:jc w:val="both"/>
              <w:rPr>
                <w:color w:val="000000" w:themeColor="text1"/>
              </w:rPr>
            </w:pPr>
          </w:p>
        </w:tc>
        <w:tc>
          <w:tcPr>
            <w:tcW w:w="1418" w:type="dxa"/>
          </w:tcPr>
          <w:p w14:paraId="2ADC6F93" w14:textId="77777777" w:rsidR="002C1FC6" w:rsidRPr="00202552" w:rsidRDefault="002C1FC6" w:rsidP="003B3AC5">
            <w:pPr>
              <w:tabs>
                <w:tab w:val="left" w:pos="284"/>
              </w:tabs>
              <w:rPr>
                <w:color w:val="000000" w:themeColor="text1"/>
                <w:sz w:val="20"/>
                <w:szCs w:val="20"/>
              </w:rPr>
            </w:pPr>
            <w:r w:rsidRPr="00202552">
              <w:rPr>
                <w:sz w:val="20"/>
                <w:szCs w:val="20"/>
              </w:rPr>
              <w:t>Construction-Remaking-Other</w:t>
            </w:r>
          </w:p>
        </w:tc>
        <w:tc>
          <w:tcPr>
            <w:tcW w:w="850" w:type="dxa"/>
            <w:vAlign w:val="center"/>
          </w:tcPr>
          <w:p w14:paraId="65B13271" w14:textId="77777777" w:rsidR="002C1FC6" w:rsidRPr="00202552" w:rsidRDefault="002C1FC6" w:rsidP="003B3AC5">
            <w:pPr>
              <w:tabs>
                <w:tab w:val="left" w:pos="284"/>
              </w:tabs>
              <w:rPr>
                <w:color w:val="000000" w:themeColor="text1"/>
                <w:sz w:val="20"/>
                <w:szCs w:val="20"/>
              </w:rPr>
            </w:pPr>
            <w:r>
              <w:rPr>
                <w:color w:val="000000" w:themeColor="text1"/>
                <w:sz w:val="20"/>
                <w:szCs w:val="20"/>
              </w:rPr>
              <w:t>13.5</w:t>
            </w:r>
            <w:r w:rsidRPr="00202552">
              <w:rPr>
                <w:color w:val="000000" w:themeColor="text1"/>
                <w:sz w:val="20"/>
                <w:szCs w:val="20"/>
              </w:rPr>
              <w:t>%</w:t>
            </w:r>
          </w:p>
        </w:tc>
        <w:tc>
          <w:tcPr>
            <w:tcW w:w="992" w:type="dxa"/>
            <w:vAlign w:val="center"/>
          </w:tcPr>
          <w:p w14:paraId="59E9034C" w14:textId="77777777" w:rsidR="002C1FC6" w:rsidRPr="00202552" w:rsidRDefault="002C1FC6" w:rsidP="003B3AC5">
            <w:pPr>
              <w:tabs>
                <w:tab w:val="left" w:pos="284"/>
              </w:tabs>
              <w:rPr>
                <w:color w:val="000000" w:themeColor="text1"/>
                <w:sz w:val="20"/>
                <w:szCs w:val="20"/>
              </w:rPr>
            </w:pPr>
            <w:r>
              <w:rPr>
                <w:color w:val="000000" w:themeColor="text1"/>
                <w:sz w:val="20"/>
                <w:szCs w:val="20"/>
              </w:rPr>
              <w:t>2.7</w:t>
            </w:r>
            <w:r w:rsidRPr="00202552">
              <w:rPr>
                <w:color w:val="000000" w:themeColor="text1"/>
                <w:sz w:val="20"/>
                <w:szCs w:val="20"/>
              </w:rPr>
              <w:t>%</w:t>
            </w:r>
          </w:p>
        </w:tc>
        <w:tc>
          <w:tcPr>
            <w:tcW w:w="993" w:type="dxa"/>
            <w:vAlign w:val="center"/>
          </w:tcPr>
          <w:p w14:paraId="5B306A2D" w14:textId="77777777" w:rsidR="002C1FC6" w:rsidRPr="00202552" w:rsidRDefault="002C1FC6" w:rsidP="003B3AC5">
            <w:pPr>
              <w:tabs>
                <w:tab w:val="left" w:pos="284"/>
              </w:tabs>
              <w:rPr>
                <w:color w:val="000000" w:themeColor="text1"/>
                <w:sz w:val="20"/>
                <w:szCs w:val="20"/>
              </w:rPr>
            </w:pPr>
            <w:r>
              <w:rPr>
                <w:color w:val="000000" w:themeColor="text1"/>
                <w:sz w:val="20"/>
                <w:szCs w:val="20"/>
              </w:rPr>
              <w:t>8.6</w:t>
            </w:r>
            <w:r w:rsidRPr="00202552">
              <w:rPr>
                <w:color w:val="000000" w:themeColor="text1"/>
                <w:sz w:val="20"/>
                <w:szCs w:val="20"/>
              </w:rPr>
              <w:t>%</w:t>
            </w:r>
          </w:p>
        </w:tc>
        <w:tc>
          <w:tcPr>
            <w:tcW w:w="850" w:type="dxa"/>
            <w:vAlign w:val="center"/>
          </w:tcPr>
          <w:p w14:paraId="6B662BF1"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13.9%</w:t>
            </w:r>
          </w:p>
        </w:tc>
        <w:tc>
          <w:tcPr>
            <w:tcW w:w="992" w:type="dxa"/>
            <w:vAlign w:val="center"/>
          </w:tcPr>
          <w:p w14:paraId="49B0B675" w14:textId="77777777" w:rsidR="002C1FC6" w:rsidRPr="00202552" w:rsidRDefault="002C1FC6" w:rsidP="003B3AC5">
            <w:pPr>
              <w:tabs>
                <w:tab w:val="left" w:pos="284"/>
              </w:tabs>
              <w:rPr>
                <w:color w:val="000000" w:themeColor="text1"/>
                <w:sz w:val="20"/>
                <w:szCs w:val="20"/>
              </w:rPr>
            </w:pPr>
            <w:r>
              <w:rPr>
                <w:color w:val="000000" w:themeColor="text1"/>
                <w:sz w:val="20"/>
                <w:szCs w:val="20"/>
              </w:rPr>
              <w:t>17.2</w:t>
            </w:r>
            <w:r w:rsidRPr="00202552">
              <w:rPr>
                <w:color w:val="000000" w:themeColor="text1"/>
                <w:sz w:val="20"/>
                <w:szCs w:val="20"/>
              </w:rPr>
              <w:t>%</w:t>
            </w:r>
          </w:p>
        </w:tc>
        <w:tc>
          <w:tcPr>
            <w:tcW w:w="851" w:type="dxa"/>
            <w:vAlign w:val="center"/>
          </w:tcPr>
          <w:p w14:paraId="1B5494BA" w14:textId="77777777" w:rsidR="002C1FC6" w:rsidRPr="00202552" w:rsidRDefault="002C1FC6" w:rsidP="003B3AC5">
            <w:pPr>
              <w:tabs>
                <w:tab w:val="left" w:pos="284"/>
              </w:tabs>
              <w:rPr>
                <w:color w:val="000000" w:themeColor="text1"/>
                <w:sz w:val="20"/>
                <w:szCs w:val="20"/>
              </w:rPr>
            </w:pPr>
            <w:r>
              <w:rPr>
                <w:color w:val="000000" w:themeColor="text1"/>
                <w:sz w:val="20"/>
                <w:szCs w:val="20"/>
              </w:rPr>
              <w:t>11.6</w:t>
            </w:r>
            <w:r w:rsidRPr="00202552">
              <w:rPr>
                <w:color w:val="000000" w:themeColor="text1"/>
                <w:sz w:val="20"/>
                <w:szCs w:val="20"/>
              </w:rPr>
              <w:t>%</w:t>
            </w:r>
          </w:p>
        </w:tc>
        <w:tc>
          <w:tcPr>
            <w:tcW w:w="992" w:type="dxa"/>
            <w:vAlign w:val="center"/>
          </w:tcPr>
          <w:p w14:paraId="16DA5E77" w14:textId="77777777" w:rsidR="002C1FC6" w:rsidRPr="00202552" w:rsidRDefault="002C1FC6" w:rsidP="003B3AC5">
            <w:pPr>
              <w:tabs>
                <w:tab w:val="left" w:pos="284"/>
              </w:tabs>
              <w:rPr>
                <w:color w:val="000000" w:themeColor="text1"/>
                <w:sz w:val="20"/>
                <w:szCs w:val="20"/>
              </w:rPr>
            </w:pPr>
            <w:r>
              <w:rPr>
                <w:color w:val="000000" w:themeColor="text1"/>
                <w:sz w:val="20"/>
                <w:szCs w:val="20"/>
              </w:rPr>
              <w:t>11.1</w:t>
            </w:r>
            <w:r w:rsidRPr="00202552">
              <w:rPr>
                <w:color w:val="000000" w:themeColor="text1"/>
                <w:sz w:val="20"/>
                <w:szCs w:val="20"/>
              </w:rPr>
              <w:t>%</w:t>
            </w:r>
          </w:p>
        </w:tc>
        <w:tc>
          <w:tcPr>
            <w:tcW w:w="851" w:type="dxa"/>
            <w:vAlign w:val="center"/>
          </w:tcPr>
          <w:p w14:paraId="5266CC3A"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21.1%</w:t>
            </w:r>
          </w:p>
        </w:tc>
        <w:tc>
          <w:tcPr>
            <w:tcW w:w="992" w:type="dxa"/>
            <w:vAlign w:val="center"/>
          </w:tcPr>
          <w:p w14:paraId="4CB5B479"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13.7%</w:t>
            </w:r>
          </w:p>
        </w:tc>
        <w:tc>
          <w:tcPr>
            <w:tcW w:w="921" w:type="dxa"/>
            <w:vAlign w:val="center"/>
          </w:tcPr>
          <w:p w14:paraId="71D952E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922" w:type="dxa"/>
            <w:vAlign w:val="center"/>
          </w:tcPr>
          <w:p w14:paraId="394E7D0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8.3</w:t>
            </w:r>
            <w:r w:rsidRPr="00202552">
              <w:rPr>
                <w:color w:val="000000" w:themeColor="text1"/>
                <w:sz w:val="20"/>
                <w:szCs w:val="20"/>
              </w:rPr>
              <w:t>%</w:t>
            </w:r>
          </w:p>
        </w:tc>
        <w:tc>
          <w:tcPr>
            <w:tcW w:w="921" w:type="dxa"/>
            <w:vAlign w:val="center"/>
          </w:tcPr>
          <w:p w14:paraId="131F3AD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21.1</w:t>
            </w:r>
            <w:r w:rsidRPr="00202552">
              <w:rPr>
                <w:color w:val="000000" w:themeColor="text1"/>
                <w:sz w:val="20"/>
                <w:szCs w:val="20"/>
              </w:rPr>
              <w:t>%</w:t>
            </w:r>
          </w:p>
        </w:tc>
        <w:tc>
          <w:tcPr>
            <w:tcW w:w="922" w:type="dxa"/>
            <w:vAlign w:val="center"/>
          </w:tcPr>
          <w:p w14:paraId="302197B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20.6</w:t>
            </w:r>
            <w:r w:rsidRPr="00202552">
              <w:rPr>
                <w:color w:val="000000" w:themeColor="text1"/>
                <w:sz w:val="20"/>
                <w:szCs w:val="20"/>
              </w:rPr>
              <w:t>%</w:t>
            </w:r>
          </w:p>
        </w:tc>
      </w:tr>
      <w:tr w:rsidR="002C1FC6" w14:paraId="2A6A672D" w14:textId="77777777" w:rsidTr="003B3AC5">
        <w:tc>
          <w:tcPr>
            <w:tcW w:w="1135" w:type="dxa"/>
            <w:vMerge/>
            <w:tcBorders>
              <w:bottom w:val="single" w:sz="4" w:space="0" w:color="auto"/>
            </w:tcBorders>
          </w:tcPr>
          <w:p w14:paraId="29E680F5" w14:textId="77777777" w:rsidR="002C1FC6" w:rsidRDefault="002C1FC6" w:rsidP="003B3AC5">
            <w:pPr>
              <w:tabs>
                <w:tab w:val="left" w:pos="284"/>
              </w:tabs>
              <w:jc w:val="both"/>
              <w:rPr>
                <w:color w:val="000000" w:themeColor="text1"/>
              </w:rPr>
            </w:pPr>
          </w:p>
        </w:tc>
        <w:tc>
          <w:tcPr>
            <w:tcW w:w="1418" w:type="dxa"/>
            <w:tcBorders>
              <w:bottom w:val="single" w:sz="4" w:space="0" w:color="auto"/>
            </w:tcBorders>
            <w:vAlign w:val="center"/>
          </w:tcPr>
          <w:p w14:paraId="0AEE089B"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Total</w:t>
            </w:r>
          </w:p>
        </w:tc>
        <w:tc>
          <w:tcPr>
            <w:tcW w:w="850" w:type="dxa"/>
            <w:tcBorders>
              <w:bottom w:val="single" w:sz="4" w:space="0" w:color="auto"/>
            </w:tcBorders>
            <w:vAlign w:val="center"/>
          </w:tcPr>
          <w:p w14:paraId="68CCCE5D"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1415BE7F"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3" w:type="dxa"/>
            <w:tcBorders>
              <w:bottom w:val="single" w:sz="4" w:space="0" w:color="auto"/>
            </w:tcBorders>
          </w:tcPr>
          <w:p w14:paraId="2139D98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0" w:type="dxa"/>
            <w:tcBorders>
              <w:bottom w:val="single" w:sz="4" w:space="0" w:color="auto"/>
            </w:tcBorders>
          </w:tcPr>
          <w:p w14:paraId="435A6C7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7EFF6D4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280F9C5A"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79EDE9A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3729BE6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57795BBD"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65C14CF5"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43B2310A"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261024E6"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5464645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r>
      <w:tr w:rsidR="002C1FC6" w14:paraId="52D256D1" w14:textId="77777777" w:rsidTr="003B3AC5">
        <w:tc>
          <w:tcPr>
            <w:tcW w:w="10916" w:type="dxa"/>
            <w:gridSpan w:val="11"/>
            <w:tcBorders>
              <w:top w:val="single" w:sz="4" w:space="0" w:color="auto"/>
            </w:tcBorders>
          </w:tcPr>
          <w:p w14:paraId="4F04EFB4"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0B6CBBBD"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656AF1FD" w14:textId="77777777" w:rsidR="002C1FC6" w:rsidRPr="005C39B3" w:rsidRDefault="002C1FC6" w:rsidP="003B3AC5">
            <w:pPr>
              <w:tabs>
                <w:tab w:val="left" w:pos="284"/>
              </w:tabs>
              <w:jc w:val="both"/>
              <w:rPr>
                <w:color w:val="000000" w:themeColor="text1"/>
                <w:sz w:val="10"/>
                <w:szCs w:val="10"/>
              </w:rPr>
            </w:pPr>
          </w:p>
        </w:tc>
      </w:tr>
      <w:tr w:rsidR="002C1FC6" w14:paraId="0916660C" w14:textId="77777777" w:rsidTr="003B3AC5">
        <w:tc>
          <w:tcPr>
            <w:tcW w:w="1135" w:type="dxa"/>
            <w:vMerge w:val="restart"/>
          </w:tcPr>
          <w:p w14:paraId="6A597CF2" w14:textId="77777777" w:rsidR="002C1FC6" w:rsidRPr="00202552" w:rsidRDefault="002C1FC6" w:rsidP="003B3AC5">
            <w:pPr>
              <w:tabs>
                <w:tab w:val="left" w:pos="284"/>
              </w:tabs>
              <w:rPr>
                <w:color w:val="000000" w:themeColor="text1"/>
                <w:sz w:val="20"/>
                <w:szCs w:val="20"/>
              </w:rPr>
            </w:pPr>
            <w:r w:rsidRPr="00202552">
              <w:rPr>
                <w:b/>
                <w:caps/>
                <w:sz w:val="20"/>
                <w:szCs w:val="20"/>
              </w:rPr>
              <w:t>Age of company (in years)</w:t>
            </w:r>
          </w:p>
        </w:tc>
        <w:tc>
          <w:tcPr>
            <w:tcW w:w="1418" w:type="dxa"/>
          </w:tcPr>
          <w:p w14:paraId="061B34C5" w14:textId="77777777" w:rsidR="002C1FC6" w:rsidRPr="00202552" w:rsidRDefault="002C1FC6" w:rsidP="003B3AC5">
            <w:pPr>
              <w:tabs>
                <w:tab w:val="left" w:pos="284"/>
              </w:tabs>
              <w:jc w:val="both"/>
              <w:rPr>
                <w:color w:val="000000" w:themeColor="text1"/>
                <w:sz w:val="20"/>
                <w:szCs w:val="20"/>
              </w:rPr>
            </w:pPr>
            <w:r w:rsidRPr="00202552">
              <w:rPr>
                <w:sz w:val="20"/>
                <w:szCs w:val="20"/>
              </w:rPr>
              <w:t>1-5</w:t>
            </w:r>
          </w:p>
        </w:tc>
        <w:tc>
          <w:tcPr>
            <w:tcW w:w="850" w:type="dxa"/>
          </w:tcPr>
          <w:p w14:paraId="5CC42FC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7.8</w:t>
            </w:r>
            <w:r w:rsidRPr="00202552">
              <w:rPr>
                <w:color w:val="000000" w:themeColor="text1"/>
                <w:sz w:val="20"/>
                <w:szCs w:val="20"/>
              </w:rPr>
              <w:t>%</w:t>
            </w:r>
          </w:p>
        </w:tc>
        <w:tc>
          <w:tcPr>
            <w:tcW w:w="992" w:type="dxa"/>
          </w:tcPr>
          <w:p w14:paraId="6D69A05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10.8</w:t>
            </w:r>
            <w:r w:rsidRPr="00202552">
              <w:rPr>
                <w:color w:val="000000" w:themeColor="text1"/>
                <w:sz w:val="20"/>
                <w:szCs w:val="20"/>
              </w:rPr>
              <w:t>%</w:t>
            </w:r>
          </w:p>
        </w:tc>
        <w:tc>
          <w:tcPr>
            <w:tcW w:w="993" w:type="dxa"/>
          </w:tcPr>
          <w:p w14:paraId="0838E22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8.6</w:t>
            </w:r>
            <w:r w:rsidRPr="00202552">
              <w:rPr>
                <w:color w:val="000000" w:themeColor="text1"/>
                <w:sz w:val="20"/>
                <w:szCs w:val="20"/>
              </w:rPr>
              <w:t>%</w:t>
            </w:r>
          </w:p>
        </w:tc>
        <w:tc>
          <w:tcPr>
            <w:tcW w:w="850" w:type="dxa"/>
          </w:tcPr>
          <w:p w14:paraId="0949B796"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8.3%</w:t>
            </w:r>
          </w:p>
        </w:tc>
        <w:tc>
          <w:tcPr>
            <w:tcW w:w="992" w:type="dxa"/>
          </w:tcPr>
          <w:p w14:paraId="6C14A3C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6.9</w:t>
            </w:r>
            <w:r w:rsidRPr="00202552">
              <w:rPr>
                <w:color w:val="000000" w:themeColor="text1"/>
                <w:sz w:val="20"/>
                <w:szCs w:val="20"/>
              </w:rPr>
              <w:t>%</w:t>
            </w:r>
          </w:p>
        </w:tc>
        <w:tc>
          <w:tcPr>
            <w:tcW w:w="851" w:type="dxa"/>
          </w:tcPr>
          <w:p w14:paraId="6EDCACB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7.0</w:t>
            </w:r>
            <w:r w:rsidRPr="00202552">
              <w:rPr>
                <w:color w:val="000000" w:themeColor="text1"/>
                <w:sz w:val="20"/>
                <w:szCs w:val="20"/>
              </w:rPr>
              <w:t>%</w:t>
            </w:r>
          </w:p>
        </w:tc>
        <w:tc>
          <w:tcPr>
            <w:tcW w:w="992" w:type="dxa"/>
          </w:tcPr>
          <w:p w14:paraId="22D9C53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11.1</w:t>
            </w:r>
            <w:r w:rsidRPr="00202552">
              <w:rPr>
                <w:color w:val="000000" w:themeColor="text1"/>
                <w:sz w:val="20"/>
                <w:szCs w:val="20"/>
              </w:rPr>
              <w:t>%</w:t>
            </w:r>
          </w:p>
        </w:tc>
        <w:tc>
          <w:tcPr>
            <w:tcW w:w="851" w:type="dxa"/>
          </w:tcPr>
          <w:p w14:paraId="176F8A6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37.5</w:t>
            </w:r>
            <w:r w:rsidRPr="00202552">
              <w:rPr>
                <w:color w:val="000000" w:themeColor="text1"/>
                <w:sz w:val="20"/>
                <w:szCs w:val="20"/>
              </w:rPr>
              <w:t>%</w:t>
            </w:r>
          </w:p>
        </w:tc>
        <w:tc>
          <w:tcPr>
            <w:tcW w:w="992" w:type="dxa"/>
          </w:tcPr>
          <w:p w14:paraId="2D1D467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16.7</w:t>
            </w:r>
            <w:r w:rsidRPr="00202552">
              <w:rPr>
                <w:color w:val="000000" w:themeColor="text1"/>
                <w:sz w:val="20"/>
                <w:szCs w:val="20"/>
              </w:rPr>
              <w:t>%</w:t>
            </w:r>
          </w:p>
        </w:tc>
        <w:tc>
          <w:tcPr>
            <w:tcW w:w="921" w:type="dxa"/>
          </w:tcPr>
          <w:p w14:paraId="5725342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8.0</w:t>
            </w:r>
            <w:r w:rsidRPr="00202552">
              <w:rPr>
                <w:color w:val="000000" w:themeColor="text1"/>
                <w:sz w:val="20"/>
                <w:szCs w:val="20"/>
              </w:rPr>
              <w:t>%</w:t>
            </w:r>
          </w:p>
        </w:tc>
        <w:tc>
          <w:tcPr>
            <w:tcW w:w="922" w:type="dxa"/>
          </w:tcPr>
          <w:p w14:paraId="494E6561"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8.1</w:t>
            </w:r>
            <w:r w:rsidRPr="00202552">
              <w:rPr>
                <w:color w:val="000000" w:themeColor="text1"/>
                <w:sz w:val="20"/>
                <w:szCs w:val="20"/>
              </w:rPr>
              <w:t>%</w:t>
            </w:r>
          </w:p>
        </w:tc>
        <w:tc>
          <w:tcPr>
            <w:tcW w:w="921" w:type="dxa"/>
          </w:tcPr>
          <w:p w14:paraId="5F94105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2.8%</w:t>
            </w:r>
          </w:p>
        </w:tc>
        <w:tc>
          <w:tcPr>
            <w:tcW w:w="922" w:type="dxa"/>
          </w:tcPr>
          <w:p w14:paraId="4E435B6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w:t>
            </w:r>
            <w:r w:rsidRPr="00202552">
              <w:rPr>
                <w:color w:val="000000" w:themeColor="text1"/>
                <w:sz w:val="20"/>
                <w:szCs w:val="20"/>
              </w:rPr>
              <w:t>.9%</w:t>
            </w:r>
          </w:p>
        </w:tc>
      </w:tr>
      <w:tr w:rsidR="002C1FC6" w14:paraId="2D374D69" w14:textId="77777777" w:rsidTr="003B3AC5">
        <w:tc>
          <w:tcPr>
            <w:tcW w:w="1135" w:type="dxa"/>
            <w:vMerge/>
          </w:tcPr>
          <w:p w14:paraId="3B5595DA" w14:textId="77777777" w:rsidR="002C1FC6" w:rsidRDefault="002C1FC6" w:rsidP="003B3AC5">
            <w:pPr>
              <w:tabs>
                <w:tab w:val="left" w:pos="284"/>
              </w:tabs>
              <w:jc w:val="both"/>
              <w:rPr>
                <w:color w:val="000000" w:themeColor="text1"/>
              </w:rPr>
            </w:pPr>
          </w:p>
        </w:tc>
        <w:tc>
          <w:tcPr>
            <w:tcW w:w="1418" w:type="dxa"/>
          </w:tcPr>
          <w:p w14:paraId="5D62AE93" w14:textId="77777777" w:rsidR="002C1FC6" w:rsidRPr="00202552" w:rsidRDefault="002C1FC6" w:rsidP="003B3AC5">
            <w:pPr>
              <w:tabs>
                <w:tab w:val="left" w:pos="284"/>
              </w:tabs>
              <w:jc w:val="both"/>
              <w:rPr>
                <w:color w:val="000000" w:themeColor="text1"/>
                <w:sz w:val="20"/>
                <w:szCs w:val="20"/>
              </w:rPr>
            </w:pPr>
            <w:r w:rsidRPr="00202552">
              <w:rPr>
                <w:sz w:val="20"/>
                <w:szCs w:val="20"/>
              </w:rPr>
              <w:t>6-10</w:t>
            </w:r>
          </w:p>
        </w:tc>
        <w:tc>
          <w:tcPr>
            <w:tcW w:w="850" w:type="dxa"/>
          </w:tcPr>
          <w:p w14:paraId="2DD02A33"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10</w:t>
            </w:r>
            <w:r>
              <w:rPr>
                <w:color w:val="000000" w:themeColor="text1"/>
                <w:sz w:val="20"/>
                <w:szCs w:val="20"/>
                <w:lang w:val="el-GR"/>
              </w:rPr>
              <w:t>.</w:t>
            </w:r>
            <w:r>
              <w:rPr>
                <w:color w:val="000000" w:themeColor="text1"/>
                <w:sz w:val="20"/>
                <w:szCs w:val="20"/>
              </w:rPr>
              <w:t>2</w:t>
            </w:r>
            <w:r w:rsidRPr="00202552">
              <w:rPr>
                <w:color w:val="000000" w:themeColor="text1"/>
                <w:sz w:val="20"/>
                <w:szCs w:val="20"/>
              </w:rPr>
              <w:t>%</w:t>
            </w:r>
          </w:p>
        </w:tc>
        <w:tc>
          <w:tcPr>
            <w:tcW w:w="992" w:type="dxa"/>
          </w:tcPr>
          <w:p w14:paraId="25EFB67A"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5.4%</w:t>
            </w:r>
          </w:p>
        </w:tc>
        <w:tc>
          <w:tcPr>
            <w:tcW w:w="993" w:type="dxa"/>
          </w:tcPr>
          <w:p w14:paraId="783838E3"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10.3</w:t>
            </w:r>
            <w:r w:rsidRPr="00202552">
              <w:rPr>
                <w:color w:val="000000" w:themeColor="text1"/>
                <w:sz w:val="20"/>
                <w:szCs w:val="20"/>
              </w:rPr>
              <w:t>%</w:t>
            </w:r>
          </w:p>
        </w:tc>
        <w:tc>
          <w:tcPr>
            <w:tcW w:w="850" w:type="dxa"/>
          </w:tcPr>
          <w:p w14:paraId="1FEB631D"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8.3%</w:t>
            </w:r>
          </w:p>
        </w:tc>
        <w:tc>
          <w:tcPr>
            <w:tcW w:w="992" w:type="dxa"/>
          </w:tcPr>
          <w:p w14:paraId="244612BF"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w:t>
            </w:r>
            <w:r>
              <w:rPr>
                <w:color w:val="000000" w:themeColor="text1"/>
                <w:sz w:val="20"/>
                <w:szCs w:val="20"/>
              </w:rPr>
              <w:t>3</w:t>
            </w:r>
            <w:r w:rsidRPr="00202552">
              <w:rPr>
                <w:color w:val="000000" w:themeColor="text1"/>
                <w:sz w:val="20"/>
                <w:szCs w:val="20"/>
              </w:rPr>
              <w:t>%</w:t>
            </w:r>
          </w:p>
        </w:tc>
        <w:tc>
          <w:tcPr>
            <w:tcW w:w="851" w:type="dxa"/>
          </w:tcPr>
          <w:p w14:paraId="2F4A009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9.3</w:t>
            </w:r>
            <w:r w:rsidRPr="00202552">
              <w:rPr>
                <w:color w:val="000000" w:themeColor="text1"/>
                <w:sz w:val="20"/>
                <w:szCs w:val="20"/>
              </w:rPr>
              <w:t>%</w:t>
            </w:r>
          </w:p>
        </w:tc>
        <w:tc>
          <w:tcPr>
            <w:tcW w:w="992" w:type="dxa"/>
          </w:tcPr>
          <w:p w14:paraId="4505FE4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851" w:type="dxa"/>
          </w:tcPr>
          <w:p w14:paraId="11F86D3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992" w:type="dxa"/>
          </w:tcPr>
          <w:p w14:paraId="0283A4A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8.3</w:t>
            </w:r>
            <w:r w:rsidRPr="00202552">
              <w:rPr>
                <w:color w:val="000000" w:themeColor="text1"/>
                <w:sz w:val="20"/>
                <w:szCs w:val="20"/>
              </w:rPr>
              <w:t>%</w:t>
            </w:r>
          </w:p>
        </w:tc>
        <w:tc>
          <w:tcPr>
            <w:tcW w:w="921" w:type="dxa"/>
          </w:tcPr>
          <w:p w14:paraId="0F4FD523"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6.0</w:t>
            </w:r>
            <w:r w:rsidRPr="00202552">
              <w:rPr>
                <w:color w:val="000000" w:themeColor="text1"/>
                <w:sz w:val="20"/>
                <w:szCs w:val="20"/>
              </w:rPr>
              <w:t>%</w:t>
            </w:r>
          </w:p>
        </w:tc>
        <w:tc>
          <w:tcPr>
            <w:tcW w:w="922" w:type="dxa"/>
          </w:tcPr>
          <w:p w14:paraId="04B063F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5.4</w:t>
            </w:r>
            <w:r w:rsidRPr="00202552">
              <w:rPr>
                <w:color w:val="000000" w:themeColor="text1"/>
                <w:sz w:val="20"/>
                <w:szCs w:val="20"/>
              </w:rPr>
              <w:t>%</w:t>
            </w:r>
          </w:p>
        </w:tc>
        <w:tc>
          <w:tcPr>
            <w:tcW w:w="921" w:type="dxa"/>
          </w:tcPr>
          <w:p w14:paraId="7DF84A8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18.3%</w:t>
            </w:r>
          </w:p>
        </w:tc>
        <w:tc>
          <w:tcPr>
            <w:tcW w:w="922" w:type="dxa"/>
          </w:tcPr>
          <w:p w14:paraId="394F2B2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23.5</w:t>
            </w:r>
            <w:r w:rsidRPr="00202552">
              <w:rPr>
                <w:color w:val="000000" w:themeColor="text1"/>
                <w:sz w:val="20"/>
                <w:szCs w:val="20"/>
              </w:rPr>
              <w:t>%</w:t>
            </w:r>
          </w:p>
        </w:tc>
      </w:tr>
      <w:tr w:rsidR="002C1FC6" w14:paraId="6E7EAE61" w14:textId="77777777" w:rsidTr="003B3AC5">
        <w:tc>
          <w:tcPr>
            <w:tcW w:w="1135" w:type="dxa"/>
            <w:vMerge/>
          </w:tcPr>
          <w:p w14:paraId="3DA1919B" w14:textId="77777777" w:rsidR="002C1FC6" w:rsidRDefault="002C1FC6" w:rsidP="003B3AC5">
            <w:pPr>
              <w:tabs>
                <w:tab w:val="left" w:pos="284"/>
              </w:tabs>
              <w:jc w:val="both"/>
              <w:rPr>
                <w:color w:val="000000" w:themeColor="text1"/>
              </w:rPr>
            </w:pPr>
          </w:p>
        </w:tc>
        <w:tc>
          <w:tcPr>
            <w:tcW w:w="1418" w:type="dxa"/>
          </w:tcPr>
          <w:p w14:paraId="7A5BC6B0" w14:textId="77777777" w:rsidR="002C1FC6" w:rsidRPr="00202552" w:rsidRDefault="002C1FC6" w:rsidP="003B3AC5">
            <w:pPr>
              <w:tabs>
                <w:tab w:val="left" w:pos="284"/>
              </w:tabs>
              <w:jc w:val="both"/>
              <w:rPr>
                <w:color w:val="000000" w:themeColor="text1"/>
                <w:sz w:val="20"/>
                <w:szCs w:val="20"/>
              </w:rPr>
            </w:pPr>
            <w:r w:rsidRPr="00202552">
              <w:rPr>
                <w:sz w:val="20"/>
                <w:szCs w:val="20"/>
              </w:rPr>
              <w:t>11-20</w:t>
            </w:r>
          </w:p>
        </w:tc>
        <w:tc>
          <w:tcPr>
            <w:tcW w:w="850" w:type="dxa"/>
          </w:tcPr>
          <w:p w14:paraId="2DE256E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15.5</w:t>
            </w:r>
            <w:r w:rsidRPr="00202552">
              <w:rPr>
                <w:color w:val="000000" w:themeColor="text1"/>
                <w:sz w:val="20"/>
                <w:szCs w:val="20"/>
              </w:rPr>
              <w:t>%</w:t>
            </w:r>
          </w:p>
        </w:tc>
        <w:tc>
          <w:tcPr>
            <w:tcW w:w="992" w:type="dxa"/>
          </w:tcPr>
          <w:p w14:paraId="5F2CDD9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21.6</w:t>
            </w:r>
            <w:r w:rsidRPr="00202552">
              <w:rPr>
                <w:color w:val="000000" w:themeColor="text1"/>
                <w:sz w:val="20"/>
                <w:szCs w:val="20"/>
              </w:rPr>
              <w:t>%</w:t>
            </w:r>
          </w:p>
        </w:tc>
        <w:tc>
          <w:tcPr>
            <w:tcW w:w="993" w:type="dxa"/>
          </w:tcPr>
          <w:p w14:paraId="573EE05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15</w:t>
            </w:r>
            <w:r w:rsidRPr="00202552">
              <w:rPr>
                <w:color w:val="000000" w:themeColor="text1"/>
                <w:sz w:val="20"/>
                <w:szCs w:val="20"/>
              </w:rPr>
              <w:t>.5%</w:t>
            </w:r>
          </w:p>
        </w:tc>
        <w:tc>
          <w:tcPr>
            <w:tcW w:w="850" w:type="dxa"/>
          </w:tcPr>
          <w:p w14:paraId="22318A07"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13.9%</w:t>
            </w:r>
          </w:p>
        </w:tc>
        <w:tc>
          <w:tcPr>
            <w:tcW w:w="992" w:type="dxa"/>
          </w:tcPr>
          <w:p w14:paraId="6189044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15.5</w:t>
            </w:r>
            <w:r w:rsidRPr="00202552">
              <w:rPr>
                <w:color w:val="000000" w:themeColor="text1"/>
                <w:sz w:val="20"/>
                <w:szCs w:val="20"/>
              </w:rPr>
              <w:t>%</w:t>
            </w:r>
          </w:p>
        </w:tc>
        <w:tc>
          <w:tcPr>
            <w:tcW w:w="851" w:type="dxa"/>
          </w:tcPr>
          <w:p w14:paraId="6075506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7.0</w:t>
            </w:r>
          </w:p>
        </w:tc>
        <w:tc>
          <w:tcPr>
            <w:tcW w:w="992" w:type="dxa"/>
          </w:tcPr>
          <w:p w14:paraId="0F99BBD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851" w:type="dxa"/>
          </w:tcPr>
          <w:p w14:paraId="17C7BA5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12</w:t>
            </w:r>
            <w:r w:rsidRPr="00202552">
              <w:rPr>
                <w:color w:val="000000" w:themeColor="text1"/>
                <w:sz w:val="20"/>
                <w:szCs w:val="20"/>
              </w:rPr>
              <w:t>.5%</w:t>
            </w:r>
          </w:p>
        </w:tc>
        <w:tc>
          <w:tcPr>
            <w:tcW w:w="992" w:type="dxa"/>
          </w:tcPr>
          <w:p w14:paraId="64454F6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16.7</w:t>
            </w:r>
            <w:r w:rsidRPr="00202552">
              <w:rPr>
                <w:color w:val="000000" w:themeColor="text1"/>
                <w:sz w:val="20"/>
                <w:szCs w:val="20"/>
              </w:rPr>
              <w:t>%</w:t>
            </w:r>
          </w:p>
        </w:tc>
        <w:tc>
          <w:tcPr>
            <w:tcW w:w="921" w:type="dxa"/>
          </w:tcPr>
          <w:p w14:paraId="52044FE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20.0</w:t>
            </w:r>
            <w:r w:rsidRPr="00202552">
              <w:rPr>
                <w:color w:val="000000" w:themeColor="text1"/>
                <w:sz w:val="20"/>
                <w:szCs w:val="20"/>
              </w:rPr>
              <w:t>%</w:t>
            </w:r>
          </w:p>
        </w:tc>
        <w:tc>
          <w:tcPr>
            <w:tcW w:w="922" w:type="dxa"/>
          </w:tcPr>
          <w:p w14:paraId="0A793153"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16.2</w:t>
            </w:r>
            <w:r w:rsidRPr="00202552">
              <w:rPr>
                <w:color w:val="000000" w:themeColor="text1"/>
                <w:sz w:val="20"/>
                <w:szCs w:val="20"/>
              </w:rPr>
              <w:t>%</w:t>
            </w:r>
          </w:p>
        </w:tc>
        <w:tc>
          <w:tcPr>
            <w:tcW w:w="921" w:type="dxa"/>
          </w:tcPr>
          <w:p w14:paraId="6665F4AC"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15.5%</w:t>
            </w:r>
          </w:p>
        </w:tc>
        <w:tc>
          <w:tcPr>
            <w:tcW w:w="922" w:type="dxa"/>
          </w:tcPr>
          <w:p w14:paraId="70685B2D"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17.6%</w:t>
            </w:r>
          </w:p>
        </w:tc>
      </w:tr>
      <w:tr w:rsidR="002C1FC6" w14:paraId="4A85E06A" w14:textId="77777777" w:rsidTr="003B3AC5">
        <w:tc>
          <w:tcPr>
            <w:tcW w:w="1135" w:type="dxa"/>
            <w:vMerge/>
          </w:tcPr>
          <w:p w14:paraId="0CF4A1C6" w14:textId="77777777" w:rsidR="002C1FC6" w:rsidRDefault="002C1FC6" w:rsidP="003B3AC5">
            <w:pPr>
              <w:tabs>
                <w:tab w:val="left" w:pos="284"/>
              </w:tabs>
              <w:jc w:val="both"/>
              <w:rPr>
                <w:color w:val="000000" w:themeColor="text1"/>
              </w:rPr>
            </w:pPr>
          </w:p>
        </w:tc>
        <w:tc>
          <w:tcPr>
            <w:tcW w:w="1418" w:type="dxa"/>
          </w:tcPr>
          <w:p w14:paraId="1FEED703" w14:textId="77777777" w:rsidR="002C1FC6" w:rsidRPr="00202552" w:rsidRDefault="002C1FC6" w:rsidP="003B3AC5">
            <w:pPr>
              <w:tabs>
                <w:tab w:val="left" w:pos="284"/>
              </w:tabs>
              <w:jc w:val="both"/>
              <w:rPr>
                <w:color w:val="000000" w:themeColor="text1"/>
                <w:sz w:val="20"/>
                <w:szCs w:val="20"/>
              </w:rPr>
            </w:pPr>
            <w:r w:rsidRPr="00202552">
              <w:rPr>
                <w:sz w:val="20"/>
                <w:szCs w:val="20"/>
              </w:rPr>
              <w:t>21-40</w:t>
            </w:r>
          </w:p>
        </w:tc>
        <w:tc>
          <w:tcPr>
            <w:tcW w:w="850" w:type="dxa"/>
          </w:tcPr>
          <w:p w14:paraId="28BB5CC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24.1</w:t>
            </w:r>
            <w:r w:rsidRPr="00202552">
              <w:rPr>
                <w:color w:val="000000" w:themeColor="text1"/>
                <w:sz w:val="20"/>
                <w:szCs w:val="20"/>
              </w:rPr>
              <w:t>%</w:t>
            </w:r>
          </w:p>
        </w:tc>
        <w:tc>
          <w:tcPr>
            <w:tcW w:w="992" w:type="dxa"/>
          </w:tcPr>
          <w:p w14:paraId="36E29A6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27.0</w:t>
            </w:r>
            <w:r w:rsidRPr="00202552">
              <w:rPr>
                <w:color w:val="000000" w:themeColor="text1"/>
                <w:sz w:val="20"/>
                <w:szCs w:val="20"/>
              </w:rPr>
              <w:t>%</w:t>
            </w:r>
          </w:p>
        </w:tc>
        <w:tc>
          <w:tcPr>
            <w:tcW w:w="993" w:type="dxa"/>
          </w:tcPr>
          <w:p w14:paraId="2E4A3B0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w:t>
            </w:r>
            <w:r>
              <w:rPr>
                <w:color w:val="000000" w:themeColor="text1"/>
                <w:sz w:val="20"/>
                <w:szCs w:val="20"/>
              </w:rPr>
              <w:t>4</w:t>
            </w:r>
            <w:r w:rsidRPr="00202552">
              <w:rPr>
                <w:color w:val="000000" w:themeColor="text1"/>
                <w:sz w:val="20"/>
                <w:szCs w:val="20"/>
              </w:rPr>
              <w:t>.1%</w:t>
            </w:r>
          </w:p>
        </w:tc>
        <w:tc>
          <w:tcPr>
            <w:tcW w:w="850" w:type="dxa"/>
          </w:tcPr>
          <w:p w14:paraId="70C7850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30.6%</w:t>
            </w:r>
          </w:p>
        </w:tc>
        <w:tc>
          <w:tcPr>
            <w:tcW w:w="992" w:type="dxa"/>
          </w:tcPr>
          <w:p w14:paraId="3147900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31.0</w:t>
            </w:r>
            <w:r w:rsidRPr="00202552">
              <w:rPr>
                <w:color w:val="000000" w:themeColor="text1"/>
                <w:sz w:val="20"/>
                <w:szCs w:val="20"/>
              </w:rPr>
              <w:t>%</w:t>
            </w:r>
          </w:p>
        </w:tc>
        <w:tc>
          <w:tcPr>
            <w:tcW w:w="851" w:type="dxa"/>
          </w:tcPr>
          <w:p w14:paraId="216D034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18.6</w:t>
            </w:r>
            <w:r w:rsidRPr="00202552">
              <w:rPr>
                <w:color w:val="000000" w:themeColor="text1"/>
                <w:sz w:val="20"/>
                <w:szCs w:val="20"/>
              </w:rPr>
              <w:t>%</w:t>
            </w:r>
          </w:p>
        </w:tc>
        <w:tc>
          <w:tcPr>
            <w:tcW w:w="992" w:type="dxa"/>
          </w:tcPr>
          <w:p w14:paraId="6E23B77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22.2</w:t>
            </w:r>
            <w:r w:rsidRPr="00202552">
              <w:rPr>
                <w:color w:val="000000" w:themeColor="text1"/>
                <w:sz w:val="20"/>
                <w:szCs w:val="20"/>
              </w:rPr>
              <w:t>%</w:t>
            </w:r>
          </w:p>
        </w:tc>
        <w:tc>
          <w:tcPr>
            <w:tcW w:w="851" w:type="dxa"/>
          </w:tcPr>
          <w:p w14:paraId="6B42806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992" w:type="dxa"/>
          </w:tcPr>
          <w:p w14:paraId="7144314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0.0</w:t>
            </w:r>
            <w:r w:rsidRPr="00202552">
              <w:rPr>
                <w:color w:val="000000" w:themeColor="text1"/>
                <w:sz w:val="20"/>
                <w:szCs w:val="20"/>
              </w:rPr>
              <w:t>%</w:t>
            </w:r>
          </w:p>
        </w:tc>
        <w:tc>
          <w:tcPr>
            <w:tcW w:w="921" w:type="dxa"/>
          </w:tcPr>
          <w:p w14:paraId="602440F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22.0</w:t>
            </w:r>
            <w:r w:rsidRPr="00202552">
              <w:rPr>
                <w:color w:val="000000" w:themeColor="text1"/>
                <w:sz w:val="20"/>
                <w:szCs w:val="20"/>
              </w:rPr>
              <w:t>%</w:t>
            </w:r>
          </w:p>
        </w:tc>
        <w:tc>
          <w:tcPr>
            <w:tcW w:w="922" w:type="dxa"/>
          </w:tcPr>
          <w:p w14:paraId="69DE515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24.3</w:t>
            </w:r>
            <w:r w:rsidRPr="00202552">
              <w:rPr>
                <w:color w:val="000000" w:themeColor="text1"/>
                <w:sz w:val="20"/>
                <w:szCs w:val="20"/>
              </w:rPr>
              <w:t>%</w:t>
            </w:r>
          </w:p>
        </w:tc>
        <w:tc>
          <w:tcPr>
            <w:tcW w:w="921" w:type="dxa"/>
          </w:tcPr>
          <w:p w14:paraId="10E4A872"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26.8%</w:t>
            </w:r>
          </w:p>
        </w:tc>
        <w:tc>
          <w:tcPr>
            <w:tcW w:w="922" w:type="dxa"/>
          </w:tcPr>
          <w:p w14:paraId="2F1EC55A"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20.6</w:t>
            </w:r>
            <w:r w:rsidRPr="00202552">
              <w:rPr>
                <w:color w:val="000000" w:themeColor="text1"/>
                <w:sz w:val="20"/>
                <w:szCs w:val="20"/>
              </w:rPr>
              <w:t>%</w:t>
            </w:r>
          </w:p>
        </w:tc>
      </w:tr>
      <w:tr w:rsidR="002C1FC6" w14:paraId="2D6D0A32" w14:textId="77777777" w:rsidTr="003B3AC5">
        <w:tc>
          <w:tcPr>
            <w:tcW w:w="1135" w:type="dxa"/>
            <w:vMerge/>
          </w:tcPr>
          <w:p w14:paraId="0CFF30BB" w14:textId="77777777" w:rsidR="002C1FC6" w:rsidRDefault="002C1FC6" w:rsidP="003B3AC5">
            <w:pPr>
              <w:tabs>
                <w:tab w:val="left" w:pos="284"/>
              </w:tabs>
              <w:jc w:val="both"/>
              <w:rPr>
                <w:color w:val="000000" w:themeColor="text1"/>
              </w:rPr>
            </w:pPr>
          </w:p>
        </w:tc>
        <w:tc>
          <w:tcPr>
            <w:tcW w:w="1418" w:type="dxa"/>
          </w:tcPr>
          <w:p w14:paraId="34FD30D4" w14:textId="77777777" w:rsidR="002C1FC6" w:rsidRPr="00202552" w:rsidRDefault="002C1FC6" w:rsidP="003B3AC5">
            <w:pPr>
              <w:tabs>
                <w:tab w:val="left" w:pos="284"/>
              </w:tabs>
              <w:jc w:val="both"/>
              <w:rPr>
                <w:color w:val="000000" w:themeColor="text1"/>
                <w:sz w:val="20"/>
                <w:szCs w:val="20"/>
              </w:rPr>
            </w:pPr>
            <w:r w:rsidRPr="00202552">
              <w:rPr>
                <w:sz w:val="20"/>
                <w:szCs w:val="20"/>
              </w:rPr>
              <w:t>&gt;40</w:t>
            </w:r>
          </w:p>
        </w:tc>
        <w:tc>
          <w:tcPr>
            <w:tcW w:w="850" w:type="dxa"/>
          </w:tcPr>
          <w:p w14:paraId="70470603"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42.4</w:t>
            </w:r>
            <w:r w:rsidRPr="00202552">
              <w:rPr>
                <w:color w:val="000000" w:themeColor="text1"/>
                <w:sz w:val="20"/>
                <w:szCs w:val="20"/>
              </w:rPr>
              <w:t>%</w:t>
            </w:r>
          </w:p>
        </w:tc>
        <w:tc>
          <w:tcPr>
            <w:tcW w:w="992" w:type="dxa"/>
          </w:tcPr>
          <w:p w14:paraId="6FBE887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35.1</w:t>
            </w:r>
            <w:r w:rsidRPr="00202552">
              <w:rPr>
                <w:color w:val="000000" w:themeColor="text1"/>
                <w:sz w:val="20"/>
                <w:szCs w:val="20"/>
              </w:rPr>
              <w:t>%</w:t>
            </w:r>
          </w:p>
        </w:tc>
        <w:tc>
          <w:tcPr>
            <w:tcW w:w="993" w:type="dxa"/>
          </w:tcPr>
          <w:p w14:paraId="7B8716B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41.4</w:t>
            </w:r>
            <w:r w:rsidRPr="00202552">
              <w:rPr>
                <w:color w:val="000000" w:themeColor="text1"/>
                <w:sz w:val="20"/>
                <w:szCs w:val="20"/>
              </w:rPr>
              <w:t>%</w:t>
            </w:r>
          </w:p>
        </w:tc>
        <w:tc>
          <w:tcPr>
            <w:tcW w:w="850" w:type="dxa"/>
          </w:tcPr>
          <w:p w14:paraId="087FA60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38.9%</w:t>
            </w:r>
          </w:p>
        </w:tc>
        <w:tc>
          <w:tcPr>
            <w:tcW w:w="992" w:type="dxa"/>
          </w:tcPr>
          <w:p w14:paraId="241126E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36.2</w:t>
            </w:r>
            <w:r w:rsidRPr="00202552">
              <w:rPr>
                <w:color w:val="000000" w:themeColor="text1"/>
                <w:sz w:val="20"/>
                <w:szCs w:val="20"/>
              </w:rPr>
              <w:t>%</w:t>
            </w:r>
          </w:p>
        </w:tc>
        <w:tc>
          <w:tcPr>
            <w:tcW w:w="851" w:type="dxa"/>
          </w:tcPr>
          <w:p w14:paraId="410DFC8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58.1</w:t>
            </w:r>
            <w:r w:rsidRPr="00202552">
              <w:rPr>
                <w:color w:val="000000" w:themeColor="text1"/>
                <w:sz w:val="20"/>
                <w:szCs w:val="20"/>
              </w:rPr>
              <w:t>%</w:t>
            </w:r>
          </w:p>
        </w:tc>
        <w:tc>
          <w:tcPr>
            <w:tcW w:w="992" w:type="dxa"/>
          </w:tcPr>
          <w:p w14:paraId="509E938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66.7</w:t>
            </w:r>
            <w:r w:rsidRPr="00202552">
              <w:rPr>
                <w:color w:val="000000" w:themeColor="text1"/>
                <w:sz w:val="20"/>
                <w:szCs w:val="20"/>
              </w:rPr>
              <w:t>%</w:t>
            </w:r>
          </w:p>
        </w:tc>
        <w:tc>
          <w:tcPr>
            <w:tcW w:w="851" w:type="dxa"/>
          </w:tcPr>
          <w:p w14:paraId="6E8D6D0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50.0</w:t>
            </w:r>
            <w:r w:rsidRPr="00202552">
              <w:rPr>
                <w:color w:val="000000" w:themeColor="text1"/>
                <w:sz w:val="20"/>
                <w:szCs w:val="20"/>
              </w:rPr>
              <w:t>%</w:t>
            </w:r>
          </w:p>
        </w:tc>
        <w:tc>
          <w:tcPr>
            <w:tcW w:w="992" w:type="dxa"/>
          </w:tcPr>
          <w:p w14:paraId="429C124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58</w:t>
            </w:r>
            <w:r w:rsidRPr="00202552">
              <w:rPr>
                <w:color w:val="000000" w:themeColor="text1"/>
                <w:sz w:val="20"/>
                <w:szCs w:val="20"/>
              </w:rPr>
              <w:t>.3%</w:t>
            </w:r>
          </w:p>
        </w:tc>
        <w:tc>
          <w:tcPr>
            <w:tcW w:w="921" w:type="dxa"/>
          </w:tcPr>
          <w:p w14:paraId="787660A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44.0</w:t>
            </w:r>
            <w:r w:rsidRPr="00202552">
              <w:rPr>
                <w:color w:val="000000" w:themeColor="text1"/>
                <w:sz w:val="20"/>
                <w:szCs w:val="20"/>
              </w:rPr>
              <w:t>%</w:t>
            </w:r>
          </w:p>
        </w:tc>
        <w:tc>
          <w:tcPr>
            <w:tcW w:w="922" w:type="dxa"/>
          </w:tcPr>
          <w:p w14:paraId="706689E2"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45.9</w:t>
            </w:r>
            <w:r w:rsidRPr="00202552">
              <w:rPr>
                <w:color w:val="000000" w:themeColor="text1"/>
                <w:sz w:val="20"/>
                <w:szCs w:val="20"/>
              </w:rPr>
              <w:t>%</w:t>
            </w:r>
          </w:p>
        </w:tc>
        <w:tc>
          <w:tcPr>
            <w:tcW w:w="921" w:type="dxa"/>
          </w:tcPr>
          <w:p w14:paraId="28C48B2E"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36.6%</w:t>
            </w:r>
          </w:p>
        </w:tc>
        <w:tc>
          <w:tcPr>
            <w:tcW w:w="922" w:type="dxa"/>
          </w:tcPr>
          <w:p w14:paraId="171C22BA"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w:t>
            </w:r>
            <w:r>
              <w:rPr>
                <w:color w:val="000000" w:themeColor="text1"/>
                <w:sz w:val="20"/>
                <w:szCs w:val="20"/>
              </w:rPr>
              <w:t>5</w:t>
            </w:r>
            <w:r w:rsidRPr="00202552">
              <w:rPr>
                <w:color w:val="000000" w:themeColor="text1"/>
                <w:sz w:val="20"/>
                <w:szCs w:val="20"/>
              </w:rPr>
              <w:t>.3%</w:t>
            </w:r>
          </w:p>
        </w:tc>
      </w:tr>
      <w:tr w:rsidR="002C1FC6" w14:paraId="0DD36E2D" w14:textId="77777777" w:rsidTr="003B3AC5">
        <w:tc>
          <w:tcPr>
            <w:tcW w:w="1135" w:type="dxa"/>
            <w:vMerge/>
            <w:tcBorders>
              <w:bottom w:val="single" w:sz="4" w:space="0" w:color="auto"/>
            </w:tcBorders>
          </w:tcPr>
          <w:p w14:paraId="4B2CE4B9" w14:textId="77777777" w:rsidR="002C1FC6" w:rsidRDefault="002C1FC6" w:rsidP="003B3AC5">
            <w:pPr>
              <w:tabs>
                <w:tab w:val="left" w:pos="284"/>
              </w:tabs>
              <w:jc w:val="both"/>
              <w:rPr>
                <w:color w:val="000000" w:themeColor="text1"/>
              </w:rPr>
            </w:pPr>
          </w:p>
        </w:tc>
        <w:tc>
          <w:tcPr>
            <w:tcW w:w="1418" w:type="dxa"/>
            <w:tcBorders>
              <w:bottom w:val="single" w:sz="4" w:space="0" w:color="auto"/>
            </w:tcBorders>
            <w:vAlign w:val="center"/>
          </w:tcPr>
          <w:p w14:paraId="144F6EC4"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Total</w:t>
            </w:r>
          </w:p>
        </w:tc>
        <w:tc>
          <w:tcPr>
            <w:tcW w:w="850" w:type="dxa"/>
            <w:tcBorders>
              <w:bottom w:val="single" w:sz="4" w:space="0" w:color="auto"/>
            </w:tcBorders>
            <w:vAlign w:val="center"/>
          </w:tcPr>
          <w:p w14:paraId="46591BB6"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6388EC0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3" w:type="dxa"/>
            <w:tcBorders>
              <w:bottom w:val="single" w:sz="4" w:space="0" w:color="auto"/>
            </w:tcBorders>
          </w:tcPr>
          <w:p w14:paraId="16D3E3B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0" w:type="dxa"/>
            <w:tcBorders>
              <w:bottom w:val="single" w:sz="4" w:space="0" w:color="auto"/>
            </w:tcBorders>
          </w:tcPr>
          <w:p w14:paraId="59D3EA80"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31D8167B"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49E3285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2A8EE87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47792826"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0E060A8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18CDC265"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28A753C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36454D16"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1BAB186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r>
      <w:tr w:rsidR="002C1FC6" w14:paraId="5CD7893E" w14:textId="77777777" w:rsidTr="003B3AC5">
        <w:tc>
          <w:tcPr>
            <w:tcW w:w="10916" w:type="dxa"/>
            <w:gridSpan w:val="11"/>
            <w:tcBorders>
              <w:top w:val="single" w:sz="4" w:space="0" w:color="auto"/>
            </w:tcBorders>
          </w:tcPr>
          <w:p w14:paraId="03367085"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5A874C52" w14:textId="77777777" w:rsidR="002C1FC6" w:rsidRPr="005C39B3" w:rsidRDefault="002C1FC6" w:rsidP="003B3AC5">
            <w:pPr>
              <w:tabs>
                <w:tab w:val="left" w:pos="284"/>
              </w:tabs>
              <w:jc w:val="both"/>
              <w:rPr>
                <w:color w:val="000000" w:themeColor="text1"/>
                <w:sz w:val="10"/>
                <w:szCs w:val="10"/>
              </w:rPr>
            </w:pPr>
          </w:p>
        </w:tc>
        <w:tc>
          <w:tcPr>
            <w:tcW w:w="1843" w:type="dxa"/>
            <w:gridSpan w:val="2"/>
            <w:tcBorders>
              <w:top w:val="single" w:sz="4" w:space="0" w:color="auto"/>
            </w:tcBorders>
          </w:tcPr>
          <w:p w14:paraId="1387D3DD" w14:textId="77777777" w:rsidR="002C1FC6" w:rsidRPr="005C39B3" w:rsidRDefault="002C1FC6" w:rsidP="003B3AC5">
            <w:pPr>
              <w:tabs>
                <w:tab w:val="left" w:pos="284"/>
              </w:tabs>
              <w:jc w:val="both"/>
              <w:rPr>
                <w:color w:val="000000" w:themeColor="text1"/>
                <w:sz w:val="10"/>
                <w:szCs w:val="10"/>
              </w:rPr>
            </w:pPr>
          </w:p>
        </w:tc>
      </w:tr>
      <w:tr w:rsidR="002C1FC6" w14:paraId="0419868E" w14:textId="77777777" w:rsidTr="003B3AC5">
        <w:tc>
          <w:tcPr>
            <w:tcW w:w="1135" w:type="dxa"/>
            <w:vMerge w:val="restart"/>
          </w:tcPr>
          <w:p w14:paraId="53B9060F" w14:textId="77777777" w:rsidR="002C1FC6" w:rsidRPr="00202552" w:rsidRDefault="002C1FC6" w:rsidP="003B3AC5">
            <w:pPr>
              <w:tabs>
                <w:tab w:val="left" w:pos="284"/>
              </w:tabs>
              <w:rPr>
                <w:color w:val="000000" w:themeColor="text1"/>
                <w:sz w:val="20"/>
                <w:szCs w:val="20"/>
              </w:rPr>
            </w:pPr>
            <w:r w:rsidRPr="00202552">
              <w:rPr>
                <w:b/>
                <w:caps/>
                <w:sz w:val="20"/>
                <w:szCs w:val="20"/>
              </w:rPr>
              <w:t>Number of employees</w:t>
            </w:r>
          </w:p>
        </w:tc>
        <w:tc>
          <w:tcPr>
            <w:tcW w:w="1418" w:type="dxa"/>
          </w:tcPr>
          <w:p w14:paraId="7C2A54EC" w14:textId="77777777" w:rsidR="002C1FC6" w:rsidRPr="00202552" w:rsidRDefault="002C1FC6" w:rsidP="003B3AC5">
            <w:pPr>
              <w:tabs>
                <w:tab w:val="left" w:pos="284"/>
              </w:tabs>
              <w:jc w:val="both"/>
              <w:rPr>
                <w:color w:val="000000" w:themeColor="text1"/>
                <w:sz w:val="20"/>
                <w:szCs w:val="20"/>
              </w:rPr>
            </w:pPr>
            <w:r w:rsidRPr="00202552">
              <w:rPr>
                <w:sz w:val="20"/>
                <w:szCs w:val="20"/>
              </w:rPr>
              <w:t>11-50</w:t>
            </w:r>
          </w:p>
        </w:tc>
        <w:tc>
          <w:tcPr>
            <w:tcW w:w="850" w:type="dxa"/>
          </w:tcPr>
          <w:p w14:paraId="7F08DC0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24.9</w:t>
            </w:r>
            <w:r w:rsidRPr="00202552">
              <w:rPr>
                <w:color w:val="000000" w:themeColor="text1"/>
                <w:sz w:val="20"/>
                <w:szCs w:val="20"/>
              </w:rPr>
              <w:t>%</w:t>
            </w:r>
          </w:p>
        </w:tc>
        <w:tc>
          <w:tcPr>
            <w:tcW w:w="992" w:type="dxa"/>
          </w:tcPr>
          <w:p w14:paraId="11ED701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27</w:t>
            </w:r>
            <w:r w:rsidRPr="00202552">
              <w:rPr>
                <w:color w:val="000000" w:themeColor="text1"/>
                <w:sz w:val="20"/>
                <w:szCs w:val="20"/>
              </w:rPr>
              <w:t>.0%</w:t>
            </w:r>
          </w:p>
        </w:tc>
        <w:tc>
          <w:tcPr>
            <w:tcW w:w="993" w:type="dxa"/>
          </w:tcPr>
          <w:p w14:paraId="5CF1750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27.6</w:t>
            </w:r>
            <w:r w:rsidRPr="00202552">
              <w:rPr>
                <w:color w:val="000000" w:themeColor="text1"/>
                <w:sz w:val="20"/>
                <w:szCs w:val="20"/>
              </w:rPr>
              <w:t>%</w:t>
            </w:r>
          </w:p>
        </w:tc>
        <w:tc>
          <w:tcPr>
            <w:tcW w:w="850" w:type="dxa"/>
          </w:tcPr>
          <w:p w14:paraId="36234524"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25.0%</w:t>
            </w:r>
          </w:p>
        </w:tc>
        <w:tc>
          <w:tcPr>
            <w:tcW w:w="992" w:type="dxa"/>
          </w:tcPr>
          <w:p w14:paraId="02204761"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22.4</w:t>
            </w:r>
            <w:r w:rsidRPr="00202552">
              <w:rPr>
                <w:color w:val="000000" w:themeColor="text1"/>
                <w:sz w:val="20"/>
                <w:szCs w:val="20"/>
              </w:rPr>
              <w:t>%</w:t>
            </w:r>
          </w:p>
        </w:tc>
        <w:tc>
          <w:tcPr>
            <w:tcW w:w="851" w:type="dxa"/>
          </w:tcPr>
          <w:p w14:paraId="2B5F0ACA"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14.0</w:t>
            </w:r>
            <w:r w:rsidRPr="00202552">
              <w:rPr>
                <w:color w:val="000000" w:themeColor="text1"/>
                <w:sz w:val="20"/>
                <w:szCs w:val="20"/>
              </w:rPr>
              <w:t>%</w:t>
            </w:r>
          </w:p>
        </w:tc>
        <w:tc>
          <w:tcPr>
            <w:tcW w:w="992" w:type="dxa"/>
          </w:tcPr>
          <w:p w14:paraId="782DA3D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11.1</w:t>
            </w:r>
            <w:r w:rsidRPr="00202552">
              <w:rPr>
                <w:color w:val="000000" w:themeColor="text1"/>
                <w:sz w:val="20"/>
                <w:szCs w:val="20"/>
              </w:rPr>
              <w:t>%</w:t>
            </w:r>
          </w:p>
        </w:tc>
        <w:tc>
          <w:tcPr>
            <w:tcW w:w="851" w:type="dxa"/>
          </w:tcPr>
          <w:p w14:paraId="09F3C31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37.5</w:t>
            </w:r>
            <w:r w:rsidRPr="00202552">
              <w:rPr>
                <w:color w:val="000000" w:themeColor="text1"/>
                <w:sz w:val="20"/>
                <w:szCs w:val="20"/>
              </w:rPr>
              <w:t>%</w:t>
            </w:r>
          </w:p>
        </w:tc>
        <w:tc>
          <w:tcPr>
            <w:tcW w:w="992" w:type="dxa"/>
          </w:tcPr>
          <w:p w14:paraId="678FAADC"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16.7</w:t>
            </w:r>
            <w:r w:rsidRPr="00202552">
              <w:rPr>
                <w:color w:val="000000" w:themeColor="text1"/>
                <w:sz w:val="20"/>
                <w:szCs w:val="20"/>
              </w:rPr>
              <w:t>%</w:t>
            </w:r>
          </w:p>
        </w:tc>
        <w:tc>
          <w:tcPr>
            <w:tcW w:w="921" w:type="dxa"/>
          </w:tcPr>
          <w:p w14:paraId="0D9A968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16.0</w:t>
            </w:r>
            <w:r w:rsidRPr="00202552">
              <w:rPr>
                <w:color w:val="000000" w:themeColor="text1"/>
                <w:sz w:val="20"/>
                <w:szCs w:val="20"/>
              </w:rPr>
              <w:t>%</w:t>
            </w:r>
          </w:p>
        </w:tc>
        <w:tc>
          <w:tcPr>
            <w:tcW w:w="922" w:type="dxa"/>
          </w:tcPr>
          <w:p w14:paraId="7E8DCCB9"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18.9</w:t>
            </w:r>
            <w:r w:rsidRPr="00202552">
              <w:rPr>
                <w:color w:val="000000" w:themeColor="text1"/>
                <w:sz w:val="20"/>
                <w:szCs w:val="20"/>
              </w:rPr>
              <w:t>%</w:t>
            </w:r>
          </w:p>
        </w:tc>
        <w:tc>
          <w:tcPr>
            <w:tcW w:w="921" w:type="dxa"/>
          </w:tcPr>
          <w:p w14:paraId="20F3D5F0"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35.2%</w:t>
            </w:r>
          </w:p>
        </w:tc>
        <w:tc>
          <w:tcPr>
            <w:tcW w:w="922" w:type="dxa"/>
          </w:tcPr>
          <w:p w14:paraId="45630DE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4</w:t>
            </w:r>
            <w:r>
              <w:rPr>
                <w:color w:val="000000" w:themeColor="text1"/>
                <w:sz w:val="20"/>
                <w:szCs w:val="20"/>
              </w:rPr>
              <w:t>4</w:t>
            </w:r>
            <w:r w:rsidRPr="00202552">
              <w:rPr>
                <w:color w:val="000000" w:themeColor="text1"/>
                <w:sz w:val="20"/>
                <w:szCs w:val="20"/>
              </w:rPr>
              <w:t>.1%</w:t>
            </w:r>
          </w:p>
        </w:tc>
      </w:tr>
      <w:tr w:rsidR="002C1FC6" w14:paraId="7CB35161" w14:textId="77777777" w:rsidTr="003B3AC5">
        <w:tc>
          <w:tcPr>
            <w:tcW w:w="1135" w:type="dxa"/>
            <w:vMerge/>
          </w:tcPr>
          <w:p w14:paraId="624BA012" w14:textId="77777777" w:rsidR="002C1FC6" w:rsidRDefault="002C1FC6" w:rsidP="003B3AC5">
            <w:pPr>
              <w:tabs>
                <w:tab w:val="left" w:pos="284"/>
              </w:tabs>
              <w:jc w:val="both"/>
              <w:rPr>
                <w:color w:val="000000" w:themeColor="text1"/>
              </w:rPr>
            </w:pPr>
          </w:p>
        </w:tc>
        <w:tc>
          <w:tcPr>
            <w:tcW w:w="1418" w:type="dxa"/>
          </w:tcPr>
          <w:p w14:paraId="0A48AC02" w14:textId="77777777" w:rsidR="002C1FC6" w:rsidRPr="00202552" w:rsidRDefault="002C1FC6" w:rsidP="003B3AC5">
            <w:pPr>
              <w:tabs>
                <w:tab w:val="left" w:pos="284"/>
              </w:tabs>
              <w:jc w:val="both"/>
              <w:rPr>
                <w:color w:val="000000" w:themeColor="text1"/>
                <w:sz w:val="20"/>
                <w:szCs w:val="20"/>
              </w:rPr>
            </w:pPr>
            <w:r w:rsidRPr="00202552">
              <w:rPr>
                <w:sz w:val="20"/>
                <w:szCs w:val="20"/>
              </w:rPr>
              <w:t>51-250</w:t>
            </w:r>
          </w:p>
        </w:tc>
        <w:tc>
          <w:tcPr>
            <w:tcW w:w="850" w:type="dxa"/>
          </w:tcPr>
          <w:p w14:paraId="20FB778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29.8</w:t>
            </w:r>
            <w:r w:rsidRPr="00202552">
              <w:rPr>
                <w:color w:val="000000" w:themeColor="text1"/>
                <w:sz w:val="20"/>
                <w:szCs w:val="20"/>
              </w:rPr>
              <w:t>%</w:t>
            </w:r>
          </w:p>
        </w:tc>
        <w:tc>
          <w:tcPr>
            <w:tcW w:w="992" w:type="dxa"/>
          </w:tcPr>
          <w:p w14:paraId="6A26709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35.1</w:t>
            </w:r>
            <w:r w:rsidRPr="00202552">
              <w:rPr>
                <w:color w:val="000000" w:themeColor="text1"/>
                <w:sz w:val="20"/>
                <w:szCs w:val="20"/>
              </w:rPr>
              <w:t>%</w:t>
            </w:r>
          </w:p>
        </w:tc>
        <w:tc>
          <w:tcPr>
            <w:tcW w:w="993" w:type="dxa"/>
          </w:tcPr>
          <w:p w14:paraId="5FB9D07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29.3</w:t>
            </w:r>
            <w:r w:rsidRPr="00202552">
              <w:rPr>
                <w:color w:val="000000" w:themeColor="text1"/>
                <w:sz w:val="20"/>
                <w:szCs w:val="20"/>
              </w:rPr>
              <w:t>%</w:t>
            </w:r>
          </w:p>
        </w:tc>
        <w:tc>
          <w:tcPr>
            <w:tcW w:w="850" w:type="dxa"/>
          </w:tcPr>
          <w:p w14:paraId="767FDC0B"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30.6%</w:t>
            </w:r>
          </w:p>
        </w:tc>
        <w:tc>
          <w:tcPr>
            <w:tcW w:w="992" w:type="dxa"/>
          </w:tcPr>
          <w:p w14:paraId="2229784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34.5</w:t>
            </w:r>
            <w:r w:rsidRPr="00202552">
              <w:rPr>
                <w:color w:val="000000" w:themeColor="text1"/>
                <w:sz w:val="20"/>
                <w:szCs w:val="20"/>
              </w:rPr>
              <w:t>%</w:t>
            </w:r>
          </w:p>
        </w:tc>
        <w:tc>
          <w:tcPr>
            <w:tcW w:w="851" w:type="dxa"/>
          </w:tcPr>
          <w:p w14:paraId="2BF7ED06"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30.2</w:t>
            </w:r>
            <w:r w:rsidRPr="00202552">
              <w:rPr>
                <w:color w:val="000000" w:themeColor="text1"/>
                <w:sz w:val="20"/>
                <w:szCs w:val="20"/>
              </w:rPr>
              <w:t>%</w:t>
            </w:r>
          </w:p>
        </w:tc>
        <w:tc>
          <w:tcPr>
            <w:tcW w:w="992" w:type="dxa"/>
          </w:tcPr>
          <w:p w14:paraId="614CBF9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44.4</w:t>
            </w:r>
            <w:r w:rsidRPr="00202552">
              <w:rPr>
                <w:color w:val="000000" w:themeColor="text1"/>
                <w:sz w:val="20"/>
                <w:szCs w:val="20"/>
              </w:rPr>
              <w:t>%</w:t>
            </w:r>
          </w:p>
        </w:tc>
        <w:tc>
          <w:tcPr>
            <w:tcW w:w="851" w:type="dxa"/>
          </w:tcPr>
          <w:p w14:paraId="585FF25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12.5</w:t>
            </w:r>
            <w:r w:rsidRPr="00202552">
              <w:rPr>
                <w:color w:val="000000" w:themeColor="text1"/>
                <w:sz w:val="20"/>
                <w:szCs w:val="20"/>
              </w:rPr>
              <w:t>%</w:t>
            </w:r>
          </w:p>
        </w:tc>
        <w:tc>
          <w:tcPr>
            <w:tcW w:w="992" w:type="dxa"/>
          </w:tcPr>
          <w:p w14:paraId="73E069DD"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16.7</w:t>
            </w:r>
            <w:r w:rsidRPr="00202552">
              <w:rPr>
                <w:color w:val="000000" w:themeColor="text1"/>
                <w:sz w:val="20"/>
                <w:szCs w:val="20"/>
              </w:rPr>
              <w:t>%</w:t>
            </w:r>
          </w:p>
        </w:tc>
        <w:tc>
          <w:tcPr>
            <w:tcW w:w="921" w:type="dxa"/>
          </w:tcPr>
          <w:p w14:paraId="034A2BF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26.0</w:t>
            </w:r>
            <w:r w:rsidRPr="00202552">
              <w:rPr>
                <w:color w:val="000000" w:themeColor="text1"/>
                <w:sz w:val="20"/>
                <w:szCs w:val="20"/>
              </w:rPr>
              <w:t>%</w:t>
            </w:r>
          </w:p>
        </w:tc>
        <w:tc>
          <w:tcPr>
            <w:tcW w:w="922" w:type="dxa"/>
          </w:tcPr>
          <w:p w14:paraId="4F854CC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25.7</w:t>
            </w:r>
            <w:r w:rsidRPr="00202552">
              <w:rPr>
                <w:color w:val="000000" w:themeColor="text1"/>
                <w:sz w:val="20"/>
                <w:szCs w:val="20"/>
              </w:rPr>
              <w:t>%</w:t>
            </w:r>
          </w:p>
        </w:tc>
        <w:tc>
          <w:tcPr>
            <w:tcW w:w="921" w:type="dxa"/>
          </w:tcPr>
          <w:p w14:paraId="47DED13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31.0%</w:t>
            </w:r>
          </w:p>
        </w:tc>
        <w:tc>
          <w:tcPr>
            <w:tcW w:w="922" w:type="dxa"/>
          </w:tcPr>
          <w:p w14:paraId="4A0D5644"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32</w:t>
            </w:r>
            <w:r w:rsidRPr="00202552">
              <w:rPr>
                <w:color w:val="000000" w:themeColor="text1"/>
                <w:sz w:val="20"/>
                <w:szCs w:val="20"/>
              </w:rPr>
              <w:t>.4%</w:t>
            </w:r>
          </w:p>
        </w:tc>
      </w:tr>
      <w:tr w:rsidR="002C1FC6" w14:paraId="3A59FB51" w14:textId="77777777" w:rsidTr="003B3AC5">
        <w:tc>
          <w:tcPr>
            <w:tcW w:w="1135" w:type="dxa"/>
            <w:vMerge/>
          </w:tcPr>
          <w:p w14:paraId="0645FEE9" w14:textId="77777777" w:rsidR="002C1FC6" w:rsidRDefault="002C1FC6" w:rsidP="003B3AC5">
            <w:pPr>
              <w:tabs>
                <w:tab w:val="left" w:pos="284"/>
              </w:tabs>
              <w:jc w:val="both"/>
              <w:rPr>
                <w:color w:val="000000" w:themeColor="text1"/>
              </w:rPr>
            </w:pPr>
          </w:p>
        </w:tc>
        <w:tc>
          <w:tcPr>
            <w:tcW w:w="1418" w:type="dxa"/>
          </w:tcPr>
          <w:p w14:paraId="4650F01C" w14:textId="77777777" w:rsidR="002C1FC6" w:rsidRPr="00202552" w:rsidRDefault="002C1FC6" w:rsidP="003B3AC5">
            <w:pPr>
              <w:tabs>
                <w:tab w:val="left" w:pos="284"/>
              </w:tabs>
              <w:jc w:val="both"/>
              <w:rPr>
                <w:color w:val="000000" w:themeColor="text1"/>
                <w:sz w:val="20"/>
                <w:szCs w:val="20"/>
              </w:rPr>
            </w:pPr>
            <w:r w:rsidRPr="00202552">
              <w:rPr>
                <w:sz w:val="20"/>
                <w:szCs w:val="20"/>
              </w:rPr>
              <w:t>&gt;250</w:t>
            </w:r>
          </w:p>
        </w:tc>
        <w:tc>
          <w:tcPr>
            <w:tcW w:w="850" w:type="dxa"/>
          </w:tcPr>
          <w:p w14:paraId="2A18363E"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45.3</w:t>
            </w:r>
            <w:r w:rsidRPr="00202552">
              <w:rPr>
                <w:color w:val="000000" w:themeColor="text1"/>
                <w:sz w:val="20"/>
                <w:szCs w:val="20"/>
              </w:rPr>
              <w:t>%</w:t>
            </w:r>
          </w:p>
        </w:tc>
        <w:tc>
          <w:tcPr>
            <w:tcW w:w="992" w:type="dxa"/>
          </w:tcPr>
          <w:p w14:paraId="7DE5BAB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37.8</w:t>
            </w:r>
            <w:r w:rsidRPr="00202552">
              <w:rPr>
                <w:color w:val="000000" w:themeColor="text1"/>
                <w:sz w:val="20"/>
                <w:szCs w:val="20"/>
              </w:rPr>
              <w:t>%</w:t>
            </w:r>
          </w:p>
        </w:tc>
        <w:tc>
          <w:tcPr>
            <w:tcW w:w="993" w:type="dxa"/>
          </w:tcPr>
          <w:p w14:paraId="713908A5"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43.1</w:t>
            </w:r>
            <w:r w:rsidRPr="00202552">
              <w:rPr>
                <w:color w:val="000000" w:themeColor="text1"/>
                <w:sz w:val="20"/>
                <w:szCs w:val="20"/>
              </w:rPr>
              <w:t>%</w:t>
            </w:r>
          </w:p>
        </w:tc>
        <w:tc>
          <w:tcPr>
            <w:tcW w:w="850" w:type="dxa"/>
          </w:tcPr>
          <w:p w14:paraId="340DA00C"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44.4%</w:t>
            </w:r>
          </w:p>
        </w:tc>
        <w:tc>
          <w:tcPr>
            <w:tcW w:w="992" w:type="dxa"/>
          </w:tcPr>
          <w:p w14:paraId="09C1BAD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43.1</w:t>
            </w:r>
            <w:r w:rsidRPr="00202552">
              <w:rPr>
                <w:color w:val="000000" w:themeColor="text1"/>
                <w:sz w:val="20"/>
                <w:szCs w:val="20"/>
              </w:rPr>
              <w:t>%</w:t>
            </w:r>
          </w:p>
        </w:tc>
        <w:tc>
          <w:tcPr>
            <w:tcW w:w="851" w:type="dxa"/>
          </w:tcPr>
          <w:p w14:paraId="682877D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55.8</w:t>
            </w:r>
            <w:r w:rsidRPr="00202552">
              <w:rPr>
                <w:color w:val="000000" w:themeColor="text1"/>
                <w:sz w:val="20"/>
                <w:szCs w:val="20"/>
              </w:rPr>
              <w:t>%</w:t>
            </w:r>
          </w:p>
        </w:tc>
        <w:tc>
          <w:tcPr>
            <w:tcW w:w="992" w:type="dxa"/>
          </w:tcPr>
          <w:p w14:paraId="738AF288"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44.4</w:t>
            </w:r>
            <w:r w:rsidRPr="00202552">
              <w:rPr>
                <w:color w:val="000000" w:themeColor="text1"/>
                <w:sz w:val="20"/>
                <w:szCs w:val="20"/>
              </w:rPr>
              <w:t>%</w:t>
            </w:r>
          </w:p>
        </w:tc>
        <w:tc>
          <w:tcPr>
            <w:tcW w:w="851" w:type="dxa"/>
          </w:tcPr>
          <w:p w14:paraId="348753C7"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50.0</w:t>
            </w:r>
            <w:r w:rsidRPr="00202552">
              <w:rPr>
                <w:color w:val="000000" w:themeColor="text1"/>
                <w:sz w:val="20"/>
                <w:szCs w:val="20"/>
              </w:rPr>
              <w:t>%</w:t>
            </w:r>
          </w:p>
        </w:tc>
        <w:tc>
          <w:tcPr>
            <w:tcW w:w="992" w:type="dxa"/>
          </w:tcPr>
          <w:p w14:paraId="46A5C33F"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66.7</w:t>
            </w:r>
            <w:r w:rsidRPr="00202552">
              <w:rPr>
                <w:color w:val="000000" w:themeColor="text1"/>
                <w:sz w:val="20"/>
                <w:szCs w:val="20"/>
              </w:rPr>
              <w:t>%</w:t>
            </w:r>
          </w:p>
        </w:tc>
        <w:tc>
          <w:tcPr>
            <w:tcW w:w="921" w:type="dxa"/>
          </w:tcPr>
          <w:p w14:paraId="60402C7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58.0</w:t>
            </w:r>
            <w:r w:rsidRPr="00202552">
              <w:rPr>
                <w:color w:val="000000" w:themeColor="text1"/>
                <w:sz w:val="20"/>
                <w:szCs w:val="20"/>
              </w:rPr>
              <w:t>%</w:t>
            </w:r>
          </w:p>
        </w:tc>
        <w:tc>
          <w:tcPr>
            <w:tcW w:w="922" w:type="dxa"/>
          </w:tcPr>
          <w:p w14:paraId="18F5BBC0"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55</w:t>
            </w:r>
            <w:r w:rsidRPr="00202552">
              <w:rPr>
                <w:color w:val="000000" w:themeColor="text1"/>
                <w:sz w:val="20"/>
                <w:szCs w:val="20"/>
              </w:rPr>
              <w:t>.4%</w:t>
            </w:r>
          </w:p>
        </w:tc>
        <w:tc>
          <w:tcPr>
            <w:tcW w:w="921" w:type="dxa"/>
          </w:tcPr>
          <w:p w14:paraId="26308048"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33.8%</w:t>
            </w:r>
          </w:p>
        </w:tc>
        <w:tc>
          <w:tcPr>
            <w:tcW w:w="922" w:type="dxa"/>
          </w:tcPr>
          <w:p w14:paraId="2DB6013B" w14:textId="77777777" w:rsidR="002C1FC6" w:rsidRPr="00202552" w:rsidRDefault="002C1FC6" w:rsidP="003B3AC5">
            <w:pPr>
              <w:tabs>
                <w:tab w:val="left" w:pos="284"/>
              </w:tabs>
              <w:jc w:val="both"/>
              <w:rPr>
                <w:color w:val="000000" w:themeColor="text1"/>
                <w:sz w:val="20"/>
                <w:szCs w:val="20"/>
              </w:rPr>
            </w:pPr>
            <w:r>
              <w:rPr>
                <w:color w:val="000000" w:themeColor="text1"/>
                <w:sz w:val="20"/>
                <w:szCs w:val="20"/>
              </w:rPr>
              <w:t>23.5</w:t>
            </w:r>
            <w:r w:rsidRPr="00202552">
              <w:rPr>
                <w:color w:val="000000" w:themeColor="text1"/>
                <w:sz w:val="20"/>
                <w:szCs w:val="20"/>
              </w:rPr>
              <w:t>%</w:t>
            </w:r>
          </w:p>
        </w:tc>
      </w:tr>
      <w:tr w:rsidR="002C1FC6" w14:paraId="36104FA3" w14:textId="77777777" w:rsidTr="003B3AC5">
        <w:tc>
          <w:tcPr>
            <w:tcW w:w="1135" w:type="dxa"/>
            <w:vMerge/>
            <w:tcBorders>
              <w:bottom w:val="single" w:sz="4" w:space="0" w:color="auto"/>
            </w:tcBorders>
          </w:tcPr>
          <w:p w14:paraId="290B25D3" w14:textId="77777777" w:rsidR="002C1FC6" w:rsidRDefault="002C1FC6" w:rsidP="003B3AC5">
            <w:pPr>
              <w:tabs>
                <w:tab w:val="left" w:pos="284"/>
              </w:tabs>
              <w:jc w:val="both"/>
              <w:rPr>
                <w:color w:val="000000" w:themeColor="text1"/>
              </w:rPr>
            </w:pPr>
          </w:p>
        </w:tc>
        <w:tc>
          <w:tcPr>
            <w:tcW w:w="1418" w:type="dxa"/>
            <w:tcBorders>
              <w:bottom w:val="single" w:sz="4" w:space="0" w:color="auto"/>
            </w:tcBorders>
            <w:vAlign w:val="center"/>
          </w:tcPr>
          <w:p w14:paraId="2BB6C980"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Total</w:t>
            </w:r>
          </w:p>
        </w:tc>
        <w:tc>
          <w:tcPr>
            <w:tcW w:w="850" w:type="dxa"/>
            <w:tcBorders>
              <w:bottom w:val="single" w:sz="4" w:space="0" w:color="auto"/>
            </w:tcBorders>
            <w:vAlign w:val="center"/>
          </w:tcPr>
          <w:p w14:paraId="1E5CEFAB" w14:textId="77777777" w:rsidR="002C1FC6" w:rsidRPr="00202552" w:rsidRDefault="002C1FC6" w:rsidP="003B3AC5">
            <w:pPr>
              <w:tabs>
                <w:tab w:val="left" w:pos="284"/>
              </w:tabs>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6E63477D"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3" w:type="dxa"/>
            <w:tcBorders>
              <w:bottom w:val="single" w:sz="4" w:space="0" w:color="auto"/>
            </w:tcBorders>
          </w:tcPr>
          <w:p w14:paraId="71BA747A"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0" w:type="dxa"/>
            <w:tcBorders>
              <w:bottom w:val="single" w:sz="4" w:space="0" w:color="auto"/>
            </w:tcBorders>
          </w:tcPr>
          <w:p w14:paraId="19136615"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183FED8D"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6788FD5B"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0D6C82AC"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851" w:type="dxa"/>
            <w:tcBorders>
              <w:bottom w:val="single" w:sz="4" w:space="0" w:color="auto"/>
            </w:tcBorders>
          </w:tcPr>
          <w:p w14:paraId="16DDC891"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92" w:type="dxa"/>
            <w:tcBorders>
              <w:bottom w:val="single" w:sz="4" w:space="0" w:color="auto"/>
            </w:tcBorders>
          </w:tcPr>
          <w:p w14:paraId="55643279"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7FF136F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63D6172A"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1" w:type="dxa"/>
            <w:tcBorders>
              <w:bottom w:val="single" w:sz="4" w:space="0" w:color="auto"/>
            </w:tcBorders>
          </w:tcPr>
          <w:p w14:paraId="27438F16"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c>
          <w:tcPr>
            <w:tcW w:w="922" w:type="dxa"/>
            <w:tcBorders>
              <w:bottom w:val="single" w:sz="4" w:space="0" w:color="auto"/>
            </w:tcBorders>
          </w:tcPr>
          <w:p w14:paraId="65D4F6E3" w14:textId="77777777" w:rsidR="002C1FC6" w:rsidRPr="00202552" w:rsidRDefault="002C1FC6" w:rsidP="003B3AC5">
            <w:pPr>
              <w:tabs>
                <w:tab w:val="left" w:pos="284"/>
              </w:tabs>
              <w:jc w:val="both"/>
              <w:rPr>
                <w:color w:val="000000" w:themeColor="text1"/>
                <w:sz w:val="20"/>
                <w:szCs w:val="20"/>
              </w:rPr>
            </w:pPr>
            <w:r w:rsidRPr="00202552">
              <w:rPr>
                <w:color w:val="000000" w:themeColor="text1"/>
                <w:sz w:val="20"/>
                <w:szCs w:val="20"/>
              </w:rPr>
              <w:t>100.0%</w:t>
            </w:r>
          </w:p>
        </w:tc>
      </w:tr>
      <w:tr w:rsidR="002C1FC6" w14:paraId="7AB1F993" w14:textId="77777777" w:rsidTr="003B3AC5">
        <w:tc>
          <w:tcPr>
            <w:tcW w:w="10916" w:type="dxa"/>
            <w:gridSpan w:val="11"/>
            <w:tcBorders>
              <w:top w:val="single" w:sz="4" w:space="0" w:color="auto"/>
            </w:tcBorders>
          </w:tcPr>
          <w:p w14:paraId="2ACBECA5" w14:textId="77777777" w:rsidR="002C1FC6" w:rsidRPr="00FD08A2" w:rsidRDefault="002C1FC6" w:rsidP="003B3AC5">
            <w:pPr>
              <w:tabs>
                <w:tab w:val="left" w:pos="284"/>
              </w:tabs>
              <w:spacing w:before="120"/>
              <w:jc w:val="both"/>
              <w:rPr>
                <w:color w:val="000000" w:themeColor="text1"/>
                <w:sz w:val="20"/>
                <w:szCs w:val="20"/>
              </w:rPr>
            </w:pPr>
            <w:r>
              <w:rPr>
                <w:color w:val="000000" w:themeColor="text1"/>
                <w:sz w:val="20"/>
                <w:szCs w:val="20"/>
              </w:rPr>
              <w:t>Note: Significant differences only found for company type (Pearson chi-square&lt;0.05).</w:t>
            </w:r>
          </w:p>
        </w:tc>
        <w:tc>
          <w:tcPr>
            <w:tcW w:w="1843" w:type="dxa"/>
            <w:gridSpan w:val="2"/>
            <w:tcBorders>
              <w:top w:val="single" w:sz="4" w:space="0" w:color="auto"/>
            </w:tcBorders>
          </w:tcPr>
          <w:p w14:paraId="6C4233E8" w14:textId="77777777" w:rsidR="002C1FC6" w:rsidRDefault="002C1FC6" w:rsidP="003B3AC5">
            <w:pPr>
              <w:tabs>
                <w:tab w:val="left" w:pos="284"/>
              </w:tabs>
              <w:jc w:val="both"/>
              <w:rPr>
                <w:color w:val="000000" w:themeColor="text1"/>
                <w:sz w:val="20"/>
                <w:szCs w:val="20"/>
              </w:rPr>
            </w:pPr>
          </w:p>
        </w:tc>
        <w:tc>
          <w:tcPr>
            <w:tcW w:w="1843" w:type="dxa"/>
            <w:gridSpan w:val="2"/>
            <w:tcBorders>
              <w:top w:val="single" w:sz="4" w:space="0" w:color="auto"/>
            </w:tcBorders>
          </w:tcPr>
          <w:p w14:paraId="42CE2D70" w14:textId="77777777" w:rsidR="002C1FC6" w:rsidRDefault="002C1FC6" w:rsidP="003B3AC5">
            <w:pPr>
              <w:tabs>
                <w:tab w:val="left" w:pos="284"/>
              </w:tabs>
              <w:jc w:val="both"/>
              <w:rPr>
                <w:color w:val="000000" w:themeColor="text1"/>
                <w:sz w:val="20"/>
                <w:szCs w:val="20"/>
              </w:rPr>
            </w:pPr>
          </w:p>
        </w:tc>
      </w:tr>
    </w:tbl>
    <w:p w14:paraId="18C07F14" w14:textId="77777777" w:rsidR="002C1FC6" w:rsidRDefault="002C1FC6" w:rsidP="002C1FC6">
      <w:pPr>
        <w:spacing w:after="240"/>
        <w:rPr>
          <w:b/>
        </w:rPr>
        <w:sectPr w:rsidR="002C1FC6" w:rsidSect="002C1FC6">
          <w:pgSz w:w="16840" w:h="11900" w:orient="landscape"/>
          <w:pgMar w:top="1440" w:right="1440" w:bottom="1440" w:left="1440" w:header="708" w:footer="708" w:gutter="0"/>
          <w:cols w:space="708"/>
          <w:docGrid w:linePitch="360"/>
        </w:sectPr>
      </w:pPr>
    </w:p>
    <w:p w14:paraId="2BD7F3B7" w14:textId="77777777" w:rsidR="002C1FC6" w:rsidRPr="00724F3A" w:rsidRDefault="002C1FC6" w:rsidP="002C1FC6">
      <w:pPr>
        <w:spacing w:after="240"/>
        <w:rPr>
          <w:b/>
        </w:rPr>
      </w:pPr>
      <w:r w:rsidRPr="00C306A9">
        <w:rPr>
          <w:b/>
        </w:rPr>
        <w:lastRenderedPageBreak/>
        <w:t xml:space="preserve">A9 – Measurement invariance test </w:t>
      </w:r>
    </w:p>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51"/>
        <w:gridCol w:w="992"/>
        <w:gridCol w:w="709"/>
        <w:gridCol w:w="992"/>
        <w:gridCol w:w="798"/>
        <w:gridCol w:w="766"/>
        <w:gridCol w:w="661"/>
        <w:gridCol w:w="894"/>
      </w:tblGrid>
      <w:tr w:rsidR="002C1FC6" w:rsidRPr="00E7269B" w14:paraId="1A10E87B" w14:textId="77777777" w:rsidTr="003B3AC5">
        <w:tc>
          <w:tcPr>
            <w:tcW w:w="1701" w:type="dxa"/>
            <w:gridSpan w:val="2"/>
          </w:tcPr>
          <w:p w14:paraId="16AD77F8" w14:textId="77777777" w:rsidR="002C1FC6" w:rsidRPr="00E7269B" w:rsidRDefault="002C1FC6" w:rsidP="003B3AC5">
            <w:pPr>
              <w:jc w:val="center"/>
              <w:rPr>
                <w:bCs/>
                <w:sz w:val="20"/>
                <w:szCs w:val="20"/>
              </w:rPr>
            </w:pPr>
            <w:r w:rsidRPr="00E7269B">
              <w:rPr>
                <w:bCs/>
                <w:sz w:val="20"/>
                <w:szCs w:val="20"/>
              </w:rPr>
              <w:t>Comparisons</w:t>
            </w:r>
          </w:p>
        </w:tc>
        <w:tc>
          <w:tcPr>
            <w:tcW w:w="1701" w:type="dxa"/>
            <w:gridSpan w:val="2"/>
          </w:tcPr>
          <w:p w14:paraId="17E01952" w14:textId="77777777" w:rsidR="002C1FC6" w:rsidRPr="00E7269B" w:rsidRDefault="002C1FC6" w:rsidP="003B3AC5">
            <w:pPr>
              <w:jc w:val="center"/>
              <w:rPr>
                <w:bCs/>
                <w:sz w:val="20"/>
                <w:szCs w:val="20"/>
              </w:rPr>
            </w:pPr>
            <w:r w:rsidRPr="00E7269B">
              <w:rPr>
                <w:bCs/>
                <w:sz w:val="20"/>
                <w:szCs w:val="20"/>
              </w:rPr>
              <w:t>Constrained model</w:t>
            </w:r>
          </w:p>
        </w:tc>
        <w:tc>
          <w:tcPr>
            <w:tcW w:w="1790" w:type="dxa"/>
            <w:gridSpan w:val="2"/>
          </w:tcPr>
          <w:p w14:paraId="0B38296C" w14:textId="77777777" w:rsidR="002C1FC6" w:rsidRPr="00E7269B" w:rsidRDefault="002C1FC6" w:rsidP="003B3AC5">
            <w:pPr>
              <w:jc w:val="center"/>
              <w:rPr>
                <w:bCs/>
                <w:sz w:val="20"/>
                <w:szCs w:val="20"/>
              </w:rPr>
            </w:pPr>
            <w:r w:rsidRPr="00E7269B">
              <w:rPr>
                <w:bCs/>
                <w:sz w:val="20"/>
                <w:szCs w:val="20"/>
              </w:rPr>
              <w:t>Unconstrained model</w:t>
            </w:r>
          </w:p>
        </w:tc>
        <w:tc>
          <w:tcPr>
            <w:tcW w:w="2321" w:type="dxa"/>
            <w:gridSpan w:val="3"/>
          </w:tcPr>
          <w:p w14:paraId="0499C46B" w14:textId="77777777" w:rsidR="002C1FC6" w:rsidRPr="00E7269B" w:rsidRDefault="002C1FC6" w:rsidP="003B3AC5">
            <w:pPr>
              <w:jc w:val="center"/>
              <w:rPr>
                <w:bCs/>
                <w:sz w:val="20"/>
                <w:szCs w:val="20"/>
              </w:rPr>
            </w:pPr>
            <w:r w:rsidRPr="00E7269B">
              <w:rPr>
                <w:bCs/>
                <w:sz w:val="20"/>
                <w:szCs w:val="20"/>
              </w:rPr>
              <w:t>Chi-square difference</w:t>
            </w:r>
          </w:p>
        </w:tc>
      </w:tr>
      <w:tr w:rsidR="002C1FC6" w:rsidRPr="00E7269B" w14:paraId="6182D8C5" w14:textId="77777777" w:rsidTr="003B3AC5">
        <w:tc>
          <w:tcPr>
            <w:tcW w:w="850" w:type="dxa"/>
            <w:tcBorders>
              <w:bottom w:val="single" w:sz="4" w:space="0" w:color="auto"/>
            </w:tcBorders>
          </w:tcPr>
          <w:p w14:paraId="15B38596" w14:textId="77777777" w:rsidR="002C1FC6" w:rsidRPr="00E7269B" w:rsidRDefault="002C1FC6" w:rsidP="003B3AC5">
            <w:pPr>
              <w:jc w:val="center"/>
              <w:rPr>
                <w:bCs/>
                <w:sz w:val="20"/>
                <w:szCs w:val="20"/>
              </w:rPr>
            </w:pPr>
          </w:p>
        </w:tc>
        <w:tc>
          <w:tcPr>
            <w:tcW w:w="851" w:type="dxa"/>
            <w:tcBorders>
              <w:bottom w:val="single" w:sz="4" w:space="0" w:color="auto"/>
            </w:tcBorders>
          </w:tcPr>
          <w:p w14:paraId="2318893C" w14:textId="77777777" w:rsidR="002C1FC6" w:rsidRPr="00E7269B" w:rsidRDefault="002C1FC6" w:rsidP="003B3AC5">
            <w:pPr>
              <w:jc w:val="center"/>
              <w:rPr>
                <w:bCs/>
                <w:sz w:val="20"/>
                <w:szCs w:val="20"/>
              </w:rPr>
            </w:pPr>
          </w:p>
        </w:tc>
        <w:tc>
          <w:tcPr>
            <w:tcW w:w="992" w:type="dxa"/>
            <w:tcBorders>
              <w:bottom w:val="single" w:sz="4" w:space="0" w:color="auto"/>
            </w:tcBorders>
          </w:tcPr>
          <w:p w14:paraId="7F55900B" w14:textId="77777777" w:rsidR="002C1FC6" w:rsidRPr="00E7269B" w:rsidRDefault="002C1FC6" w:rsidP="003B3AC5">
            <w:pPr>
              <w:jc w:val="center"/>
              <w:rPr>
                <w:bCs/>
                <w:sz w:val="20"/>
                <w:szCs w:val="20"/>
              </w:rPr>
            </w:pPr>
            <w:r>
              <w:rPr>
                <w:bCs/>
                <w:sz w:val="20"/>
                <w:szCs w:val="20"/>
                <w:lang w:val="el-GR"/>
              </w:rPr>
              <w:t>χ</w:t>
            </w:r>
            <w:r w:rsidRPr="00E7269B">
              <w:rPr>
                <w:bCs/>
                <w:sz w:val="20"/>
                <w:szCs w:val="20"/>
                <w:vertAlign w:val="superscript"/>
              </w:rPr>
              <w:t>2</w:t>
            </w:r>
          </w:p>
        </w:tc>
        <w:tc>
          <w:tcPr>
            <w:tcW w:w="709" w:type="dxa"/>
            <w:tcBorders>
              <w:bottom w:val="single" w:sz="4" w:space="0" w:color="auto"/>
            </w:tcBorders>
          </w:tcPr>
          <w:p w14:paraId="1084009E" w14:textId="77777777" w:rsidR="002C1FC6" w:rsidRPr="00E7269B" w:rsidRDefault="002C1FC6" w:rsidP="003B3AC5">
            <w:pPr>
              <w:jc w:val="center"/>
              <w:rPr>
                <w:bCs/>
                <w:sz w:val="20"/>
                <w:szCs w:val="20"/>
              </w:rPr>
            </w:pPr>
            <w:r>
              <w:rPr>
                <w:bCs/>
                <w:sz w:val="20"/>
                <w:szCs w:val="20"/>
              </w:rPr>
              <w:t>df</w:t>
            </w:r>
          </w:p>
        </w:tc>
        <w:tc>
          <w:tcPr>
            <w:tcW w:w="992" w:type="dxa"/>
            <w:tcBorders>
              <w:bottom w:val="single" w:sz="4" w:space="0" w:color="auto"/>
            </w:tcBorders>
          </w:tcPr>
          <w:p w14:paraId="33186239" w14:textId="77777777" w:rsidR="002C1FC6" w:rsidRPr="00E7269B" w:rsidRDefault="002C1FC6" w:rsidP="003B3AC5">
            <w:pPr>
              <w:jc w:val="center"/>
              <w:rPr>
                <w:bCs/>
                <w:sz w:val="20"/>
                <w:szCs w:val="20"/>
              </w:rPr>
            </w:pPr>
            <w:r>
              <w:rPr>
                <w:bCs/>
                <w:sz w:val="20"/>
                <w:szCs w:val="20"/>
                <w:lang w:val="el-GR"/>
              </w:rPr>
              <w:t>χ</w:t>
            </w:r>
            <w:r w:rsidRPr="00E7269B">
              <w:rPr>
                <w:bCs/>
                <w:sz w:val="20"/>
                <w:szCs w:val="20"/>
                <w:vertAlign w:val="superscript"/>
              </w:rPr>
              <w:t>2</w:t>
            </w:r>
          </w:p>
        </w:tc>
        <w:tc>
          <w:tcPr>
            <w:tcW w:w="798" w:type="dxa"/>
            <w:tcBorders>
              <w:bottom w:val="single" w:sz="4" w:space="0" w:color="auto"/>
            </w:tcBorders>
          </w:tcPr>
          <w:p w14:paraId="497D00B8" w14:textId="77777777" w:rsidR="002C1FC6" w:rsidRPr="00E7269B" w:rsidRDefault="002C1FC6" w:rsidP="003B3AC5">
            <w:pPr>
              <w:jc w:val="center"/>
              <w:rPr>
                <w:bCs/>
                <w:sz w:val="20"/>
                <w:szCs w:val="20"/>
              </w:rPr>
            </w:pPr>
            <w:r>
              <w:rPr>
                <w:bCs/>
                <w:sz w:val="20"/>
                <w:szCs w:val="20"/>
              </w:rPr>
              <w:t>df</w:t>
            </w:r>
          </w:p>
        </w:tc>
        <w:tc>
          <w:tcPr>
            <w:tcW w:w="766" w:type="dxa"/>
            <w:tcBorders>
              <w:bottom w:val="single" w:sz="4" w:space="0" w:color="auto"/>
            </w:tcBorders>
          </w:tcPr>
          <w:p w14:paraId="5B916EC8" w14:textId="77777777" w:rsidR="002C1FC6" w:rsidRPr="00E7269B" w:rsidRDefault="002C1FC6" w:rsidP="003B3AC5">
            <w:pPr>
              <w:jc w:val="center"/>
              <w:rPr>
                <w:bCs/>
                <w:sz w:val="20"/>
                <w:szCs w:val="20"/>
              </w:rPr>
            </w:pPr>
            <w:r>
              <w:rPr>
                <w:bCs/>
                <w:sz w:val="20"/>
                <w:szCs w:val="20"/>
                <w:lang w:val="el-GR"/>
              </w:rPr>
              <w:t>Δχ</w:t>
            </w:r>
            <w:r w:rsidRPr="00E7269B">
              <w:rPr>
                <w:bCs/>
                <w:sz w:val="20"/>
                <w:szCs w:val="20"/>
                <w:vertAlign w:val="superscript"/>
              </w:rPr>
              <w:t>2</w:t>
            </w:r>
          </w:p>
        </w:tc>
        <w:tc>
          <w:tcPr>
            <w:tcW w:w="661" w:type="dxa"/>
            <w:tcBorders>
              <w:bottom w:val="single" w:sz="4" w:space="0" w:color="auto"/>
            </w:tcBorders>
          </w:tcPr>
          <w:p w14:paraId="7553C39F" w14:textId="77777777" w:rsidR="002C1FC6" w:rsidRPr="00E7269B" w:rsidRDefault="002C1FC6" w:rsidP="003B3AC5">
            <w:pPr>
              <w:jc w:val="center"/>
              <w:rPr>
                <w:bCs/>
                <w:sz w:val="20"/>
                <w:szCs w:val="20"/>
              </w:rPr>
            </w:pPr>
            <w:r>
              <w:rPr>
                <w:bCs/>
                <w:sz w:val="20"/>
                <w:szCs w:val="20"/>
                <w:lang w:val="el-GR"/>
              </w:rPr>
              <w:t>Δ</w:t>
            </w:r>
            <w:r>
              <w:rPr>
                <w:bCs/>
                <w:sz w:val="20"/>
                <w:szCs w:val="20"/>
              </w:rPr>
              <w:t>df</w:t>
            </w:r>
          </w:p>
        </w:tc>
        <w:tc>
          <w:tcPr>
            <w:tcW w:w="894" w:type="dxa"/>
            <w:tcBorders>
              <w:bottom w:val="single" w:sz="4" w:space="0" w:color="auto"/>
            </w:tcBorders>
          </w:tcPr>
          <w:p w14:paraId="2984AA37" w14:textId="77777777" w:rsidR="002C1FC6" w:rsidRPr="00E7269B" w:rsidRDefault="002C1FC6" w:rsidP="003B3AC5">
            <w:pPr>
              <w:jc w:val="center"/>
              <w:rPr>
                <w:bCs/>
                <w:sz w:val="20"/>
                <w:szCs w:val="20"/>
              </w:rPr>
            </w:pPr>
            <w:r>
              <w:rPr>
                <w:bCs/>
                <w:sz w:val="20"/>
                <w:szCs w:val="20"/>
              </w:rPr>
              <w:t>p value</w:t>
            </w:r>
          </w:p>
        </w:tc>
      </w:tr>
      <w:tr w:rsidR="002C1FC6" w:rsidRPr="00E7269B" w14:paraId="2901C6CF" w14:textId="77777777" w:rsidTr="003B3AC5">
        <w:tc>
          <w:tcPr>
            <w:tcW w:w="850" w:type="dxa"/>
            <w:tcBorders>
              <w:top w:val="single" w:sz="4" w:space="0" w:color="auto"/>
            </w:tcBorders>
          </w:tcPr>
          <w:p w14:paraId="73C2E0C5" w14:textId="77777777" w:rsidR="002C1FC6" w:rsidRPr="00E7269B" w:rsidRDefault="002C1FC6" w:rsidP="003B3AC5">
            <w:pPr>
              <w:jc w:val="center"/>
              <w:rPr>
                <w:bCs/>
                <w:sz w:val="20"/>
                <w:szCs w:val="20"/>
              </w:rPr>
            </w:pPr>
            <w:r>
              <w:rPr>
                <w:bCs/>
                <w:sz w:val="20"/>
                <w:szCs w:val="20"/>
              </w:rPr>
              <w:t>GMS high</w:t>
            </w:r>
          </w:p>
        </w:tc>
        <w:tc>
          <w:tcPr>
            <w:tcW w:w="851" w:type="dxa"/>
            <w:tcBorders>
              <w:top w:val="single" w:sz="4" w:space="0" w:color="auto"/>
            </w:tcBorders>
          </w:tcPr>
          <w:p w14:paraId="1635D24A" w14:textId="77777777" w:rsidR="002C1FC6" w:rsidRPr="00E7269B" w:rsidRDefault="002C1FC6" w:rsidP="003B3AC5">
            <w:pPr>
              <w:jc w:val="center"/>
              <w:rPr>
                <w:bCs/>
                <w:sz w:val="20"/>
                <w:szCs w:val="20"/>
              </w:rPr>
            </w:pPr>
            <w:r>
              <w:rPr>
                <w:bCs/>
                <w:sz w:val="20"/>
                <w:szCs w:val="20"/>
              </w:rPr>
              <w:t>GMS low</w:t>
            </w:r>
          </w:p>
        </w:tc>
        <w:tc>
          <w:tcPr>
            <w:tcW w:w="992" w:type="dxa"/>
            <w:tcBorders>
              <w:top w:val="single" w:sz="4" w:space="0" w:color="auto"/>
            </w:tcBorders>
            <w:vAlign w:val="center"/>
          </w:tcPr>
          <w:p w14:paraId="29D129F1" w14:textId="77777777" w:rsidR="002C1FC6" w:rsidRPr="00E7269B" w:rsidRDefault="002C1FC6" w:rsidP="003B3AC5">
            <w:pPr>
              <w:jc w:val="center"/>
              <w:rPr>
                <w:bCs/>
                <w:sz w:val="20"/>
                <w:szCs w:val="20"/>
              </w:rPr>
            </w:pPr>
            <w:r w:rsidRPr="000465DE">
              <w:rPr>
                <w:bCs/>
                <w:sz w:val="20"/>
                <w:szCs w:val="20"/>
              </w:rPr>
              <w:t>2578.60</w:t>
            </w:r>
          </w:p>
        </w:tc>
        <w:tc>
          <w:tcPr>
            <w:tcW w:w="709" w:type="dxa"/>
            <w:tcBorders>
              <w:top w:val="single" w:sz="4" w:space="0" w:color="auto"/>
            </w:tcBorders>
            <w:vAlign w:val="center"/>
          </w:tcPr>
          <w:p w14:paraId="5842B9D9" w14:textId="77777777" w:rsidR="002C1FC6" w:rsidRPr="00E7269B" w:rsidRDefault="002C1FC6" w:rsidP="003B3AC5">
            <w:pPr>
              <w:jc w:val="center"/>
              <w:rPr>
                <w:bCs/>
                <w:sz w:val="20"/>
                <w:szCs w:val="20"/>
              </w:rPr>
            </w:pPr>
            <w:r w:rsidRPr="000465DE">
              <w:rPr>
                <w:bCs/>
                <w:sz w:val="20"/>
                <w:szCs w:val="20"/>
              </w:rPr>
              <w:t>1397</w:t>
            </w:r>
          </w:p>
        </w:tc>
        <w:tc>
          <w:tcPr>
            <w:tcW w:w="992" w:type="dxa"/>
            <w:tcBorders>
              <w:top w:val="single" w:sz="4" w:space="0" w:color="auto"/>
            </w:tcBorders>
            <w:vAlign w:val="center"/>
          </w:tcPr>
          <w:p w14:paraId="12E0959F" w14:textId="77777777" w:rsidR="002C1FC6" w:rsidRPr="00E7269B" w:rsidRDefault="002C1FC6" w:rsidP="003B3AC5">
            <w:pPr>
              <w:jc w:val="center"/>
              <w:rPr>
                <w:bCs/>
                <w:sz w:val="20"/>
                <w:szCs w:val="20"/>
              </w:rPr>
            </w:pPr>
            <w:r w:rsidRPr="000465DE">
              <w:rPr>
                <w:bCs/>
                <w:sz w:val="20"/>
                <w:szCs w:val="20"/>
              </w:rPr>
              <w:t>2540.75</w:t>
            </w:r>
          </w:p>
        </w:tc>
        <w:tc>
          <w:tcPr>
            <w:tcW w:w="798" w:type="dxa"/>
            <w:tcBorders>
              <w:top w:val="single" w:sz="4" w:space="0" w:color="auto"/>
            </w:tcBorders>
            <w:vAlign w:val="center"/>
          </w:tcPr>
          <w:p w14:paraId="4CD8BBCB" w14:textId="77777777" w:rsidR="002C1FC6" w:rsidRPr="00E7269B" w:rsidRDefault="002C1FC6" w:rsidP="003B3AC5">
            <w:pPr>
              <w:jc w:val="center"/>
              <w:rPr>
                <w:bCs/>
                <w:sz w:val="20"/>
                <w:szCs w:val="20"/>
              </w:rPr>
            </w:pPr>
            <w:r w:rsidRPr="000465DE">
              <w:rPr>
                <w:bCs/>
                <w:sz w:val="20"/>
                <w:szCs w:val="20"/>
              </w:rPr>
              <w:t>1364</w:t>
            </w:r>
          </w:p>
        </w:tc>
        <w:tc>
          <w:tcPr>
            <w:tcW w:w="766" w:type="dxa"/>
            <w:tcBorders>
              <w:top w:val="single" w:sz="4" w:space="0" w:color="auto"/>
            </w:tcBorders>
            <w:vAlign w:val="center"/>
          </w:tcPr>
          <w:p w14:paraId="31A93C14" w14:textId="77777777" w:rsidR="002C1FC6" w:rsidRPr="00E7269B" w:rsidRDefault="002C1FC6" w:rsidP="003B3AC5">
            <w:pPr>
              <w:jc w:val="center"/>
              <w:rPr>
                <w:bCs/>
                <w:sz w:val="20"/>
                <w:szCs w:val="20"/>
              </w:rPr>
            </w:pPr>
            <w:r w:rsidRPr="000465DE">
              <w:rPr>
                <w:bCs/>
                <w:sz w:val="20"/>
                <w:szCs w:val="20"/>
              </w:rPr>
              <w:t>37.84</w:t>
            </w:r>
          </w:p>
        </w:tc>
        <w:tc>
          <w:tcPr>
            <w:tcW w:w="661" w:type="dxa"/>
            <w:tcBorders>
              <w:top w:val="single" w:sz="4" w:space="0" w:color="auto"/>
            </w:tcBorders>
            <w:vAlign w:val="center"/>
          </w:tcPr>
          <w:p w14:paraId="4472A33B" w14:textId="77777777" w:rsidR="002C1FC6" w:rsidRPr="00E7269B" w:rsidRDefault="002C1FC6" w:rsidP="003B3AC5">
            <w:pPr>
              <w:jc w:val="center"/>
              <w:rPr>
                <w:bCs/>
                <w:sz w:val="20"/>
                <w:szCs w:val="20"/>
              </w:rPr>
            </w:pPr>
            <w:r w:rsidRPr="000465DE">
              <w:rPr>
                <w:bCs/>
                <w:sz w:val="20"/>
                <w:szCs w:val="20"/>
              </w:rPr>
              <w:t>33</w:t>
            </w:r>
          </w:p>
        </w:tc>
        <w:tc>
          <w:tcPr>
            <w:tcW w:w="894" w:type="dxa"/>
            <w:tcBorders>
              <w:top w:val="single" w:sz="4" w:space="0" w:color="auto"/>
            </w:tcBorders>
            <w:vAlign w:val="center"/>
          </w:tcPr>
          <w:p w14:paraId="7CECF1B6" w14:textId="77777777" w:rsidR="002C1FC6" w:rsidRDefault="002C1FC6" w:rsidP="003B3AC5">
            <w:pPr>
              <w:jc w:val="center"/>
              <w:rPr>
                <w:bCs/>
                <w:sz w:val="20"/>
                <w:szCs w:val="20"/>
              </w:rPr>
            </w:pPr>
            <w:r w:rsidRPr="000465DE">
              <w:rPr>
                <w:bCs/>
                <w:sz w:val="20"/>
                <w:szCs w:val="20"/>
              </w:rPr>
              <w:t>.258</w:t>
            </w:r>
          </w:p>
        </w:tc>
      </w:tr>
      <w:tr w:rsidR="002C1FC6" w:rsidRPr="00E7269B" w14:paraId="5C712755" w14:textId="77777777" w:rsidTr="003B3AC5">
        <w:tc>
          <w:tcPr>
            <w:tcW w:w="850" w:type="dxa"/>
          </w:tcPr>
          <w:p w14:paraId="4434B80F" w14:textId="77777777" w:rsidR="002C1FC6" w:rsidRPr="00E7269B" w:rsidRDefault="002C1FC6" w:rsidP="003B3AC5">
            <w:pPr>
              <w:jc w:val="center"/>
              <w:rPr>
                <w:bCs/>
                <w:sz w:val="20"/>
                <w:szCs w:val="20"/>
              </w:rPr>
            </w:pPr>
            <w:r>
              <w:rPr>
                <w:bCs/>
                <w:sz w:val="20"/>
                <w:szCs w:val="20"/>
              </w:rPr>
              <w:t>GMR high</w:t>
            </w:r>
          </w:p>
        </w:tc>
        <w:tc>
          <w:tcPr>
            <w:tcW w:w="851" w:type="dxa"/>
          </w:tcPr>
          <w:p w14:paraId="3585EE84" w14:textId="77777777" w:rsidR="002C1FC6" w:rsidRPr="00E7269B" w:rsidRDefault="002C1FC6" w:rsidP="003B3AC5">
            <w:pPr>
              <w:jc w:val="center"/>
              <w:rPr>
                <w:bCs/>
                <w:sz w:val="20"/>
                <w:szCs w:val="20"/>
              </w:rPr>
            </w:pPr>
            <w:r>
              <w:rPr>
                <w:bCs/>
                <w:sz w:val="20"/>
                <w:szCs w:val="20"/>
              </w:rPr>
              <w:t>GMR low</w:t>
            </w:r>
          </w:p>
        </w:tc>
        <w:tc>
          <w:tcPr>
            <w:tcW w:w="992" w:type="dxa"/>
            <w:vAlign w:val="center"/>
          </w:tcPr>
          <w:p w14:paraId="6E1C1A56" w14:textId="77777777" w:rsidR="002C1FC6" w:rsidRPr="00E7269B" w:rsidRDefault="002C1FC6" w:rsidP="003B3AC5">
            <w:pPr>
              <w:jc w:val="center"/>
              <w:rPr>
                <w:bCs/>
                <w:sz w:val="20"/>
                <w:szCs w:val="20"/>
              </w:rPr>
            </w:pPr>
            <w:r w:rsidRPr="000465DE">
              <w:rPr>
                <w:bCs/>
                <w:sz w:val="20"/>
                <w:szCs w:val="20"/>
              </w:rPr>
              <w:t>2616.82</w:t>
            </w:r>
          </w:p>
        </w:tc>
        <w:tc>
          <w:tcPr>
            <w:tcW w:w="709" w:type="dxa"/>
            <w:vAlign w:val="center"/>
          </w:tcPr>
          <w:p w14:paraId="472B5405" w14:textId="77777777" w:rsidR="002C1FC6" w:rsidRPr="00E7269B" w:rsidRDefault="002C1FC6" w:rsidP="003B3AC5">
            <w:pPr>
              <w:jc w:val="center"/>
              <w:rPr>
                <w:bCs/>
                <w:sz w:val="20"/>
                <w:szCs w:val="20"/>
              </w:rPr>
            </w:pPr>
            <w:r w:rsidRPr="000465DE">
              <w:rPr>
                <w:bCs/>
                <w:sz w:val="20"/>
                <w:szCs w:val="20"/>
              </w:rPr>
              <w:t>1397</w:t>
            </w:r>
          </w:p>
        </w:tc>
        <w:tc>
          <w:tcPr>
            <w:tcW w:w="992" w:type="dxa"/>
            <w:vAlign w:val="center"/>
          </w:tcPr>
          <w:p w14:paraId="64432A8B" w14:textId="77777777" w:rsidR="002C1FC6" w:rsidRPr="00E7269B" w:rsidRDefault="002C1FC6" w:rsidP="003B3AC5">
            <w:pPr>
              <w:jc w:val="center"/>
              <w:rPr>
                <w:bCs/>
                <w:sz w:val="20"/>
                <w:szCs w:val="20"/>
              </w:rPr>
            </w:pPr>
            <w:r w:rsidRPr="000465DE">
              <w:rPr>
                <w:bCs/>
                <w:sz w:val="20"/>
                <w:szCs w:val="20"/>
              </w:rPr>
              <w:t>2593.40</w:t>
            </w:r>
          </w:p>
        </w:tc>
        <w:tc>
          <w:tcPr>
            <w:tcW w:w="798" w:type="dxa"/>
            <w:vAlign w:val="center"/>
          </w:tcPr>
          <w:p w14:paraId="7FC3F175" w14:textId="77777777" w:rsidR="002C1FC6" w:rsidRPr="00E7269B" w:rsidRDefault="002C1FC6" w:rsidP="003B3AC5">
            <w:pPr>
              <w:jc w:val="center"/>
              <w:rPr>
                <w:bCs/>
                <w:sz w:val="20"/>
                <w:szCs w:val="20"/>
              </w:rPr>
            </w:pPr>
            <w:r w:rsidRPr="000465DE">
              <w:rPr>
                <w:bCs/>
                <w:sz w:val="20"/>
                <w:szCs w:val="20"/>
              </w:rPr>
              <w:t>1364</w:t>
            </w:r>
          </w:p>
        </w:tc>
        <w:tc>
          <w:tcPr>
            <w:tcW w:w="766" w:type="dxa"/>
            <w:vAlign w:val="center"/>
          </w:tcPr>
          <w:p w14:paraId="1B1302FA" w14:textId="77777777" w:rsidR="002C1FC6" w:rsidRPr="00E7269B" w:rsidRDefault="002C1FC6" w:rsidP="003B3AC5">
            <w:pPr>
              <w:jc w:val="center"/>
              <w:rPr>
                <w:bCs/>
                <w:sz w:val="20"/>
                <w:szCs w:val="20"/>
              </w:rPr>
            </w:pPr>
            <w:r w:rsidRPr="000465DE">
              <w:rPr>
                <w:bCs/>
                <w:sz w:val="20"/>
                <w:szCs w:val="20"/>
              </w:rPr>
              <w:t>23.42</w:t>
            </w:r>
          </w:p>
        </w:tc>
        <w:tc>
          <w:tcPr>
            <w:tcW w:w="661" w:type="dxa"/>
            <w:vAlign w:val="center"/>
          </w:tcPr>
          <w:p w14:paraId="4365F2D5" w14:textId="77777777" w:rsidR="002C1FC6" w:rsidRPr="00E7269B" w:rsidRDefault="002C1FC6" w:rsidP="003B3AC5">
            <w:pPr>
              <w:jc w:val="center"/>
              <w:rPr>
                <w:bCs/>
                <w:sz w:val="20"/>
                <w:szCs w:val="20"/>
              </w:rPr>
            </w:pPr>
            <w:r w:rsidRPr="000465DE">
              <w:rPr>
                <w:bCs/>
                <w:sz w:val="20"/>
                <w:szCs w:val="20"/>
              </w:rPr>
              <w:t>33</w:t>
            </w:r>
          </w:p>
        </w:tc>
        <w:tc>
          <w:tcPr>
            <w:tcW w:w="894" w:type="dxa"/>
            <w:vAlign w:val="center"/>
          </w:tcPr>
          <w:p w14:paraId="3921B031" w14:textId="77777777" w:rsidR="002C1FC6" w:rsidRPr="009211EA" w:rsidRDefault="002C1FC6" w:rsidP="003B3AC5">
            <w:pPr>
              <w:jc w:val="center"/>
              <w:rPr>
                <w:bCs/>
                <w:sz w:val="20"/>
                <w:szCs w:val="20"/>
              </w:rPr>
            </w:pPr>
            <w:r w:rsidRPr="000465DE">
              <w:rPr>
                <w:bCs/>
                <w:sz w:val="20"/>
                <w:szCs w:val="20"/>
              </w:rPr>
              <w:t>.891</w:t>
            </w:r>
          </w:p>
        </w:tc>
      </w:tr>
    </w:tbl>
    <w:p w14:paraId="7BFED86B" w14:textId="77777777" w:rsidR="002C1FC6" w:rsidRDefault="002C1FC6" w:rsidP="002C1FC6">
      <w:pPr>
        <w:tabs>
          <w:tab w:val="left" w:pos="284"/>
        </w:tabs>
        <w:jc w:val="both"/>
      </w:pPr>
    </w:p>
    <w:p w14:paraId="7AC17A54" w14:textId="77777777" w:rsidR="002C1FC6" w:rsidRDefault="002C1FC6" w:rsidP="002C1FC6">
      <w:pPr>
        <w:jc w:val="both"/>
        <w:outlineLvl w:val="0"/>
        <w:rPr>
          <w:bCs/>
        </w:rPr>
      </w:pPr>
    </w:p>
    <w:p w14:paraId="6B7ED349" w14:textId="77777777" w:rsidR="002C1FC6" w:rsidRDefault="002C1FC6" w:rsidP="002C1FC6">
      <w:pPr>
        <w:jc w:val="both"/>
        <w:outlineLvl w:val="0"/>
        <w:rPr>
          <w:bCs/>
        </w:rPr>
      </w:pPr>
    </w:p>
    <w:p w14:paraId="7B7C9193" w14:textId="77777777" w:rsidR="002C1FC6" w:rsidRDefault="002C1FC6" w:rsidP="002C1FC6">
      <w:pPr>
        <w:jc w:val="both"/>
        <w:outlineLvl w:val="0"/>
        <w:rPr>
          <w:bCs/>
        </w:rPr>
      </w:pPr>
    </w:p>
    <w:p w14:paraId="74E9B08E" w14:textId="77777777" w:rsidR="002C1FC6" w:rsidRDefault="002C1FC6" w:rsidP="002C1FC6">
      <w:pPr>
        <w:jc w:val="both"/>
        <w:outlineLvl w:val="0"/>
        <w:rPr>
          <w:bCs/>
        </w:rPr>
      </w:pPr>
    </w:p>
    <w:p w14:paraId="4427370A" w14:textId="77777777" w:rsidR="002C1FC6" w:rsidRDefault="002C1FC6" w:rsidP="002C1FC6">
      <w:pPr>
        <w:jc w:val="both"/>
        <w:outlineLvl w:val="0"/>
        <w:rPr>
          <w:bCs/>
        </w:rPr>
      </w:pPr>
    </w:p>
    <w:p w14:paraId="2F77536D" w14:textId="77777777" w:rsidR="002C1FC6" w:rsidRDefault="002C1FC6" w:rsidP="002C1FC6">
      <w:pPr>
        <w:jc w:val="both"/>
        <w:outlineLvl w:val="0"/>
        <w:rPr>
          <w:bCs/>
        </w:rPr>
      </w:pPr>
    </w:p>
    <w:p w14:paraId="0FC83971" w14:textId="77777777" w:rsidR="002C1FC6" w:rsidRDefault="002C1FC6" w:rsidP="002C1FC6">
      <w:pPr>
        <w:jc w:val="both"/>
        <w:outlineLvl w:val="0"/>
        <w:rPr>
          <w:bCs/>
        </w:rPr>
      </w:pPr>
    </w:p>
    <w:p w14:paraId="0F506A69" w14:textId="77777777" w:rsidR="002C1FC6" w:rsidRDefault="002C1FC6" w:rsidP="002C1FC6">
      <w:pPr>
        <w:jc w:val="both"/>
        <w:outlineLvl w:val="0"/>
        <w:rPr>
          <w:bCs/>
        </w:rPr>
      </w:pPr>
    </w:p>
    <w:p w14:paraId="1B0F0721" w14:textId="77777777" w:rsidR="002C1FC6" w:rsidRDefault="002C1FC6" w:rsidP="002C1FC6">
      <w:pPr>
        <w:jc w:val="both"/>
        <w:outlineLvl w:val="0"/>
        <w:rPr>
          <w:bCs/>
        </w:rPr>
      </w:pPr>
    </w:p>
    <w:p w14:paraId="2A912D52" w14:textId="77777777" w:rsidR="002C1FC6" w:rsidRDefault="002C1FC6" w:rsidP="002C1FC6">
      <w:pPr>
        <w:jc w:val="both"/>
        <w:outlineLvl w:val="0"/>
        <w:rPr>
          <w:bCs/>
        </w:rPr>
      </w:pPr>
    </w:p>
    <w:p w14:paraId="1E845C56" w14:textId="77777777" w:rsidR="002C1FC6" w:rsidRDefault="002C1FC6" w:rsidP="002C1FC6">
      <w:pPr>
        <w:jc w:val="both"/>
        <w:outlineLvl w:val="0"/>
        <w:rPr>
          <w:bCs/>
        </w:rPr>
      </w:pPr>
    </w:p>
    <w:p w14:paraId="56D715E6" w14:textId="77777777" w:rsidR="002C1FC6" w:rsidRDefault="002C1FC6" w:rsidP="002C1FC6">
      <w:pPr>
        <w:jc w:val="both"/>
        <w:outlineLvl w:val="0"/>
        <w:rPr>
          <w:bCs/>
        </w:rPr>
      </w:pPr>
    </w:p>
    <w:p w14:paraId="146FFD69" w14:textId="77777777" w:rsidR="002C1FC6" w:rsidRDefault="002C1FC6" w:rsidP="002C1FC6">
      <w:pPr>
        <w:jc w:val="both"/>
        <w:outlineLvl w:val="0"/>
        <w:rPr>
          <w:bCs/>
        </w:rPr>
      </w:pPr>
    </w:p>
    <w:p w14:paraId="27596B5B" w14:textId="77777777" w:rsidR="002C1FC6" w:rsidRDefault="002C1FC6" w:rsidP="002C1FC6">
      <w:pPr>
        <w:jc w:val="both"/>
        <w:outlineLvl w:val="0"/>
        <w:rPr>
          <w:bCs/>
        </w:rPr>
      </w:pPr>
    </w:p>
    <w:p w14:paraId="3FBC670C" w14:textId="77777777" w:rsidR="002C1FC6" w:rsidRPr="003E7EE5" w:rsidRDefault="002C1FC6">
      <w:pPr>
        <w:tabs>
          <w:tab w:val="left" w:pos="284"/>
        </w:tabs>
        <w:spacing w:before="120" w:after="120"/>
        <w:jc w:val="both"/>
        <w:outlineLvl w:val="0"/>
      </w:pPr>
    </w:p>
    <w:sectPr w:rsidR="002C1FC6" w:rsidRPr="003E7EE5" w:rsidSect="00A074BE">
      <w:footerReference w:type="even" r:id="rId21"/>
      <w:footerReference w:type="default" r:id="rId22"/>
      <w:footerReference w:type="first" r:id="rId23"/>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8601" w14:textId="77777777" w:rsidR="007B01AA" w:rsidRDefault="007B01AA" w:rsidP="001B5493">
      <w:r>
        <w:separator/>
      </w:r>
    </w:p>
  </w:endnote>
  <w:endnote w:type="continuationSeparator" w:id="0">
    <w:p w14:paraId="2CF5628B" w14:textId="77777777" w:rsidR="007B01AA" w:rsidRDefault="007B01AA" w:rsidP="001B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Cambria"/>
    <w:panose1 w:val="00000500000000020000"/>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51A6" w14:textId="77777777" w:rsidR="0017312F" w:rsidRDefault="0017312F" w:rsidP="003B78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1B8B8" w14:textId="77777777" w:rsidR="0017312F" w:rsidRDefault="0017312F" w:rsidP="001B54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223D" w14:textId="7E7A9136" w:rsidR="0017312F" w:rsidRDefault="0017312F" w:rsidP="00E40C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0562">
      <w:rPr>
        <w:rStyle w:val="PageNumber"/>
        <w:noProof/>
      </w:rPr>
      <w:t>39</w:t>
    </w:r>
    <w:r>
      <w:rPr>
        <w:rStyle w:val="PageNumber"/>
      </w:rPr>
      <w:fldChar w:fldCharType="end"/>
    </w:r>
  </w:p>
  <w:p w14:paraId="17688158" w14:textId="1C05F184" w:rsidR="0017312F" w:rsidRPr="0035470C" w:rsidRDefault="0017312F" w:rsidP="003B78AA">
    <w:pPr>
      <w:pStyle w:val="Footer"/>
      <w:ind w:right="360"/>
      <w:jc w:val="right"/>
      <w:rPr>
        <w:sz w:val="20"/>
        <w:szCs w:val="20"/>
      </w:rPr>
    </w:pPr>
  </w:p>
  <w:p w14:paraId="097E3C5D" w14:textId="77777777" w:rsidR="0017312F" w:rsidRDefault="0017312F" w:rsidP="001B54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55528"/>
      <w:docPartObj>
        <w:docPartGallery w:val="Page Numbers (Bottom of Page)"/>
        <w:docPartUnique/>
      </w:docPartObj>
    </w:sdtPr>
    <w:sdtEndPr>
      <w:rPr>
        <w:noProof/>
      </w:rPr>
    </w:sdtEndPr>
    <w:sdtContent>
      <w:p w14:paraId="4A537A67" w14:textId="396905C4" w:rsidR="0017312F" w:rsidRDefault="0017312F">
        <w:pPr>
          <w:pStyle w:val="Footer"/>
          <w:jc w:val="right"/>
        </w:pPr>
        <w:r>
          <w:fldChar w:fldCharType="begin"/>
        </w:r>
        <w:r>
          <w:instrText xml:space="preserve"> PAGE   \* MERGEFORMAT </w:instrText>
        </w:r>
        <w:r>
          <w:fldChar w:fldCharType="separate"/>
        </w:r>
        <w:r w:rsidR="00230562">
          <w:rPr>
            <w:noProof/>
          </w:rPr>
          <w:t>1</w:t>
        </w:r>
        <w:r>
          <w:rPr>
            <w:noProof/>
          </w:rPr>
          <w:fldChar w:fldCharType="end"/>
        </w:r>
      </w:p>
    </w:sdtContent>
  </w:sdt>
  <w:p w14:paraId="56048A6D" w14:textId="77777777" w:rsidR="0017312F" w:rsidRDefault="00173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20D9" w14:textId="77777777" w:rsidR="007B01AA" w:rsidRDefault="007B01AA" w:rsidP="001B5493">
      <w:r>
        <w:separator/>
      </w:r>
    </w:p>
  </w:footnote>
  <w:footnote w:type="continuationSeparator" w:id="0">
    <w:p w14:paraId="09D8D0D7" w14:textId="77777777" w:rsidR="007B01AA" w:rsidRDefault="007B01AA" w:rsidP="001B5493">
      <w:r>
        <w:continuationSeparator/>
      </w:r>
    </w:p>
  </w:footnote>
  <w:footnote w:id="1">
    <w:p w14:paraId="0BDDEB2A" w14:textId="14880277" w:rsidR="0017312F" w:rsidRPr="00FD2A62" w:rsidRDefault="0017312F" w:rsidP="00B63F18">
      <w:pPr>
        <w:pStyle w:val="FootnoteText"/>
      </w:pPr>
      <w:r w:rsidRPr="00FD2A62">
        <w:rPr>
          <w:rStyle w:val="FootnoteReference"/>
        </w:rPr>
        <w:footnoteRef/>
      </w:r>
      <w:r w:rsidRPr="00FD2A62">
        <w:t xml:space="preserve"> No data were available </w:t>
      </w:r>
      <w:r w:rsidR="00C72EE9">
        <w:t>from</w:t>
      </w:r>
      <w:r w:rsidRPr="00FD2A62">
        <w:t xml:space="preserve"> ICAP</w:t>
      </w:r>
      <w:r w:rsidR="00960297">
        <w:t>-CRIF</w:t>
      </w:r>
      <w:r w:rsidRPr="00FD2A62">
        <w:t xml:space="preserve"> Greece for the remaining 135 companies</w:t>
      </w:r>
      <w:r>
        <w:t xml:space="preserve">. Comparisons of the 110 companies for which objective performance data </w:t>
      </w:r>
      <w:r w:rsidR="00C72EE9">
        <w:t>were</w:t>
      </w:r>
      <w:r>
        <w:t xml:space="preserve"> available with the 135 companies for which data </w:t>
      </w:r>
      <w:r w:rsidR="00C72EE9">
        <w:t>were</w:t>
      </w:r>
      <w:r>
        <w:t xml:space="preserve"> not available on several company descriptors </w:t>
      </w:r>
      <w:r w:rsidR="00C72EE9">
        <w:t>did</w:t>
      </w:r>
      <w:r>
        <w:t xml:space="preserve"> not reveal significant differences in company turnover, company origin (domestic vs. multinational), or industry type (</w:t>
      </w:r>
      <w:r w:rsidR="00AA74BB" w:rsidRPr="00AA74BB">
        <w:t>business-to-</w:t>
      </w:r>
      <w:r w:rsidR="00BE1328">
        <w:t>business</w:t>
      </w:r>
      <w:r>
        <w:t xml:space="preserve"> vs. </w:t>
      </w:r>
      <w:r w:rsidR="00AA74BB" w:rsidRPr="00AA74BB">
        <w:t>business-to-consumer</w:t>
      </w:r>
      <w:r>
        <w:t xml:space="preserve">). </w:t>
      </w:r>
    </w:p>
  </w:footnote>
  <w:footnote w:id="2">
    <w:p w14:paraId="597CACA8" w14:textId="0BA2B0E3" w:rsidR="00566B5D" w:rsidRPr="00FD2A62" w:rsidRDefault="00566B5D" w:rsidP="00566B5D">
      <w:pPr>
        <w:pStyle w:val="FootnoteText"/>
      </w:pPr>
      <w:r w:rsidRPr="00FD2A62">
        <w:rPr>
          <w:rStyle w:val="FootnoteReference"/>
        </w:rPr>
        <w:footnoteRef/>
      </w:r>
      <w:r w:rsidRPr="00FD2A62">
        <w:t xml:space="preserve"> </w:t>
      </w:r>
      <w:r>
        <w:t xml:space="preserve">For comparison purposes, </w:t>
      </w:r>
      <w:r w:rsidRPr="00566B5D">
        <w:t>we conducted two measurement invariance tests</w:t>
      </w:r>
      <w:r w:rsidR="00A842A1">
        <w:t>,</w:t>
      </w:r>
      <w:r w:rsidRPr="00566B5D">
        <w:t xml:space="preserve"> </w:t>
      </w:r>
      <w:r w:rsidR="00B74AEA">
        <w:t xml:space="preserve">one </w:t>
      </w:r>
      <w:r w:rsidRPr="00566B5D">
        <w:t xml:space="preserve">between high and low GMS firms and </w:t>
      </w:r>
      <w:r w:rsidR="00B74AEA">
        <w:t>one</w:t>
      </w:r>
      <w:r w:rsidRPr="00566B5D">
        <w:t xml:space="preserve"> between high and low GMR firms.</w:t>
      </w:r>
      <w:r>
        <w:t xml:space="preserve"> </w:t>
      </w:r>
      <w:r w:rsidR="00B74AEA">
        <w:t>We present the r</w:t>
      </w:r>
      <w:r>
        <w:t xml:space="preserve">esults in Appendix </w:t>
      </w:r>
      <w:r w:rsidR="00B74AEA">
        <w:t>A</w:t>
      </w:r>
      <w:r w:rsidR="00A842A1">
        <w:t>9.</w:t>
      </w:r>
      <w:r>
        <w:t xml:space="preserve"> </w:t>
      </w:r>
    </w:p>
  </w:footnote>
  <w:footnote w:id="3">
    <w:p w14:paraId="15E1F552" w14:textId="2036B713" w:rsidR="0017312F" w:rsidRPr="00651729" w:rsidRDefault="0017312F">
      <w:pPr>
        <w:pStyle w:val="FootnoteText"/>
        <w:rPr>
          <w:lang w:val="en-GB"/>
        </w:rPr>
      </w:pPr>
      <w:r>
        <w:rPr>
          <w:rStyle w:val="FootnoteReference"/>
        </w:rPr>
        <w:footnoteRef/>
      </w:r>
      <w:r>
        <w:t xml:space="preserve"> </w:t>
      </w:r>
      <w:r w:rsidR="00771537">
        <w:t>A</w:t>
      </w:r>
      <w:r>
        <w:t xml:space="preserve">nalysis of variance on the ICAP </w:t>
      </w:r>
      <w:r w:rsidR="00771537">
        <w:t>c</w:t>
      </w:r>
      <w:r>
        <w:t xml:space="preserve">redit </w:t>
      </w:r>
      <w:r w:rsidR="00771537">
        <w:t>r</w:t>
      </w:r>
      <w:r>
        <w:t xml:space="preserve">ating scores of our sample firms indicates that “strategic” </w:t>
      </w:r>
      <w:r w:rsidR="00771537">
        <w:t xml:space="preserve">and “cautious” </w:t>
      </w:r>
      <w:r>
        <w:t xml:space="preserve">green investors were awarded with significantly higher credit scores </w:t>
      </w:r>
      <w:r w:rsidR="00771537">
        <w:t xml:space="preserve">after the </w:t>
      </w:r>
      <w:r>
        <w:t xml:space="preserve">crisis </w:t>
      </w:r>
      <w:r w:rsidR="00030CE9">
        <w:t>(M</w:t>
      </w:r>
      <w:r w:rsidR="00030CE9" w:rsidRPr="00651729">
        <w:rPr>
          <w:vertAlign w:val="subscript"/>
        </w:rPr>
        <w:t>strategic</w:t>
      </w:r>
      <w:r w:rsidR="00030CE9">
        <w:t xml:space="preserve"> = 6.21</w:t>
      </w:r>
      <w:r w:rsidR="00771537">
        <w:t>;</w:t>
      </w:r>
      <w:r w:rsidR="00771537" w:rsidRPr="00771537">
        <w:t xml:space="preserve"> </w:t>
      </w:r>
      <w:r w:rsidR="00771537">
        <w:t>M</w:t>
      </w:r>
      <w:r w:rsidR="00771537" w:rsidRPr="00651729">
        <w:rPr>
          <w:vertAlign w:val="subscript"/>
        </w:rPr>
        <w:t>cautious</w:t>
      </w:r>
      <w:r w:rsidR="00771537">
        <w:t xml:space="preserve"> = 6.59</w:t>
      </w:r>
      <w:r w:rsidR="00030CE9">
        <w:t xml:space="preserve">) </w:t>
      </w:r>
      <w:r>
        <w:t>than “green disinvestors” (M</w:t>
      </w:r>
      <w:r w:rsidR="00771537">
        <w:t xml:space="preserve"> </w:t>
      </w:r>
      <w:r>
        <w:t>=</w:t>
      </w:r>
      <w:r w:rsidR="00771537">
        <w:t xml:space="preserve"> </w:t>
      </w:r>
      <w:r>
        <w:t>5.00) or “green non-believers” (M</w:t>
      </w:r>
      <w:r w:rsidR="00771537">
        <w:t xml:space="preserve"> </w:t>
      </w:r>
      <w:r>
        <w:t>=</w:t>
      </w:r>
      <w:r w:rsidR="00771537">
        <w:t xml:space="preserve"> </w:t>
      </w:r>
      <w:r>
        <w:t>4.60</w:t>
      </w:r>
      <w:r w:rsidR="00771537">
        <w:t>;</w:t>
      </w:r>
      <w:r>
        <w:t xml:space="preserve"> F</w:t>
      </w:r>
      <w:r w:rsidR="00771537">
        <w:t xml:space="preserve"> </w:t>
      </w:r>
      <w:r>
        <w:t>=</w:t>
      </w:r>
      <w:r w:rsidR="00771537">
        <w:t xml:space="preserve"> </w:t>
      </w:r>
      <w:r>
        <w:t xml:space="preserve">2.787, </w:t>
      </w:r>
      <w:r w:rsidRPr="005E1791">
        <w:rPr>
          <w:i/>
          <w:iCs/>
        </w:rPr>
        <w:t>p</w:t>
      </w:r>
      <w:r>
        <w:t xml:space="preserve"> = .021)</w:t>
      </w:r>
      <w:r w:rsidR="00771537">
        <w:t>.</w:t>
      </w:r>
      <w:r>
        <w:t xml:space="preserve"> </w:t>
      </w:r>
      <w:r w:rsidR="00771537">
        <w:t>Additional</w:t>
      </w:r>
      <w:r>
        <w:t xml:space="preserve"> results </w:t>
      </w:r>
      <w:r w:rsidR="00771537">
        <w:t xml:space="preserve">are </w:t>
      </w:r>
      <w:r>
        <w:t xml:space="preserve">available on request.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01888"/>
    <w:multiLevelType w:val="hybridMultilevel"/>
    <w:tmpl w:val="BBB20EEC"/>
    <w:lvl w:ilvl="0" w:tplc="C76ADA02">
      <w:start w:val="1"/>
      <w:numFmt w:val="bullet"/>
      <w:lvlText w:val="–"/>
      <w:lvlJc w:val="left"/>
      <w:pPr>
        <w:tabs>
          <w:tab w:val="num" w:pos="720"/>
        </w:tabs>
        <w:ind w:left="720" w:hanging="360"/>
      </w:pPr>
      <w:rPr>
        <w:rFonts w:ascii="Arial" w:hAnsi="Arial" w:hint="default"/>
      </w:rPr>
    </w:lvl>
    <w:lvl w:ilvl="1" w:tplc="2488EFDA">
      <w:start w:val="1"/>
      <w:numFmt w:val="bullet"/>
      <w:lvlText w:val="–"/>
      <w:lvlJc w:val="left"/>
      <w:pPr>
        <w:tabs>
          <w:tab w:val="num" w:pos="1440"/>
        </w:tabs>
        <w:ind w:left="1440" w:hanging="360"/>
      </w:pPr>
      <w:rPr>
        <w:rFonts w:ascii="Arial" w:hAnsi="Arial" w:hint="default"/>
      </w:rPr>
    </w:lvl>
    <w:lvl w:ilvl="2" w:tplc="345C1B24" w:tentative="1">
      <w:start w:val="1"/>
      <w:numFmt w:val="bullet"/>
      <w:lvlText w:val="–"/>
      <w:lvlJc w:val="left"/>
      <w:pPr>
        <w:tabs>
          <w:tab w:val="num" w:pos="2160"/>
        </w:tabs>
        <w:ind w:left="2160" w:hanging="360"/>
      </w:pPr>
      <w:rPr>
        <w:rFonts w:ascii="Arial" w:hAnsi="Arial" w:hint="default"/>
      </w:rPr>
    </w:lvl>
    <w:lvl w:ilvl="3" w:tplc="8E64105C" w:tentative="1">
      <w:start w:val="1"/>
      <w:numFmt w:val="bullet"/>
      <w:lvlText w:val="–"/>
      <w:lvlJc w:val="left"/>
      <w:pPr>
        <w:tabs>
          <w:tab w:val="num" w:pos="2880"/>
        </w:tabs>
        <w:ind w:left="2880" w:hanging="360"/>
      </w:pPr>
      <w:rPr>
        <w:rFonts w:ascii="Arial" w:hAnsi="Arial" w:hint="default"/>
      </w:rPr>
    </w:lvl>
    <w:lvl w:ilvl="4" w:tplc="D99A8A3C" w:tentative="1">
      <w:start w:val="1"/>
      <w:numFmt w:val="bullet"/>
      <w:lvlText w:val="–"/>
      <w:lvlJc w:val="left"/>
      <w:pPr>
        <w:tabs>
          <w:tab w:val="num" w:pos="3600"/>
        </w:tabs>
        <w:ind w:left="3600" w:hanging="360"/>
      </w:pPr>
      <w:rPr>
        <w:rFonts w:ascii="Arial" w:hAnsi="Arial" w:hint="default"/>
      </w:rPr>
    </w:lvl>
    <w:lvl w:ilvl="5" w:tplc="7F86BC1A" w:tentative="1">
      <w:start w:val="1"/>
      <w:numFmt w:val="bullet"/>
      <w:lvlText w:val="–"/>
      <w:lvlJc w:val="left"/>
      <w:pPr>
        <w:tabs>
          <w:tab w:val="num" w:pos="4320"/>
        </w:tabs>
        <w:ind w:left="4320" w:hanging="360"/>
      </w:pPr>
      <w:rPr>
        <w:rFonts w:ascii="Arial" w:hAnsi="Arial" w:hint="default"/>
      </w:rPr>
    </w:lvl>
    <w:lvl w:ilvl="6" w:tplc="C746702C" w:tentative="1">
      <w:start w:val="1"/>
      <w:numFmt w:val="bullet"/>
      <w:lvlText w:val="–"/>
      <w:lvlJc w:val="left"/>
      <w:pPr>
        <w:tabs>
          <w:tab w:val="num" w:pos="5040"/>
        </w:tabs>
        <w:ind w:left="5040" w:hanging="360"/>
      </w:pPr>
      <w:rPr>
        <w:rFonts w:ascii="Arial" w:hAnsi="Arial" w:hint="default"/>
      </w:rPr>
    </w:lvl>
    <w:lvl w:ilvl="7" w:tplc="B2B2D7AC" w:tentative="1">
      <w:start w:val="1"/>
      <w:numFmt w:val="bullet"/>
      <w:lvlText w:val="–"/>
      <w:lvlJc w:val="left"/>
      <w:pPr>
        <w:tabs>
          <w:tab w:val="num" w:pos="5760"/>
        </w:tabs>
        <w:ind w:left="5760" w:hanging="360"/>
      </w:pPr>
      <w:rPr>
        <w:rFonts w:ascii="Arial" w:hAnsi="Arial" w:hint="default"/>
      </w:rPr>
    </w:lvl>
    <w:lvl w:ilvl="8" w:tplc="6A14E0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7F09D4"/>
    <w:multiLevelType w:val="hybridMultilevel"/>
    <w:tmpl w:val="1EFC0168"/>
    <w:lvl w:ilvl="0" w:tplc="AE8E1850">
      <w:numFmt w:val="bullet"/>
      <w:lvlText w:val="-"/>
      <w:lvlJc w:val="left"/>
      <w:pPr>
        <w:ind w:left="411" w:hanging="360"/>
      </w:pPr>
      <w:rPr>
        <w:rFonts w:ascii="Times New Roman" w:eastAsiaTheme="minorHAnsi" w:hAnsi="Times New Roman" w:cs="Times New Roman"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3" w15:restartNumberingAfterBreak="0">
    <w:nsid w:val="0A9B184B"/>
    <w:multiLevelType w:val="hybridMultilevel"/>
    <w:tmpl w:val="6C2E9D76"/>
    <w:lvl w:ilvl="0" w:tplc="820684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5966DE"/>
    <w:multiLevelType w:val="hybridMultilevel"/>
    <w:tmpl w:val="29DC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C5810"/>
    <w:multiLevelType w:val="hybridMultilevel"/>
    <w:tmpl w:val="4C1C5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3921"/>
    <w:multiLevelType w:val="hybridMultilevel"/>
    <w:tmpl w:val="C9A4497E"/>
    <w:lvl w:ilvl="0" w:tplc="F0520D0C">
      <w:start w:val="1"/>
      <w:numFmt w:val="bullet"/>
      <w:lvlText w:val="–"/>
      <w:lvlJc w:val="left"/>
      <w:pPr>
        <w:tabs>
          <w:tab w:val="num" w:pos="720"/>
        </w:tabs>
        <w:ind w:left="720" w:hanging="360"/>
      </w:pPr>
      <w:rPr>
        <w:rFonts w:ascii="Arial" w:hAnsi="Arial" w:hint="default"/>
      </w:rPr>
    </w:lvl>
    <w:lvl w:ilvl="1" w:tplc="DB025F4E">
      <w:start w:val="1"/>
      <w:numFmt w:val="bullet"/>
      <w:lvlText w:val="–"/>
      <w:lvlJc w:val="left"/>
      <w:pPr>
        <w:tabs>
          <w:tab w:val="num" w:pos="1440"/>
        </w:tabs>
        <w:ind w:left="1440" w:hanging="360"/>
      </w:pPr>
      <w:rPr>
        <w:rFonts w:ascii="Arial" w:hAnsi="Arial" w:hint="default"/>
      </w:rPr>
    </w:lvl>
    <w:lvl w:ilvl="2" w:tplc="CD3AC3BE" w:tentative="1">
      <w:start w:val="1"/>
      <w:numFmt w:val="bullet"/>
      <w:lvlText w:val="–"/>
      <w:lvlJc w:val="left"/>
      <w:pPr>
        <w:tabs>
          <w:tab w:val="num" w:pos="2160"/>
        </w:tabs>
        <w:ind w:left="2160" w:hanging="360"/>
      </w:pPr>
      <w:rPr>
        <w:rFonts w:ascii="Arial" w:hAnsi="Arial" w:hint="default"/>
      </w:rPr>
    </w:lvl>
    <w:lvl w:ilvl="3" w:tplc="0B3447A2" w:tentative="1">
      <w:start w:val="1"/>
      <w:numFmt w:val="bullet"/>
      <w:lvlText w:val="–"/>
      <w:lvlJc w:val="left"/>
      <w:pPr>
        <w:tabs>
          <w:tab w:val="num" w:pos="2880"/>
        </w:tabs>
        <w:ind w:left="2880" w:hanging="360"/>
      </w:pPr>
      <w:rPr>
        <w:rFonts w:ascii="Arial" w:hAnsi="Arial" w:hint="default"/>
      </w:rPr>
    </w:lvl>
    <w:lvl w:ilvl="4" w:tplc="7996F1DC" w:tentative="1">
      <w:start w:val="1"/>
      <w:numFmt w:val="bullet"/>
      <w:lvlText w:val="–"/>
      <w:lvlJc w:val="left"/>
      <w:pPr>
        <w:tabs>
          <w:tab w:val="num" w:pos="3600"/>
        </w:tabs>
        <w:ind w:left="3600" w:hanging="360"/>
      </w:pPr>
      <w:rPr>
        <w:rFonts w:ascii="Arial" w:hAnsi="Arial" w:hint="default"/>
      </w:rPr>
    </w:lvl>
    <w:lvl w:ilvl="5" w:tplc="3986111C" w:tentative="1">
      <w:start w:val="1"/>
      <w:numFmt w:val="bullet"/>
      <w:lvlText w:val="–"/>
      <w:lvlJc w:val="left"/>
      <w:pPr>
        <w:tabs>
          <w:tab w:val="num" w:pos="4320"/>
        </w:tabs>
        <w:ind w:left="4320" w:hanging="360"/>
      </w:pPr>
      <w:rPr>
        <w:rFonts w:ascii="Arial" w:hAnsi="Arial" w:hint="default"/>
      </w:rPr>
    </w:lvl>
    <w:lvl w:ilvl="6" w:tplc="C7AE052E" w:tentative="1">
      <w:start w:val="1"/>
      <w:numFmt w:val="bullet"/>
      <w:lvlText w:val="–"/>
      <w:lvlJc w:val="left"/>
      <w:pPr>
        <w:tabs>
          <w:tab w:val="num" w:pos="5040"/>
        </w:tabs>
        <w:ind w:left="5040" w:hanging="360"/>
      </w:pPr>
      <w:rPr>
        <w:rFonts w:ascii="Arial" w:hAnsi="Arial" w:hint="default"/>
      </w:rPr>
    </w:lvl>
    <w:lvl w:ilvl="7" w:tplc="2B42F12C" w:tentative="1">
      <w:start w:val="1"/>
      <w:numFmt w:val="bullet"/>
      <w:lvlText w:val="–"/>
      <w:lvlJc w:val="left"/>
      <w:pPr>
        <w:tabs>
          <w:tab w:val="num" w:pos="5760"/>
        </w:tabs>
        <w:ind w:left="5760" w:hanging="360"/>
      </w:pPr>
      <w:rPr>
        <w:rFonts w:ascii="Arial" w:hAnsi="Arial" w:hint="default"/>
      </w:rPr>
    </w:lvl>
    <w:lvl w:ilvl="8" w:tplc="B4B036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B52FDD"/>
    <w:multiLevelType w:val="hybridMultilevel"/>
    <w:tmpl w:val="20C6D0D2"/>
    <w:lvl w:ilvl="0" w:tplc="EE2C9170">
      <w:start w:val="20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E2E60"/>
    <w:multiLevelType w:val="hybridMultilevel"/>
    <w:tmpl w:val="CEF2BFA0"/>
    <w:lvl w:ilvl="0" w:tplc="0F580926">
      <w:start w:val="1"/>
      <w:numFmt w:val="bullet"/>
      <w:lvlText w:val="•"/>
      <w:lvlJc w:val="left"/>
      <w:pPr>
        <w:tabs>
          <w:tab w:val="num" w:pos="720"/>
        </w:tabs>
        <w:ind w:left="720" w:hanging="360"/>
      </w:pPr>
      <w:rPr>
        <w:rFonts w:ascii="Arial" w:hAnsi="Arial" w:hint="default"/>
      </w:rPr>
    </w:lvl>
    <w:lvl w:ilvl="1" w:tplc="37EE1264" w:tentative="1">
      <w:start w:val="1"/>
      <w:numFmt w:val="bullet"/>
      <w:lvlText w:val="•"/>
      <w:lvlJc w:val="left"/>
      <w:pPr>
        <w:tabs>
          <w:tab w:val="num" w:pos="1440"/>
        </w:tabs>
        <w:ind w:left="1440" w:hanging="360"/>
      </w:pPr>
      <w:rPr>
        <w:rFonts w:ascii="Arial" w:hAnsi="Arial" w:hint="default"/>
      </w:rPr>
    </w:lvl>
    <w:lvl w:ilvl="2" w:tplc="CF9C181E" w:tentative="1">
      <w:start w:val="1"/>
      <w:numFmt w:val="bullet"/>
      <w:lvlText w:val="•"/>
      <w:lvlJc w:val="left"/>
      <w:pPr>
        <w:tabs>
          <w:tab w:val="num" w:pos="2160"/>
        </w:tabs>
        <w:ind w:left="2160" w:hanging="360"/>
      </w:pPr>
      <w:rPr>
        <w:rFonts w:ascii="Arial" w:hAnsi="Arial" w:hint="default"/>
      </w:rPr>
    </w:lvl>
    <w:lvl w:ilvl="3" w:tplc="95CE85A2" w:tentative="1">
      <w:start w:val="1"/>
      <w:numFmt w:val="bullet"/>
      <w:lvlText w:val="•"/>
      <w:lvlJc w:val="left"/>
      <w:pPr>
        <w:tabs>
          <w:tab w:val="num" w:pos="2880"/>
        </w:tabs>
        <w:ind w:left="2880" w:hanging="360"/>
      </w:pPr>
      <w:rPr>
        <w:rFonts w:ascii="Arial" w:hAnsi="Arial" w:hint="default"/>
      </w:rPr>
    </w:lvl>
    <w:lvl w:ilvl="4" w:tplc="03624256" w:tentative="1">
      <w:start w:val="1"/>
      <w:numFmt w:val="bullet"/>
      <w:lvlText w:val="•"/>
      <w:lvlJc w:val="left"/>
      <w:pPr>
        <w:tabs>
          <w:tab w:val="num" w:pos="3600"/>
        </w:tabs>
        <w:ind w:left="3600" w:hanging="360"/>
      </w:pPr>
      <w:rPr>
        <w:rFonts w:ascii="Arial" w:hAnsi="Arial" w:hint="default"/>
      </w:rPr>
    </w:lvl>
    <w:lvl w:ilvl="5" w:tplc="36F855AA" w:tentative="1">
      <w:start w:val="1"/>
      <w:numFmt w:val="bullet"/>
      <w:lvlText w:val="•"/>
      <w:lvlJc w:val="left"/>
      <w:pPr>
        <w:tabs>
          <w:tab w:val="num" w:pos="4320"/>
        </w:tabs>
        <w:ind w:left="4320" w:hanging="360"/>
      </w:pPr>
      <w:rPr>
        <w:rFonts w:ascii="Arial" w:hAnsi="Arial" w:hint="default"/>
      </w:rPr>
    </w:lvl>
    <w:lvl w:ilvl="6" w:tplc="B31A76DA" w:tentative="1">
      <w:start w:val="1"/>
      <w:numFmt w:val="bullet"/>
      <w:lvlText w:val="•"/>
      <w:lvlJc w:val="left"/>
      <w:pPr>
        <w:tabs>
          <w:tab w:val="num" w:pos="5040"/>
        </w:tabs>
        <w:ind w:left="5040" w:hanging="360"/>
      </w:pPr>
      <w:rPr>
        <w:rFonts w:ascii="Arial" w:hAnsi="Arial" w:hint="default"/>
      </w:rPr>
    </w:lvl>
    <w:lvl w:ilvl="7" w:tplc="FCF60026" w:tentative="1">
      <w:start w:val="1"/>
      <w:numFmt w:val="bullet"/>
      <w:lvlText w:val="•"/>
      <w:lvlJc w:val="left"/>
      <w:pPr>
        <w:tabs>
          <w:tab w:val="num" w:pos="5760"/>
        </w:tabs>
        <w:ind w:left="5760" w:hanging="360"/>
      </w:pPr>
      <w:rPr>
        <w:rFonts w:ascii="Arial" w:hAnsi="Arial" w:hint="default"/>
      </w:rPr>
    </w:lvl>
    <w:lvl w:ilvl="8" w:tplc="EA5A1D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720406"/>
    <w:multiLevelType w:val="hybridMultilevel"/>
    <w:tmpl w:val="C782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85443"/>
    <w:multiLevelType w:val="hybridMultilevel"/>
    <w:tmpl w:val="D0668DE4"/>
    <w:lvl w:ilvl="0" w:tplc="283AB4A6">
      <w:start w:val="20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01033"/>
    <w:multiLevelType w:val="hybridMultilevel"/>
    <w:tmpl w:val="759AF964"/>
    <w:lvl w:ilvl="0" w:tplc="3AAC3242">
      <w:start w:val="8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D63F6"/>
    <w:multiLevelType w:val="hybridMultilevel"/>
    <w:tmpl w:val="ADE23840"/>
    <w:lvl w:ilvl="0" w:tplc="3FAE5BA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37C6F"/>
    <w:multiLevelType w:val="hybridMultilevel"/>
    <w:tmpl w:val="F19226EA"/>
    <w:lvl w:ilvl="0" w:tplc="9F7039E2">
      <w:start w:val="201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4D62A4"/>
    <w:multiLevelType w:val="hybridMultilevel"/>
    <w:tmpl w:val="CAD2521A"/>
    <w:lvl w:ilvl="0" w:tplc="74D484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B7907"/>
    <w:multiLevelType w:val="hybridMultilevel"/>
    <w:tmpl w:val="6B724C36"/>
    <w:lvl w:ilvl="0" w:tplc="33B87E86">
      <w:start w:val="20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328BB"/>
    <w:multiLevelType w:val="multilevel"/>
    <w:tmpl w:val="647C40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FC118E"/>
    <w:multiLevelType w:val="hybridMultilevel"/>
    <w:tmpl w:val="44BEA67E"/>
    <w:lvl w:ilvl="0" w:tplc="E086FEDE">
      <w:start w:val="1"/>
      <w:numFmt w:val="bullet"/>
      <w:lvlText w:val="•"/>
      <w:lvlJc w:val="left"/>
      <w:pPr>
        <w:tabs>
          <w:tab w:val="num" w:pos="720"/>
        </w:tabs>
        <w:ind w:left="720" w:hanging="360"/>
      </w:pPr>
      <w:rPr>
        <w:rFonts w:ascii="Arial" w:hAnsi="Arial" w:hint="default"/>
      </w:rPr>
    </w:lvl>
    <w:lvl w:ilvl="1" w:tplc="2FAAE7B6" w:tentative="1">
      <w:start w:val="1"/>
      <w:numFmt w:val="bullet"/>
      <w:lvlText w:val="•"/>
      <w:lvlJc w:val="left"/>
      <w:pPr>
        <w:tabs>
          <w:tab w:val="num" w:pos="1440"/>
        </w:tabs>
        <w:ind w:left="1440" w:hanging="360"/>
      </w:pPr>
      <w:rPr>
        <w:rFonts w:ascii="Arial" w:hAnsi="Arial" w:hint="default"/>
      </w:rPr>
    </w:lvl>
    <w:lvl w:ilvl="2" w:tplc="E0500F5A" w:tentative="1">
      <w:start w:val="1"/>
      <w:numFmt w:val="bullet"/>
      <w:lvlText w:val="•"/>
      <w:lvlJc w:val="left"/>
      <w:pPr>
        <w:tabs>
          <w:tab w:val="num" w:pos="2160"/>
        </w:tabs>
        <w:ind w:left="2160" w:hanging="360"/>
      </w:pPr>
      <w:rPr>
        <w:rFonts w:ascii="Arial" w:hAnsi="Arial" w:hint="default"/>
      </w:rPr>
    </w:lvl>
    <w:lvl w:ilvl="3" w:tplc="609E061E" w:tentative="1">
      <w:start w:val="1"/>
      <w:numFmt w:val="bullet"/>
      <w:lvlText w:val="•"/>
      <w:lvlJc w:val="left"/>
      <w:pPr>
        <w:tabs>
          <w:tab w:val="num" w:pos="2880"/>
        </w:tabs>
        <w:ind w:left="2880" w:hanging="360"/>
      </w:pPr>
      <w:rPr>
        <w:rFonts w:ascii="Arial" w:hAnsi="Arial" w:hint="default"/>
      </w:rPr>
    </w:lvl>
    <w:lvl w:ilvl="4" w:tplc="10B07164" w:tentative="1">
      <w:start w:val="1"/>
      <w:numFmt w:val="bullet"/>
      <w:lvlText w:val="•"/>
      <w:lvlJc w:val="left"/>
      <w:pPr>
        <w:tabs>
          <w:tab w:val="num" w:pos="3600"/>
        </w:tabs>
        <w:ind w:left="3600" w:hanging="360"/>
      </w:pPr>
      <w:rPr>
        <w:rFonts w:ascii="Arial" w:hAnsi="Arial" w:hint="default"/>
      </w:rPr>
    </w:lvl>
    <w:lvl w:ilvl="5" w:tplc="8B221A70" w:tentative="1">
      <w:start w:val="1"/>
      <w:numFmt w:val="bullet"/>
      <w:lvlText w:val="•"/>
      <w:lvlJc w:val="left"/>
      <w:pPr>
        <w:tabs>
          <w:tab w:val="num" w:pos="4320"/>
        </w:tabs>
        <w:ind w:left="4320" w:hanging="360"/>
      </w:pPr>
      <w:rPr>
        <w:rFonts w:ascii="Arial" w:hAnsi="Arial" w:hint="default"/>
      </w:rPr>
    </w:lvl>
    <w:lvl w:ilvl="6" w:tplc="841CCD10" w:tentative="1">
      <w:start w:val="1"/>
      <w:numFmt w:val="bullet"/>
      <w:lvlText w:val="•"/>
      <w:lvlJc w:val="left"/>
      <w:pPr>
        <w:tabs>
          <w:tab w:val="num" w:pos="5040"/>
        </w:tabs>
        <w:ind w:left="5040" w:hanging="360"/>
      </w:pPr>
      <w:rPr>
        <w:rFonts w:ascii="Arial" w:hAnsi="Arial" w:hint="default"/>
      </w:rPr>
    </w:lvl>
    <w:lvl w:ilvl="7" w:tplc="8CE80D8E" w:tentative="1">
      <w:start w:val="1"/>
      <w:numFmt w:val="bullet"/>
      <w:lvlText w:val="•"/>
      <w:lvlJc w:val="left"/>
      <w:pPr>
        <w:tabs>
          <w:tab w:val="num" w:pos="5760"/>
        </w:tabs>
        <w:ind w:left="5760" w:hanging="360"/>
      </w:pPr>
      <w:rPr>
        <w:rFonts w:ascii="Arial" w:hAnsi="Arial" w:hint="default"/>
      </w:rPr>
    </w:lvl>
    <w:lvl w:ilvl="8" w:tplc="580891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B0445B"/>
    <w:multiLevelType w:val="hybridMultilevel"/>
    <w:tmpl w:val="7890B61E"/>
    <w:lvl w:ilvl="0" w:tplc="8990E8F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7AD05989"/>
    <w:multiLevelType w:val="hybridMultilevel"/>
    <w:tmpl w:val="363C29EC"/>
    <w:lvl w:ilvl="0" w:tplc="951271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B0851"/>
    <w:multiLevelType w:val="hybridMultilevel"/>
    <w:tmpl w:val="4CEA2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7891837">
    <w:abstractNumId w:val="4"/>
  </w:num>
  <w:num w:numId="2" w16cid:durableId="1037853754">
    <w:abstractNumId w:val="9"/>
  </w:num>
  <w:num w:numId="3" w16cid:durableId="822742155">
    <w:abstractNumId w:val="3"/>
  </w:num>
  <w:num w:numId="4" w16cid:durableId="1057897202">
    <w:abstractNumId w:val="19"/>
  </w:num>
  <w:num w:numId="5" w16cid:durableId="16082445">
    <w:abstractNumId w:val="17"/>
  </w:num>
  <w:num w:numId="6" w16cid:durableId="1160006241">
    <w:abstractNumId w:val="8"/>
  </w:num>
  <w:num w:numId="7" w16cid:durableId="687877920">
    <w:abstractNumId w:val="0"/>
  </w:num>
  <w:num w:numId="8" w16cid:durableId="1741751979">
    <w:abstractNumId w:val="10"/>
  </w:num>
  <w:num w:numId="9" w16cid:durableId="1875187152">
    <w:abstractNumId w:val="7"/>
  </w:num>
  <w:num w:numId="10" w16cid:durableId="1301882426">
    <w:abstractNumId w:val="15"/>
  </w:num>
  <w:num w:numId="11" w16cid:durableId="611518995">
    <w:abstractNumId w:val="13"/>
  </w:num>
  <w:num w:numId="12" w16cid:durableId="179392315">
    <w:abstractNumId w:val="6"/>
  </w:num>
  <w:num w:numId="13" w16cid:durableId="1314410087">
    <w:abstractNumId w:val="1"/>
  </w:num>
  <w:num w:numId="14" w16cid:durableId="935090140">
    <w:abstractNumId w:val="12"/>
  </w:num>
  <w:num w:numId="15" w16cid:durableId="660694161">
    <w:abstractNumId w:val="18"/>
  </w:num>
  <w:num w:numId="16" w16cid:durableId="645938544">
    <w:abstractNumId w:val="11"/>
  </w:num>
  <w:num w:numId="17" w16cid:durableId="864026708">
    <w:abstractNumId w:val="2"/>
  </w:num>
  <w:num w:numId="18" w16cid:durableId="1610044422">
    <w:abstractNumId w:val="5"/>
  </w:num>
  <w:num w:numId="19" w16cid:durableId="156191442">
    <w:abstractNumId w:val="14"/>
  </w:num>
  <w:num w:numId="20" w16cid:durableId="2130271341">
    <w:abstractNumId w:val="16"/>
  </w:num>
  <w:num w:numId="21" w16cid:durableId="19661608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M0MzezNDA2sTAwNTFW0lEKTi0uzszPAymwrAUAlXf9/ywAAAA="/>
  </w:docVars>
  <w:rsids>
    <w:rsidRoot w:val="009A17C0"/>
    <w:rsid w:val="00000901"/>
    <w:rsid w:val="00002044"/>
    <w:rsid w:val="00002A61"/>
    <w:rsid w:val="0000386D"/>
    <w:rsid w:val="00007011"/>
    <w:rsid w:val="00007062"/>
    <w:rsid w:val="00007EC9"/>
    <w:rsid w:val="000104A4"/>
    <w:rsid w:val="00010EF6"/>
    <w:rsid w:val="0001175E"/>
    <w:rsid w:val="000128FD"/>
    <w:rsid w:val="00012907"/>
    <w:rsid w:val="00014B92"/>
    <w:rsid w:val="000150D4"/>
    <w:rsid w:val="00015A05"/>
    <w:rsid w:val="00015C75"/>
    <w:rsid w:val="000161A0"/>
    <w:rsid w:val="00016EE1"/>
    <w:rsid w:val="00017053"/>
    <w:rsid w:val="000175F0"/>
    <w:rsid w:val="00017C3B"/>
    <w:rsid w:val="00020374"/>
    <w:rsid w:val="00020567"/>
    <w:rsid w:val="0002077E"/>
    <w:rsid w:val="00020DE4"/>
    <w:rsid w:val="00021348"/>
    <w:rsid w:val="0002144B"/>
    <w:rsid w:val="00021B0E"/>
    <w:rsid w:val="00021C5D"/>
    <w:rsid w:val="00021F04"/>
    <w:rsid w:val="0002237B"/>
    <w:rsid w:val="00022511"/>
    <w:rsid w:val="000225B1"/>
    <w:rsid w:val="00022866"/>
    <w:rsid w:val="00022903"/>
    <w:rsid w:val="00023728"/>
    <w:rsid w:val="00023843"/>
    <w:rsid w:val="00024C9A"/>
    <w:rsid w:val="000261C3"/>
    <w:rsid w:val="00026E3C"/>
    <w:rsid w:val="00027059"/>
    <w:rsid w:val="0002748C"/>
    <w:rsid w:val="000274C7"/>
    <w:rsid w:val="000279DF"/>
    <w:rsid w:val="00027BB8"/>
    <w:rsid w:val="00030CE9"/>
    <w:rsid w:val="00030D94"/>
    <w:rsid w:val="00030ED5"/>
    <w:rsid w:val="000311AD"/>
    <w:rsid w:val="0003170C"/>
    <w:rsid w:val="00032EC2"/>
    <w:rsid w:val="000337E2"/>
    <w:rsid w:val="000343AC"/>
    <w:rsid w:val="00034D15"/>
    <w:rsid w:val="00035342"/>
    <w:rsid w:val="00036101"/>
    <w:rsid w:val="00036210"/>
    <w:rsid w:val="00036489"/>
    <w:rsid w:val="00036709"/>
    <w:rsid w:val="0003728E"/>
    <w:rsid w:val="000377E9"/>
    <w:rsid w:val="00040681"/>
    <w:rsid w:val="00041303"/>
    <w:rsid w:val="0004151A"/>
    <w:rsid w:val="00041BED"/>
    <w:rsid w:val="00042029"/>
    <w:rsid w:val="00043095"/>
    <w:rsid w:val="000434D9"/>
    <w:rsid w:val="00043B36"/>
    <w:rsid w:val="0004420E"/>
    <w:rsid w:val="00044E2C"/>
    <w:rsid w:val="00045369"/>
    <w:rsid w:val="000454D9"/>
    <w:rsid w:val="00046766"/>
    <w:rsid w:val="00047765"/>
    <w:rsid w:val="00050968"/>
    <w:rsid w:val="0005126B"/>
    <w:rsid w:val="000514BE"/>
    <w:rsid w:val="000517A1"/>
    <w:rsid w:val="00052ED5"/>
    <w:rsid w:val="00054184"/>
    <w:rsid w:val="0005434B"/>
    <w:rsid w:val="000558DB"/>
    <w:rsid w:val="00055D82"/>
    <w:rsid w:val="00056BA6"/>
    <w:rsid w:val="0005781A"/>
    <w:rsid w:val="00057B57"/>
    <w:rsid w:val="00057C3F"/>
    <w:rsid w:val="0006062B"/>
    <w:rsid w:val="00060C9A"/>
    <w:rsid w:val="00061010"/>
    <w:rsid w:val="000615F4"/>
    <w:rsid w:val="000619D4"/>
    <w:rsid w:val="0006210E"/>
    <w:rsid w:val="0006219A"/>
    <w:rsid w:val="000634DC"/>
    <w:rsid w:val="0006356E"/>
    <w:rsid w:val="00063DE1"/>
    <w:rsid w:val="00064E3A"/>
    <w:rsid w:val="000659AC"/>
    <w:rsid w:val="00066048"/>
    <w:rsid w:val="0006645E"/>
    <w:rsid w:val="00066670"/>
    <w:rsid w:val="00066A0C"/>
    <w:rsid w:val="000703BB"/>
    <w:rsid w:val="00070613"/>
    <w:rsid w:val="0007168E"/>
    <w:rsid w:val="00071B29"/>
    <w:rsid w:val="000720BB"/>
    <w:rsid w:val="000728AF"/>
    <w:rsid w:val="00072B78"/>
    <w:rsid w:val="00072B9B"/>
    <w:rsid w:val="00073108"/>
    <w:rsid w:val="00073DF5"/>
    <w:rsid w:val="00074059"/>
    <w:rsid w:val="000741AB"/>
    <w:rsid w:val="000746CD"/>
    <w:rsid w:val="0007515C"/>
    <w:rsid w:val="0007516C"/>
    <w:rsid w:val="00075300"/>
    <w:rsid w:val="000759A0"/>
    <w:rsid w:val="00075C7F"/>
    <w:rsid w:val="00075CF7"/>
    <w:rsid w:val="00075D2E"/>
    <w:rsid w:val="00076D1C"/>
    <w:rsid w:val="000771CD"/>
    <w:rsid w:val="00077581"/>
    <w:rsid w:val="0007775F"/>
    <w:rsid w:val="00077800"/>
    <w:rsid w:val="00077F37"/>
    <w:rsid w:val="000809B4"/>
    <w:rsid w:val="00082130"/>
    <w:rsid w:val="00082A3E"/>
    <w:rsid w:val="00084411"/>
    <w:rsid w:val="00084412"/>
    <w:rsid w:val="00085448"/>
    <w:rsid w:val="0008558D"/>
    <w:rsid w:val="000858C0"/>
    <w:rsid w:val="0008591A"/>
    <w:rsid w:val="00086180"/>
    <w:rsid w:val="00086957"/>
    <w:rsid w:val="00086997"/>
    <w:rsid w:val="00086A8E"/>
    <w:rsid w:val="000870AF"/>
    <w:rsid w:val="0008790D"/>
    <w:rsid w:val="00087AFE"/>
    <w:rsid w:val="00087F59"/>
    <w:rsid w:val="00090DA7"/>
    <w:rsid w:val="0009204B"/>
    <w:rsid w:val="00092A18"/>
    <w:rsid w:val="000932D4"/>
    <w:rsid w:val="00094291"/>
    <w:rsid w:val="00094C3A"/>
    <w:rsid w:val="00096979"/>
    <w:rsid w:val="0009774A"/>
    <w:rsid w:val="000A019E"/>
    <w:rsid w:val="000A026F"/>
    <w:rsid w:val="000A0564"/>
    <w:rsid w:val="000A0784"/>
    <w:rsid w:val="000A0ECE"/>
    <w:rsid w:val="000A11F6"/>
    <w:rsid w:val="000A1334"/>
    <w:rsid w:val="000A1ECA"/>
    <w:rsid w:val="000A318C"/>
    <w:rsid w:val="000A3BA5"/>
    <w:rsid w:val="000A4422"/>
    <w:rsid w:val="000A4770"/>
    <w:rsid w:val="000A5218"/>
    <w:rsid w:val="000A7BCD"/>
    <w:rsid w:val="000A7F7B"/>
    <w:rsid w:val="000B0406"/>
    <w:rsid w:val="000B0EB3"/>
    <w:rsid w:val="000B11DA"/>
    <w:rsid w:val="000B17E2"/>
    <w:rsid w:val="000B180F"/>
    <w:rsid w:val="000B1BF1"/>
    <w:rsid w:val="000B203F"/>
    <w:rsid w:val="000B4D4A"/>
    <w:rsid w:val="000B557A"/>
    <w:rsid w:val="000B79A5"/>
    <w:rsid w:val="000B7EDB"/>
    <w:rsid w:val="000C18F0"/>
    <w:rsid w:val="000C1BA6"/>
    <w:rsid w:val="000C2ACA"/>
    <w:rsid w:val="000C389E"/>
    <w:rsid w:val="000C3EE3"/>
    <w:rsid w:val="000C3F48"/>
    <w:rsid w:val="000C414F"/>
    <w:rsid w:val="000C433F"/>
    <w:rsid w:val="000C5571"/>
    <w:rsid w:val="000C59C4"/>
    <w:rsid w:val="000C63AC"/>
    <w:rsid w:val="000C6D17"/>
    <w:rsid w:val="000D03FD"/>
    <w:rsid w:val="000D0949"/>
    <w:rsid w:val="000D0C56"/>
    <w:rsid w:val="000D113E"/>
    <w:rsid w:val="000D1376"/>
    <w:rsid w:val="000D168C"/>
    <w:rsid w:val="000D1C9D"/>
    <w:rsid w:val="000D1E83"/>
    <w:rsid w:val="000D2A74"/>
    <w:rsid w:val="000D2AE9"/>
    <w:rsid w:val="000D5AB9"/>
    <w:rsid w:val="000D7EAD"/>
    <w:rsid w:val="000E0A3E"/>
    <w:rsid w:val="000E1CD3"/>
    <w:rsid w:val="000E1E5A"/>
    <w:rsid w:val="000E2B59"/>
    <w:rsid w:val="000E5038"/>
    <w:rsid w:val="000E584A"/>
    <w:rsid w:val="000E5881"/>
    <w:rsid w:val="000E6137"/>
    <w:rsid w:val="000E6E17"/>
    <w:rsid w:val="000E73F5"/>
    <w:rsid w:val="000F0031"/>
    <w:rsid w:val="000F0926"/>
    <w:rsid w:val="000F0BAB"/>
    <w:rsid w:val="000F191D"/>
    <w:rsid w:val="000F1C19"/>
    <w:rsid w:val="000F1CF4"/>
    <w:rsid w:val="000F1F6D"/>
    <w:rsid w:val="000F30B7"/>
    <w:rsid w:val="000F3500"/>
    <w:rsid w:val="000F39D6"/>
    <w:rsid w:val="000F3C7D"/>
    <w:rsid w:val="000F49EB"/>
    <w:rsid w:val="000F4A35"/>
    <w:rsid w:val="000F5053"/>
    <w:rsid w:val="000F53A1"/>
    <w:rsid w:val="000F5999"/>
    <w:rsid w:val="000F5CA1"/>
    <w:rsid w:val="000F7544"/>
    <w:rsid w:val="0010068E"/>
    <w:rsid w:val="00100A41"/>
    <w:rsid w:val="001011D3"/>
    <w:rsid w:val="001033DC"/>
    <w:rsid w:val="00103A69"/>
    <w:rsid w:val="0010402E"/>
    <w:rsid w:val="00104594"/>
    <w:rsid w:val="001046F7"/>
    <w:rsid w:val="00104D2F"/>
    <w:rsid w:val="00105FA1"/>
    <w:rsid w:val="00106B37"/>
    <w:rsid w:val="00106C1A"/>
    <w:rsid w:val="001073B7"/>
    <w:rsid w:val="00107D61"/>
    <w:rsid w:val="00110577"/>
    <w:rsid w:val="00111866"/>
    <w:rsid w:val="00111A23"/>
    <w:rsid w:val="00111DC6"/>
    <w:rsid w:val="00112F3A"/>
    <w:rsid w:val="00112F67"/>
    <w:rsid w:val="0011345A"/>
    <w:rsid w:val="00113EBF"/>
    <w:rsid w:val="00114E02"/>
    <w:rsid w:val="00115EB8"/>
    <w:rsid w:val="001160C9"/>
    <w:rsid w:val="00116CB2"/>
    <w:rsid w:val="00117B7C"/>
    <w:rsid w:val="00117B83"/>
    <w:rsid w:val="00117CF1"/>
    <w:rsid w:val="0012069B"/>
    <w:rsid w:val="001214AF"/>
    <w:rsid w:val="00121726"/>
    <w:rsid w:val="0012230F"/>
    <w:rsid w:val="00123317"/>
    <w:rsid w:val="001234C6"/>
    <w:rsid w:val="0012358D"/>
    <w:rsid w:val="001244F3"/>
    <w:rsid w:val="00124D45"/>
    <w:rsid w:val="00125CDE"/>
    <w:rsid w:val="001265B3"/>
    <w:rsid w:val="00126D7D"/>
    <w:rsid w:val="00127263"/>
    <w:rsid w:val="0013020B"/>
    <w:rsid w:val="0013084E"/>
    <w:rsid w:val="00130A08"/>
    <w:rsid w:val="001319FE"/>
    <w:rsid w:val="001323DD"/>
    <w:rsid w:val="00132BD0"/>
    <w:rsid w:val="00132E10"/>
    <w:rsid w:val="001335B0"/>
    <w:rsid w:val="00133AC0"/>
    <w:rsid w:val="00133F25"/>
    <w:rsid w:val="001342E4"/>
    <w:rsid w:val="001356D1"/>
    <w:rsid w:val="00135D59"/>
    <w:rsid w:val="00135D85"/>
    <w:rsid w:val="00137310"/>
    <w:rsid w:val="001403AC"/>
    <w:rsid w:val="001407F2"/>
    <w:rsid w:val="00140EAB"/>
    <w:rsid w:val="00141A25"/>
    <w:rsid w:val="00141A76"/>
    <w:rsid w:val="00142172"/>
    <w:rsid w:val="00142D08"/>
    <w:rsid w:val="0014346A"/>
    <w:rsid w:val="00143E89"/>
    <w:rsid w:val="001449A5"/>
    <w:rsid w:val="00144FDB"/>
    <w:rsid w:val="00145165"/>
    <w:rsid w:val="001461A4"/>
    <w:rsid w:val="001463C5"/>
    <w:rsid w:val="00147489"/>
    <w:rsid w:val="001479ED"/>
    <w:rsid w:val="001505CB"/>
    <w:rsid w:val="00150B29"/>
    <w:rsid w:val="00151408"/>
    <w:rsid w:val="001517B0"/>
    <w:rsid w:val="0015188B"/>
    <w:rsid w:val="00152EB3"/>
    <w:rsid w:val="00153419"/>
    <w:rsid w:val="00153D8B"/>
    <w:rsid w:val="00154740"/>
    <w:rsid w:val="001548FE"/>
    <w:rsid w:val="00154A96"/>
    <w:rsid w:val="00156582"/>
    <w:rsid w:val="00156B8A"/>
    <w:rsid w:val="00156DA1"/>
    <w:rsid w:val="00156E66"/>
    <w:rsid w:val="00157511"/>
    <w:rsid w:val="00157C46"/>
    <w:rsid w:val="00160121"/>
    <w:rsid w:val="0016028F"/>
    <w:rsid w:val="001602A0"/>
    <w:rsid w:val="00160E33"/>
    <w:rsid w:val="00163DF2"/>
    <w:rsid w:val="00165058"/>
    <w:rsid w:val="00165428"/>
    <w:rsid w:val="00165C7F"/>
    <w:rsid w:val="00165D97"/>
    <w:rsid w:val="00165F13"/>
    <w:rsid w:val="0016636D"/>
    <w:rsid w:val="001664DE"/>
    <w:rsid w:val="00167183"/>
    <w:rsid w:val="00171C79"/>
    <w:rsid w:val="00171D03"/>
    <w:rsid w:val="00171FB1"/>
    <w:rsid w:val="0017312F"/>
    <w:rsid w:val="001743A8"/>
    <w:rsid w:val="001753D4"/>
    <w:rsid w:val="00175DDD"/>
    <w:rsid w:val="00176408"/>
    <w:rsid w:val="00176FF6"/>
    <w:rsid w:val="001771FE"/>
    <w:rsid w:val="001779B0"/>
    <w:rsid w:val="00177AD7"/>
    <w:rsid w:val="0018031C"/>
    <w:rsid w:val="001815E1"/>
    <w:rsid w:val="00181ADC"/>
    <w:rsid w:val="00181D12"/>
    <w:rsid w:val="00182512"/>
    <w:rsid w:val="001847C5"/>
    <w:rsid w:val="00184F26"/>
    <w:rsid w:val="00185B9B"/>
    <w:rsid w:val="00187FE6"/>
    <w:rsid w:val="001900EA"/>
    <w:rsid w:val="00191A69"/>
    <w:rsid w:val="00191FA0"/>
    <w:rsid w:val="00192C18"/>
    <w:rsid w:val="001932EA"/>
    <w:rsid w:val="001933F4"/>
    <w:rsid w:val="001947ED"/>
    <w:rsid w:val="001948E1"/>
    <w:rsid w:val="00195477"/>
    <w:rsid w:val="00195FEE"/>
    <w:rsid w:val="001966BB"/>
    <w:rsid w:val="00196B22"/>
    <w:rsid w:val="00196BE0"/>
    <w:rsid w:val="001975E0"/>
    <w:rsid w:val="001A0877"/>
    <w:rsid w:val="001A2392"/>
    <w:rsid w:val="001A2BAB"/>
    <w:rsid w:val="001A3122"/>
    <w:rsid w:val="001A335D"/>
    <w:rsid w:val="001A3396"/>
    <w:rsid w:val="001A52FA"/>
    <w:rsid w:val="001A530F"/>
    <w:rsid w:val="001A6E9E"/>
    <w:rsid w:val="001A7CB0"/>
    <w:rsid w:val="001B003B"/>
    <w:rsid w:val="001B008A"/>
    <w:rsid w:val="001B02E4"/>
    <w:rsid w:val="001B0406"/>
    <w:rsid w:val="001B0737"/>
    <w:rsid w:val="001B0C7A"/>
    <w:rsid w:val="001B21CC"/>
    <w:rsid w:val="001B3548"/>
    <w:rsid w:val="001B359E"/>
    <w:rsid w:val="001B37D0"/>
    <w:rsid w:val="001B409F"/>
    <w:rsid w:val="001B433D"/>
    <w:rsid w:val="001B4622"/>
    <w:rsid w:val="001B5493"/>
    <w:rsid w:val="001B5E8E"/>
    <w:rsid w:val="001B60E8"/>
    <w:rsid w:val="001B66E2"/>
    <w:rsid w:val="001B7246"/>
    <w:rsid w:val="001B746A"/>
    <w:rsid w:val="001C0954"/>
    <w:rsid w:val="001C0D6E"/>
    <w:rsid w:val="001C0D9C"/>
    <w:rsid w:val="001C195E"/>
    <w:rsid w:val="001C2416"/>
    <w:rsid w:val="001C2F81"/>
    <w:rsid w:val="001C34B2"/>
    <w:rsid w:val="001C358D"/>
    <w:rsid w:val="001C3E69"/>
    <w:rsid w:val="001C45F7"/>
    <w:rsid w:val="001C4723"/>
    <w:rsid w:val="001C4DDB"/>
    <w:rsid w:val="001C4E44"/>
    <w:rsid w:val="001C56EC"/>
    <w:rsid w:val="001C5D66"/>
    <w:rsid w:val="001C6068"/>
    <w:rsid w:val="001D062C"/>
    <w:rsid w:val="001D08D0"/>
    <w:rsid w:val="001D0CF7"/>
    <w:rsid w:val="001D1374"/>
    <w:rsid w:val="001D15E1"/>
    <w:rsid w:val="001D199C"/>
    <w:rsid w:val="001D22AA"/>
    <w:rsid w:val="001D2372"/>
    <w:rsid w:val="001D3AF5"/>
    <w:rsid w:val="001D4AB8"/>
    <w:rsid w:val="001D563C"/>
    <w:rsid w:val="001D5778"/>
    <w:rsid w:val="001D6118"/>
    <w:rsid w:val="001D621D"/>
    <w:rsid w:val="001D7CBE"/>
    <w:rsid w:val="001D7EB3"/>
    <w:rsid w:val="001E00FE"/>
    <w:rsid w:val="001E0B8B"/>
    <w:rsid w:val="001E179B"/>
    <w:rsid w:val="001E2566"/>
    <w:rsid w:val="001E2A98"/>
    <w:rsid w:val="001E312E"/>
    <w:rsid w:val="001E3A02"/>
    <w:rsid w:val="001E41FA"/>
    <w:rsid w:val="001E4884"/>
    <w:rsid w:val="001E5FC7"/>
    <w:rsid w:val="001E7740"/>
    <w:rsid w:val="001E7AE5"/>
    <w:rsid w:val="001F1908"/>
    <w:rsid w:val="001F1C52"/>
    <w:rsid w:val="001F2016"/>
    <w:rsid w:val="001F2314"/>
    <w:rsid w:val="001F4240"/>
    <w:rsid w:val="001F434C"/>
    <w:rsid w:val="001F4383"/>
    <w:rsid w:val="001F4EB1"/>
    <w:rsid w:val="001F5270"/>
    <w:rsid w:val="001F5D32"/>
    <w:rsid w:val="001F65DA"/>
    <w:rsid w:val="001F716F"/>
    <w:rsid w:val="001F7B67"/>
    <w:rsid w:val="002004A8"/>
    <w:rsid w:val="0020137A"/>
    <w:rsid w:val="002016D7"/>
    <w:rsid w:val="002017F5"/>
    <w:rsid w:val="00201AEC"/>
    <w:rsid w:val="00203431"/>
    <w:rsid w:val="002036CC"/>
    <w:rsid w:val="002039B3"/>
    <w:rsid w:val="00203C49"/>
    <w:rsid w:val="002043CE"/>
    <w:rsid w:val="00206858"/>
    <w:rsid w:val="0020758D"/>
    <w:rsid w:val="0021067C"/>
    <w:rsid w:val="00210841"/>
    <w:rsid w:val="00211C63"/>
    <w:rsid w:val="00211F8B"/>
    <w:rsid w:val="0021293E"/>
    <w:rsid w:val="00212CF2"/>
    <w:rsid w:val="00212F1A"/>
    <w:rsid w:val="00212F32"/>
    <w:rsid w:val="00212FE6"/>
    <w:rsid w:val="00213106"/>
    <w:rsid w:val="00214134"/>
    <w:rsid w:val="0021453D"/>
    <w:rsid w:val="0021512F"/>
    <w:rsid w:val="002153DF"/>
    <w:rsid w:val="002158C0"/>
    <w:rsid w:val="00215B3C"/>
    <w:rsid w:val="00215FF8"/>
    <w:rsid w:val="0021608B"/>
    <w:rsid w:val="00216318"/>
    <w:rsid w:val="00216817"/>
    <w:rsid w:val="00216D32"/>
    <w:rsid w:val="00217425"/>
    <w:rsid w:val="00217608"/>
    <w:rsid w:val="00217738"/>
    <w:rsid w:val="00221A7A"/>
    <w:rsid w:val="002240A5"/>
    <w:rsid w:val="0022429B"/>
    <w:rsid w:val="002263CE"/>
    <w:rsid w:val="002269AC"/>
    <w:rsid w:val="00226C64"/>
    <w:rsid w:val="002271A6"/>
    <w:rsid w:val="00227CBE"/>
    <w:rsid w:val="00230562"/>
    <w:rsid w:val="00232048"/>
    <w:rsid w:val="00232249"/>
    <w:rsid w:val="00233523"/>
    <w:rsid w:val="00233985"/>
    <w:rsid w:val="00233B97"/>
    <w:rsid w:val="002343DF"/>
    <w:rsid w:val="00234B49"/>
    <w:rsid w:val="00235023"/>
    <w:rsid w:val="002352A1"/>
    <w:rsid w:val="002355CB"/>
    <w:rsid w:val="0023567B"/>
    <w:rsid w:val="002357F7"/>
    <w:rsid w:val="00235BD2"/>
    <w:rsid w:val="00236A5B"/>
    <w:rsid w:val="00237103"/>
    <w:rsid w:val="002372D2"/>
    <w:rsid w:val="00240479"/>
    <w:rsid w:val="002429AE"/>
    <w:rsid w:val="002437FC"/>
    <w:rsid w:val="002443C2"/>
    <w:rsid w:val="00244494"/>
    <w:rsid w:val="0024575C"/>
    <w:rsid w:val="002459FB"/>
    <w:rsid w:val="002460F9"/>
    <w:rsid w:val="00246A54"/>
    <w:rsid w:val="00246AB9"/>
    <w:rsid w:val="002477F1"/>
    <w:rsid w:val="00251077"/>
    <w:rsid w:val="002513A0"/>
    <w:rsid w:val="002518BC"/>
    <w:rsid w:val="002521A1"/>
    <w:rsid w:val="002528EE"/>
    <w:rsid w:val="00252CFC"/>
    <w:rsid w:val="00254F10"/>
    <w:rsid w:val="00255861"/>
    <w:rsid w:val="00257097"/>
    <w:rsid w:val="0025713C"/>
    <w:rsid w:val="00257578"/>
    <w:rsid w:val="0025767B"/>
    <w:rsid w:val="0025785E"/>
    <w:rsid w:val="00257ABF"/>
    <w:rsid w:val="00260FDE"/>
    <w:rsid w:val="0026107D"/>
    <w:rsid w:val="00261E55"/>
    <w:rsid w:val="00263D8B"/>
    <w:rsid w:val="00264A18"/>
    <w:rsid w:val="002654A7"/>
    <w:rsid w:val="002655B1"/>
    <w:rsid w:val="00265B8A"/>
    <w:rsid w:val="00265FD1"/>
    <w:rsid w:val="00266255"/>
    <w:rsid w:val="00266416"/>
    <w:rsid w:val="00270C1D"/>
    <w:rsid w:val="00271A62"/>
    <w:rsid w:val="0027297C"/>
    <w:rsid w:val="00272CAF"/>
    <w:rsid w:val="00272E62"/>
    <w:rsid w:val="00272FDC"/>
    <w:rsid w:val="00274A33"/>
    <w:rsid w:val="00277131"/>
    <w:rsid w:val="00277556"/>
    <w:rsid w:val="002777A8"/>
    <w:rsid w:val="00277890"/>
    <w:rsid w:val="00277BD0"/>
    <w:rsid w:val="00280E8B"/>
    <w:rsid w:val="0028295D"/>
    <w:rsid w:val="00283791"/>
    <w:rsid w:val="00283F0D"/>
    <w:rsid w:val="002843B2"/>
    <w:rsid w:val="00284B53"/>
    <w:rsid w:val="00286970"/>
    <w:rsid w:val="002875D4"/>
    <w:rsid w:val="00287612"/>
    <w:rsid w:val="00287A4D"/>
    <w:rsid w:val="00287D19"/>
    <w:rsid w:val="002900A4"/>
    <w:rsid w:val="002913C1"/>
    <w:rsid w:val="00292317"/>
    <w:rsid w:val="00292BE2"/>
    <w:rsid w:val="00293BAE"/>
    <w:rsid w:val="002958F2"/>
    <w:rsid w:val="00296B8F"/>
    <w:rsid w:val="00296C78"/>
    <w:rsid w:val="00297475"/>
    <w:rsid w:val="0029773F"/>
    <w:rsid w:val="002979FF"/>
    <w:rsid w:val="00297C12"/>
    <w:rsid w:val="00297E46"/>
    <w:rsid w:val="002A01AF"/>
    <w:rsid w:val="002A02E0"/>
    <w:rsid w:val="002A1114"/>
    <w:rsid w:val="002A14C0"/>
    <w:rsid w:val="002A30C0"/>
    <w:rsid w:val="002A3818"/>
    <w:rsid w:val="002A3BFE"/>
    <w:rsid w:val="002A3D64"/>
    <w:rsid w:val="002A456D"/>
    <w:rsid w:val="002A483B"/>
    <w:rsid w:val="002A4A52"/>
    <w:rsid w:val="002A4DC0"/>
    <w:rsid w:val="002A534E"/>
    <w:rsid w:val="002A5439"/>
    <w:rsid w:val="002A5B74"/>
    <w:rsid w:val="002A5ECA"/>
    <w:rsid w:val="002A6828"/>
    <w:rsid w:val="002A7570"/>
    <w:rsid w:val="002A7915"/>
    <w:rsid w:val="002A7DF3"/>
    <w:rsid w:val="002B03CD"/>
    <w:rsid w:val="002B1209"/>
    <w:rsid w:val="002B17E1"/>
    <w:rsid w:val="002B1F5C"/>
    <w:rsid w:val="002B24FB"/>
    <w:rsid w:val="002B3144"/>
    <w:rsid w:val="002B38C6"/>
    <w:rsid w:val="002B3904"/>
    <w:rsid w:val="002B3E55"/>
    <w:rsid w:val="002B3E75"/>
    <w:rsid w:val="002B4896"/>
    <w:rsid w:val="002B56A6"/>
    <w:rsid w:val="002B5B21"/>
    <w:rsid w:val="002B775E"/>
    <w:rsid w:val="002B7A0A"/>
    <w:rsid w:val="002B7EDE"/>
    <w:rsid w:val="002C1368"/>
    <w:rsid w:val="002C17E3"/>
    <w:rsid w:val="002C19C7"/>
    <w:rsid w:val="002C1FC6"/>
    <w:rsid w:val="002C1FE8"/>
    <w:rsid w:val="002C2808"/>
    <w:rsid w:val="002C29A5"/>
    <w:rsid w:val="002C2E55"/>
    <w:rsid w:val="002C2F04"/>
    <w:rsid w:val="002C3184"/>
    <w:rsid w:val="002C3A6C"/>
    <w:rsid w:val="002C3B6B"/>
    <w:rsid w:val="002C40B2"/>
    <w:rsid w:val="002C4571"/>
    <w:rsid w:val="002C46A3"/>
    <w:rsid w:val="002C4A97"/>
    <w:rsid w:val="002C4B4D"/>
    <w:rsid w:val="002C53C9"/>
    <w:rsid w:val="002C6AED"/>
    <w:rsid w:val="002C6F81"/>
    <w:rsid w:val="002C7056"/>
    <w:rsid w:val="002C7951"/>
    <w:rsid w:val="002D06AB"/>
    <w:rsid w:val="002D09CF"/>
    <w:rsid w:val="002D178C"/>
    <w:rsid w:val="002D3B79"/>
    <w:rsid w:val="002D4116"/>
    <w:rsid w:val="002D4599"/>
    <w:rsid w:val="002D4C52"/>
    <w:rsid w:val="002D5152"/>
    <w:rsid w:val="002D6255"/>
    <w:rsid w:val="002D6799"/>
    <w:rsid w:val="002D6D2F"/>
    <w:rsid w:val="002D6E41"/>
    <w:rsid w:val="002D7A1C"/>
    <w:rsid w:val="002E037E"/>
    <w:rsid w:val="002E1812"/>
    <w:rsid w:val="002E19B0"/>
    <w:rsid w:val="002E1BD2"/>
    <w:rsid w:val="002E22B4"/>
    <w:rsid w:val="002E2303"/>
    <w:rsid w:val="002E2894"/>
    <w:rsid w:val="002E2BE6"/>
    <w:rsid w:val="002E31BE"/>
    <w:rsid w:val="002E35C1"/>
    <w:rsid w:val="002E3AB7"/>
    <w:rsid w:val="002E4767"/>
    <w:rsid w:val="002E479D"/>
    <w:rsid w:val="002E5B06"/>
    <w:rsid w:val="002E6471"/>
    <w:rsid w:val="002E6B3B"/>
    <w:rsid w:val="002E6E6C"/>
    <w:rsid w:val="002F04F6"/>
    <w:rsid w:val="002F0A5C"/>
    <w:rsid w:val="002F0BA7"/>
    <w:rsid w:val="002F1877"/>
    <w:rsid w:val="002F19E4"/>
    <w:rsid w:val="002F1A92"/>
    <w:rsid w:val="002F1F0C"/>
    <w:rsid w:val="002F2ECD"/>
    <w:rsid w:val="002F3E13"/>
    <w:rsid w:val="002F4834"/>
    <w:rsid w:val="002F5023"/>
    <w:rsid w:val="002F5109"/>
    <w:rsid w:val="002F59EC"/>
    <w:rsid w:val="002F6A98"/>
    <w:rsid w:val="002F7CF8"/>
    <w:rsid w:val="00300129"/>
    <w:rsid w:val="0030038F"/>
    <w:rsid w:val="0030062F"/>
    <w:rsid w:val="00300ACD"/>
    <w:rsid w:val="00301DB4"/>
    <w:rsid w:val="00303742"/>
    <w:rsid w:val="00304006"/>
    <w:rsid w:val="00304112"/>
    <w:rsid w:val="00304F92"/>
    <w:rsid w:val="003054A5"/>
    <w:rsid w:val="003059DE"/>
    <w:rsid w:val="0030606F"/>
    <w:rsid w:val="00306A2E"/>
    <w:rsid w:val="00307A1E"/>
    <w:rsid w:val="00310623"/>
    <w:rsid w:val="00311612"/>
    <w:rsid w:val="00312A13"/>
    <w:rsid w:val="00313119"/>
    <w:rsid w:val="003138F3"/>
    <w:rsid w:val="00313E87"/>
    <w:rsid w:val="00315777"/>
    <w:rsid w:val="00316891"/>
    <w:rsid w:val="00316DA3"/>
    <w:rsid w:val="00317AB6"/>
    <w:rsid w:val="00317D6A"/>
    <w:rsid w:val="00317D9A"/>
    <w:rsid w:val="00320427"/>
    <w:rsid w:val="003208FF"/>
    <w:rsid w:val="00321447"/>
    <w:rsid w:val="003218C5"/>
    <w:rsid w:val="00321947"/>
    <w:rsid w:val="00321BD8"/>
    <w:rsid w:val="00321FCC"/>
    <w:rsid w:val="0032290E"/>
    <w:rsid w:val="00322980"/>
    <w:rsid w:val="00322C3F"/>
    <w:rsid w:val="003230FA"/>
    <w:rsid w:val="0032370A"/>
    <w:rsid w:val="003239FD"/>
    <w:rsid w:val="003248E0"/>
    <w:rsid w:val="003254B3"/>
    <w:rsid w:val="00325E7E"/>
    <w:rsid w:val="003319DB"/>
    <w:rsid w:val="0033505A"/>
    <w:rsid w:val="003353D6"/>
    <w:rsid w:val="0033572E"/>
    <w:rsid w:val="00335DC7"/>
    <w:rsid w:val="003371E5"/>
    <w:rsid w:val="00337B62"/>
    <w:rsid w:val="00337C0C"/>
    <w:rsid w:val="00340306"/>
    <w:rsid w:val="00340725"/>
    <w:rsid w:val="00340FA2"/>
    <w:rsid w:val="003423BB"/>
    <w:rsid w:val="00342609"/>
    <w:rsid w:val="00342B50"/>
    <w:rsid w:val="00342CF8"/>
    <w:rsid w:val="00342DC7"/>
    <w:rsid w:val="003433AD"/>
    <w:rsid w:val="00344463"/>
    <w:rsid w:val="003459FF"/>
    <w:rsid w:val="00346196"/>
    <w:rsid w:val="0034628B"/>
    <w:rsid w:val="00350587"/>
    <w:rsid w:val="00350837"/>
    <w:rsid w:val="003510C8"/>
    <w:rsid w:val="00351151"/>
    <w:rsid w:val="00351285"/>
    <w:rsid w:val="00351AB1"/>
    <w:rsid w:val="00351C7E"/>
    <w:rsid w:val="0035247B"/>
    <w:rsid w:val="00352DD9"/>
    <w:rsid w:val="00354600"/>
    <w:rsid w:val="0035470C"/>
    <w:rsid w:val="003547BA"/>
    <w:rsid w:val="00354F5D"/>
    <w:rsid w:val="00355436"/>
    <w:rsid w:val="0035567D"/>
    <w:rsid w:val="00355F41"/>
    <w:rsid w:val="0035694D"/>
    <w:rsid w:val="0035698F"/>
    <w:rsid w:val="00357613"/>
    <w:rsid w:val="00357645"/>
    <w:rsid w:val="00357844"/>
    <w:rsid w:val="00357DB3"/>
    <w:rsid w:val="00360BAF"/>
    <w:rsid w:val="003624D0"/>
    <w:rsid w:val="003646B8"/>
    <w:rsid w:val="00370232"/>
    <w:rsid w:val="00371AC9"/>
    <w:rsid w:val="00371CFA"/>
    <w:rsid w:val="003724CE"/>
    <w:rsid w:val="00373E2C"/>
    <w:rsid w:val="0037422D"/>
    <w:rsid w:val="003746FC"/>
    <w:rsid w:val="00374B08"/>
    <w:rsid w:val="00375D15"/>
    <w:rsid w:val="00375D23"/>
    <w:rsid w:val="00376440"/>
    <w:rsid w:val="00376DC0"/>
    <w:rsid w:val="003777E2"/>
    <w:rsid w:val="0038079B"/>
    <w:rsid w:val="00380CF1"/>
    <w:rsid w:val="00381D34"/>
    <w:rsid w:val="00382347"/>
    <w:rsid w:val="00382391"/>
    <w:rsid w:val="00383216"/>
    <w:rsid w:val="003833C6"/>
    <w:rsid w:val="00383697"/>
    <w:rsid w:val="00383802"/>
    <w:rsid w:val="003842A7"/>
    <w:rsid w:val="00385ABC"/>
    <w:rsid w:val="003871AF"/>
    <w:rsid w:val="003902EB"/>
    <w:rsid w:val="00390698"/>
    <w:rsid w:val="003906E4"/>
    <w:rsid w:val="00390BB6"/>
    <w:rsid w:val="00391328"/>
    <w:rsid w:val="003916AE"/>
    <w:rsid w:val="003919E6"/>
    <w:rsid w:val="0039207A"/>
    <w:rsid w:val="00392082"/>
    <w:rsid w:val="00392455"/>
    <w:rsid w:val="00392AB8"/>
    <w:rsid w:val="00392E6D"/>
    <w:rsid w:val="00394622"/>
    <w:rsid w:val="00394789"/>
    <w:rsid w:val="00394976"/>
    <w:rsid w:val="00394BC3"/>
    <w:rsid w:val="003958B6"/>
    <w:rsid w:val="00395BDE"/>
    <w:rsid w:val="00395C85"/>
    <w:rsid w:val="00396688"/>
    <w:rsid w:val="00396727"/>
    <w:rsid w:val="003967EC"/>
    <w:rsid w:val="00396803"/>
    <w:rsid w:val="0039691A"/>
    <w:rsid w:val="00396C54"/>
    <w:rsid w:val="003A1581"/>
    <w:rsid w:val="003A1D94"/>
    <w:rsid w:val="003A59C0"/>
    <w:rsid w:val="003A6642"/>
    <w:rsid w:val="003A67D3"/>
    <w:rsid w:val="003A6CDD"/>
    <w:rsid w:val="003A6EF5"/>
    <w:rsid w:val="003A7938"/>
    <w:rsid w:val="003A7CAE"/>
    <w:rsid w:val="003B086E"/>
    <w:rsid w:val="003B2208"/>
    <w:rsid w:val="003B31C8"/>
    <w:rsid w:val="003B39C1"/>
    <w:rsid w:val="003B3C83"/>
    <w:rsid w:val="003B49F4"/>
    <w:rsid w:val="003B4C40"/>
    <w:rsid w:val="003B4F81"/>
    <w:rsid w:val="003B5669"/>
    <w:rsid w:val="003B78AA"/>
    <w:rsid w:val="003B79AC"/>
    <w:rsid w:val="003C0C91"/>
    <w:rsid w:val="003C25D5"/>
    <w:rsid w:val="003C26BF"/>
    <w:rsid w:val="003C286A"/>
    <w:rsid w:val="003C42A6"/>
    <w:rsid w:val="003C6C3A"/>
    <w:rsid w:val="003C73D1"/>
    <w:rsid w:val="003C7891"/>
    <w:rsid w:val="003C78B6"/>
    <w:rsid w:val="003D2459"/>
    <w:rsid w:val="003D2DAA"/>
    <w:rsid w:val="003D2EBB"/>
    <w:rsid w:val="003D3C6F"/>
    <w:rsid w:val="003D3E69"/>
    <w:rsid w:val="003D4249"/>
    <w:rsid w:val="003D4D9F"/>
    <w:rsid w:val="003D5606"/>
    <w:rsid w:val="003D5D1A"/>
    <w:rsid w:val="003D6D7D"/>
    <w:rsid w:val="003E0198"/>
    <w:rsid w:val="003E045B"/>
    <w:rsid w:val="003E0AE9"/>
    <w:rsid w:val="003E15FE"/>
    <w:rsid w:val="003E1DF2"/>
    <w:rsid w:val="003E2CC6"/>
    <w:rsid w:val="003E33BE"/>
    <w:rsid w:val="003E3ABD"/>
    <w:rsid w:val="003E4403"/>
    <w:rsid w:val="003E4F62"/>
    <w:rsid w:val="003E53FF"/>
    <w:rsid w:val="003E562E"/>
    <w:rsid w:val="003E6733"/>
    <w:rsid w:val="003E6815"/>
    <w:rsid w:val="003E6FC3"/>
    <w:rsid w:val="003E7E37"/>
    <w:rsid w:val="003E7EE5"/>
    <w:rsid w:val="003F0A08"/>
    <w:rsid w:val="003F271D"/>
    <w:rsid w:val="003F2B16"/>
    <w:rsid w:val="003F3872"/>
    <w:rsid w:val="003F3A31"/>
    <w:rsid w:val="003F3CB8"/>
    <w:rsid w:val="003F443C"/>
    <w:rsid w:val="003F5B44"/>
    <w:rsid w:val="003F66CE"/>
    <w:rsid w:val="003F70EA"/>
    <w:rsid w:val="00401059"/>
    <w:rsid w:val="00401492"/>
    <w:rsid w:val="00401EEC"/>
    <w:rsid w:val="00401FF4"/>
    <w:rsid w:val="004024CD"/>
    <w:rsid w:val="00402766"/>
    <w:rsid w:val="004032B4"/>
    <w:rsid w:val="00403458"/>
    <w:rsid w:val="00403C2E"/>
    <w:rsid w:val="00404065"/>
    <w:rsid w:val="004059A3"/>
    <w:rsid w:val="00405CE2"/>
    <w:rsid w:val="00405CF8"/>
    <w:rsid w:val="00407787"/>
    <w:rsid w:val="0041018E"/>
    <w:rsid w:val="00410261"/>
    <w:rsid w:val="00410EA2"/>
    <w:rsid w:val="00411FA8"/>
    <w:rsid w:val="0041208E"/>
    <w:rsid w:val="0041217E"/>
    <w:rsid w:val="00413676"/>
    <w:rsid w:val="00413CD9"/>
    <w:rsid w:val="0041406B"/>
    <w:rsid w:val="0041444F"/>
    <w:rsid w:val="00414640"/>
    <w:rsid w:val="00414680"/>
    <w:rsid w:val="00414A31"/>
    <w:rsid w:val="00415113"/>
    <w:rsid w:val="00416DAB"/>
    <w:rsid w:val="0041729B"/>
    <w:rsid w:val="00420616"/>
    <w:rsid w:val="00422661"/>
    <w:rsid w:val="004232F1"/>
    <w:rsid w:val="004238CB"/>
    <w:rsid w:val="0042455F"/>
    <w:rsid w:val="00426454"/>
    <w:rsid w:val="0042689B"/>
    <w:rsid w:val="00426990"/>
    <w:rsid w:val="00426EE6"/>
    <w:rsid w:val="0042712F"/>
    <w:rsid w:val="004271FE"/>
    <w:rsid w:val="00427A8A"/>
    <w:rsid w:val="00430C12"/>
    <w:rsid w:val="004315BC"/>
    <w:rsid w:val="0043222C"/>
    <w:rsid w:val="00432B3D"/>
    <w:rsid w:val="00432E37"/>
    <w:rsid w:val="00432EAB"/>
    <w:rsid w:val="004332B5"/>
    <w:rsid w:val="004335D9"/>
    <w:rsid w:val="0043415A"/>
    <w:rsid w:val="004344A9"/>
    <w:rsid w:val="00434BFB"/>
    <w:rsid w:val="00435436"/>
    <w:rsid w:val="004375A9"/>
    <w:rsid w:val="00437D8A"/>
    <w:rsid w:val="00440D75"/>
    <w:rsid w:val="00441B29"/>
    <w:rsid w:val="0044215D"/>
    <w:rsid w:val="0044258C"/>
    <w:rsid w:val="00444105"/>
    <w:rsid w:val="00444327"/>
    <w:rsid w:val="004444E5"/>
    <w:rsid w:val="00444CDC"/>
    <w:rsid w:val="004451F9"/>
    <w:rsid w:val="00445800"/>
    <w:rsid w:val="00445A80"/>
    <w:rsid w:val="00446209"/>
    <w:rsid w:val="004468BE"/>
    <w:rsid w:val="00446A18"/>
    <w:rsid w:val="004501D9"/>
    <w:rsid w:val="0045036F"/>
    <w:rsid w:val="00450B9B"/>
    <w:rsid w:val="00450E9D"/>
    <w:rsid w:val="00452A1A"/>
    <w:rsid w:val="0045308F"/>
    <w:rsid w:val="004538DF"/>
    <w:rsid w:val="00454ADE"/>
    <w:rsid w:val="0045520C"/>
    <w:rsid w:val="0045628B"/>
    <w:rsid w:val="0045687C"/>
    <w:rsid w:val="004601CC"/>
    <w:rsid w:val="00460B13"/>
    <w:rsid w:val="00460BE8"/>
    <w:rsid w:val="00461B66"/>
    <w:rsid w:val="00461CDD"/>
    <w:rsid w:val="00461D46"/>
    <w:rsid w:val="0046212F"/>
    <w:rsid w:val="00462224"/>
    <w:rsid w:val="00462C50"/>
    <w:rsid w:val="004659BB"/>
    <w:rsid w:val="00465FC5"/>
    <w:rsid w:val="0046665B"/>
    <w:rsid w:val="004673A0"/>
    <w:rsid w:val="00470A3D"/>
    <w:rsid w:val="00470F0D"/>
    <w:rsid w:val="00471CCB"/>
    <w:rsid w:val="004728EA"/>
    <w:rsid w:val="00472E16"/>
    <w:rsid w:val="00472F16"/>
    <w:rsid w:val="0047370E"/>
    <w:rsid w:val="00473F76"/>
    <w:rsid w:val="00474EF6"/>
    <w:rsid w:val="00475B3A"/>
    <w:rsid w:val="00475C78"/>
    <w:rsid w:val="00476492"/>
    <w:rsid w:val="00476D7A"/>
    <w:rsid w:val="004770AC"/>
    <w:rsid w:val="00477F25"/>
    <w:rsid w:val="00481156"/>
    <w:rsid w:val="004816B4"/>
    <w:rsid w:val="004822EB"/>
    <w:rsid w:val="0048233D"/>
    <w:rsid w:val="00483FE9"/>
    <w:rsid w:val="00484066"/>
    <w:rsid w:val="0048421A"/>
    <w:rsid w:val="004843B0"/>
    <w:rsid w:val="004850E4"/>
    <w:rsid w:val="004853EA"/>
    <w:rsid w:val="004853FB"/>
    <w:rsid w:val="0048564A"/>
    <w:rsid w:val="00486760"/>
    <w:rsid w:val="00486817"/>
    <w:rsid w:val="004900DA"/>
    <w:rsid w:val="00490B3B"/>
    <w:rsid w:val="00491361"/>
    <w:rsid w:val="00491E65"/>
    <w:rsid w:val="0049224A"/>
    <w:rsid w:val="00492605"/>
    <w:rsid w:val="00492E7A"/>
    <w:rsid w:val="00492ECC"/>
    <w:rsid w:val="0049355C"/>
    <w:rsid w:val="004939C2"/>
    <w:rsid w:val="00493C51"/>
    <w:rsid w:val="0049435F"/>
    <w:rsid w:val="00494F0C"/>
    <w:rsid w:val="0049601E"/>
    <w:rsid w:val="00496EFA"/>
    <w:rsid w:val="00497895"/>
    <w:rsid w:val="00497C3A"/>
    <w:rsid w:val="004A1437"/>
    <w:rsid w:val="004A2668"/>
    <w:rsid w:val="004A3498"/>
    <w:rsid w:val="004A371E"/>
    <w:rsid w:val="004A37A8"/>
    <w:rsid w:val="004A3847"/>
    <w:rsid w:val="004A38E6"/>
    <w:rsid w:val="004A4146"/>
    <w:rsid w:val="004A4872"/>
    <w:rsid w:val="004A6260"/>
    <w:rsid w:val="004A72A2"/>
    <w:rsid w:val="004A7959"/>
    <w:rsid w:val="004B018A"/>
    <w:rsid w:val="004B05BE"/>
    <w:rsid w:val="004B0CD4"/>
    <w:rsid w:val="004B10F1"/>
    <w:rsid w:val="004B1CD0"/>
    <w:rsid w:val="004B1E2F"/>
    <w:rsid w:val="004B1F03"/>
    <w:rsid w:val="004B27E6"/>
    <w:rsid w:val="004B2897"/>
    <w:rsid w:val="004B2B65"/>
    <w:rsid w:val="004B3D02"/>
    <w:rsid w:val="004B40C0"/>
    <w:rsid w:val="004B44B9"/>
    <w:rsid w:val="004B4A3D"/>
    <w:rsid w:val="004B5AAD"/>
    <w:rsid w:val="004B5F69"/>
    <w:rsid w:val="004B6897"/>
    <w:rsid w:val="004B6AB6"/>
    <w:rsid w:val="004B6D12"/>
    <w:rsid w:val="004B75F7"/>
    <w:rsid w:val="004C00A6"/>
    <w:rsid w:val="004C08C4"/>
    <w:rsid w:val="004C0B64"/>
    <w:rsid w:val="004C108F"/>
    <w:rsid w:val="004C1AC2"/>
    <w:rsid w:val="004C1B19"/>
    <w:rsid w:val="004C1FCC"/>
    <w:rsid w:val="004C2941"/>
    <w:rsid w:val="004C2FAF"/>
    <w:rsid w:val="004C3BFB"/>
    <w:rsid w:val="004C4FD7"/>
    <w:rsid w:val="004C568E"/>
    <w:rsid w:val="004C6A05"/>
    <w:rsid w:val="004C6AA6"/>
    <w:rsid w:val="004C70DA"/>
    <w:rsid w:val="004D0082"/>
    <w:rsid w:val="004D1180"/>
    <w:rsid w:val="004D173F"/>
    <w:rsid w:val="004D2431"/>
    <w:rsid w:val="004D271D"/>
    <w:rsid w:val="004D3213"/>
    <w:rsid w:val="004D337E"/>
    <w:rsid w:val="004D3C01"/>
    <w:rsid w:val="004D40BD"/>
    <w:rsid w:val="004D4182"/>
    <w:rsid w:val="004D46FA"/>
    <w:rsid w:val="004D4DD0"/>
    <w:rsid w:val="004D60D0"/>
    <w:rsid w:val="004D626C"/>
    <w:rsid w:val="004D7AF0"/>
    <w:rsid w:val="004E13E5"/>
    <w:rsid w:val="004E16FA"/>
    <w:rsid w:val="004E1E01"/>
    <w:rsid w:val="004E2E27"/>
    <w:rsid w:val="004E3051"/>
    <w:rsid w:val="004E3529"/>
    <w:rsid w:val="004E364B"/>
    <w:rsid w:val="004E3C9E"/>
    <w:rsid w:val="004E3D5D"/>
    <w:rsid w:val="004E43DA"/>
    <w:rsid w:val="004E4D60"/>
    <w:rsid w:val="004E4F1E"/>
    <w:rsid w:val="004E52C1"/>
    <w:rsid w:val="004E6645"/>
    <w:rsid w:val="004E68A6"/>
    <w:rsid w:val="004F04A3"/>
    <w:rsid w:val="004F0AE3"/>
    <w:rsid w:val="004F119A"/>
    <w:rsid w:val="004F11C4"/>
    <w:rsid w:val="004F129D"/>
    <w:rsid w:val="004F1A6B"/>
    <w:rsid w:val="004F20CA"/>
    <w:rsid w:val="004F2CD9"/>
    <w:rsid w:val="004F3B1B"/>
    <w:rsid w:val="004F3BDC"/>
    <w:rsid w:val="004F3E2D"/>
    <w:rsid w:val="004F4A09"/>
    <w:rsid w:val="004F4A38"/>
    <w:rsid w:val="004F4B07"/>
    <w:rsid w:val="004F5D58"/>
    <w:rsid w:val="004F5F57"/>
    <w:rsid w:val="004F6695"/>
    <w:rsid w:val="004F6EEE"/>
    <w:rsid w:val="004F7639"/>
    <w:rsid w:val="004F7889"/>
    <w:rsid w:val="00500E0E"/>
    <w:rsid w:val="00501088"/>
    <w:rsid w:val="0050111D"/>
    <w:rsid w:val="005017BD"/>
    <w:rsid w:val="00501BBA"/>
    <w:rsid w:val="00501D89"/>
    <w:rsid w:val="00501F44"/>
    <w:rsid w:val="005022F3"/>
    <w:rsid w:val="00502315"/>
    <w:rsid w:val="00502EAD"/>
    <w:rsid w:val="00503834"/>
    <w:rsid w:val="00503912"/>
    <w:rsid w:val="00504412"/>
    <w:rsid w:val="00504948"/>
    <w:rsid w:val="005052B1"/>
    <w:rsid w:val="005054BA"/>
    <w:rsid w:val="005055D1"/>
    <w:rsid w:val="00506500"/>
    <w:rsid w:val="005065B3"/>
    <w:rsid w:val="00506DFA"/>
    <w:rsid w:val="00510324"/>
    <w:rsid w:val="00510FC1"/>
    <w:rsid w:val="0051129C"/>
    <w:rsid w:val="0051179E"/>
    <w:rsid w:val="00511AA2"/>
    <w:rsid w:val="00511F60"/>
    <w:rsid w:val="00511F63"/>
    <w:rsid w:val="0051301E"/>
    <w:rsid w:val="005135DC"/>
    <w:rsid w:val="00513876"/>
    <w:rsid w:val="00513C1A"/>
    <w:rsid w:val="005140D5"/>
    <w:rsid w:val="005147BB"/>
    <w:rsid w:val="005156C5"/>
    <w:rsid w:val="00516158"/>
    <w:rsid w:val="00516634"/>
    <w:rsid w:val="00516893"/>
    <w:rsid w:val="005168A6"/>
    <w:rsid w:val="005168DE"/>
    <w:rsid w:val="00516DE6"/>
    <w:rsid w:val="0052085C"/>
    <w:rsid w:val="0052246C"/>
    <w:rsid w:val="0052353A"/>
    <w:rsid w:val="005249D6"/>
    <w:rsid w:val="00524C5E"/>
    <w:rsid w:val="00524DA0"/>
    <w:rsid w:val="00524F2B"/>
    <w:rsid w:val="00525AC8"/>
    <w:rsid w:val="00525E06"/>
    <w:rsid w:val="00526CAC"/>
    <w:rsid w:val="00526E75"/>
    <w:rsid w:val="00527751"/>
    <w:rsid w:val="00530713"/>
    <w:rsid w:val="00530841"/>
    <w:rsid w:val="00531E1A"/>
    <w:rsid w:val="005320DD"/>
    <w:rsid w:val="00532D2F"/>
    <w:rsid w:val="00533523"/>
    <w:rsid w:val="0053379F"/>
    <w:rsid w:val="005338BD"/>
    <w:rsid w:val="005339EC"/>
    <w:rsid w:val="00533B95"/>
    <w:rsid w:val="0053466E"/>
    <w:rsid w:val="0053470D"/>
    <w:rsid w:val="00534DBE"/>
    <w:rsid w:val="00535EBF"/>
    <w:rsid w:val="00535F54"/>
    <w:rsid w:val="00536B7D"/>
    <w:rsid w:val="00536DBA"/>
    <w:rsid w:val="005378C0"/>
    <w:rsid w:val="005401BE"/>
    <w:rsid w:val="0054051C"/>
    <w:rsid w:val="00541160"/>
    <w:rsid w:val="0054126D"/>
    <w:rsid w:val="0054277E"/>
    <w:rsid w:val="00543381"/>
    <w:rsid w:val="005436E6"/>
    <w:rsid w:val="00544480"/>
    <w:rsid w:val="00544AB2"/>
    <w:rsid w:val="00544AC8"/>
    <w:rsid w:val="00545E23"/>
    <w:rsid w:val="00546BC2"/>
    <w:rsid w:val="00547586"/>
    <w:rsid w:val="005479AE"/>
    <w:rsid w:val="00547D6A"/>
    <w:rsid w:val="00547F22"/>
    <w:rsid w:val="00547FCF"/>
    <w:rsid w:val="00550998"/>
    <w:rsid w:val="0055120E"/>
    <w:rsid w:val="00552373"/>
    <w:rsid w:val="005528F8"/>
    <w:rsid w:val="00552D3B"/>
    <w:rsid w:val="00552DBD"/>
    <w:rsid w:val="00553534"/>
    <w:rsid w:val="00553A8D"/>
    <w:rsid w:val="00554376"/>
    <w:rsid w:val="0055446B"/>
    <w:rsid w:val="005548DE"/>
    <w:rsid w:val="00554A5B"/>
    <w:rsid w:val="00554C9B"/>
    <w:rsid w:val="00555C2D"/>
    <w:rsid w:val="005564C0"/>
    <w:rsid w:val="00556DD8"/>
    <w:rsid w:val="00556F9B"/>
    <w:rsid w:val="00560679"/>
    <w:rsid w:val="00561B4C"/>
    <w:rsid w:val="00561EE0"/>
    <w:rsid w:val="00562FB6"/>
    <w:rsid w:val="00566B5D"/>
    <w:rsid w:val="00566E35"/>
    <w:rsid w:val="00566F3B"/>
    <w:rsid w:val="00567586"/>
    <w:rsid w:val="005676FE"/>
    <w:rsid w:val="00567AE0"/>
    <w:rsid w:val="00570709"/>
    <w:rsid w:val="00570DE8"/>
    <w:rsid w:val="005718FA"/>
    <w:rsid w:val="00571B69"/>
    <w:rsid w:val="00572FA2"/>
    <w:rsid w:val="00573A4E"/>
    <w:rsid w:val="005743E8"/>
    <w:rsid w:val="0057444F"/>
    <w:rsid w:val="00575D14"/>
    <w:rsid w:val="005764B1"/>
    <w:rsid w:val="00577912"/>
    <w:rsid w:val="00577C55"/>
    <w:rsid w:val="0058087B"/>
    <w:rsid w:val="005813A3"/>
    <w:rsid w:val="005817A6"/>
    <w:rsid w:val="00582049"/>
    <w:rsid w:val="00582601"/>
    <w:rsid w:val="00583D5C"/>
    <w:rsid w:val="00585E6E"/>
    <w:rsid w:val="0058656C"/>
    <w:rsid w:val="00587441"/>
    <w:rsid w:val="00587745"/>
    <w:rsid w:val="005900A5"/>
    <w:rsid w:val="00590EAD"/>
    <w:rsid w:val="00591A0E"/>
    <w:rsid w:val="005920D8"/>
    <w:rsid w:val="00592FCA"/>
    <w:rsid w:val="00593342"/>
    <w:rsid w:val="005937F1"/>
    <w:rsid w:val="00594BC4"/>
    <w:rsid w:val="00594CC0"/>
    <w:rsid w:val="0059595F"/>
    <w:rsid w:val="00595B24"/>
    <w:rsid w:val="00595D80"/>
    <w:rsid w:val="00596C58"/>
    <w:rsid w:val="005A034B"/>
    <w:rsid w:val="005A06B0"/>
    <w:rsid w:val="005A08E0"/>
    <w:rsid w:val="005A1078"/>
    <w:rsid w:val="005A168A"/>
    <w:rsid w:val="005A2438"/>
    <w:rsid w:val="005A26A6"/>
    <w:rsid w:val="005A2EC7"/>
    <w:rsid w:val="005A4257"/>
    <w:rsid w:val="005A430D"/>
    <w:rsid w:val="005A4813"/>
    <w:rsid w:val="005A4A52"/>
    <w:rsid w:val="005A4F20"/>
    <w:rsid w:val="005A55A0"/>
    <w:rsid w:val="005A6890"/>
    <w:rsid w:val="005A75C8"/>
    <w:rsid w:val="005A7760"/>
    <w:rsid w:val="005A77F5"/>
    <w:rsid w:val="005A7B88"/>
    <w:rsid w:val="005B2394"/>
    <w:rsid w:val="005B288D"/>
    <w:rsid w:val="005B295A"/>
    <w:rsid w:val="005B50CA"/>
    <w:rsid w:val="005B58A2"/>
    <w:rsid w:val="005B6EE1"/>
    <w:rsid w:val="005B79D5"/>
    <w:rsid w:val="005C2099"/>
    <w:rsid w:val="005C218A"/>
    <w:rsid w:val="005C3401"/>
    <w:rsid w:val="005C35E4"/>
    <w:rsid w:val="005C4DCF"/>
    <w:rsid w:val="005C53DB"/>
    <w:rsid w:val="005C658E"/>
    <w:rsid w:val="005C6D23"/>
    <w:rsid w:val="005C71DD"/>
    <w:rsid w:val="005C74E1"/>
    <w:rsid w:val="005C7868"/>
    <w:rsid w:val="005C7E3F"/>
    <w:rsid w:val="005D059A"/>
    <w:rsid w:val="005D0609"/>
    <w:rsid w:val="005D0E43"/>
    <w:rsid w:val="005D18BF"/>
    <w:rsid w:val="005D271E"/>
    <w:rsid w:val="005D2F06"/>
    <w:rsid w:val="005D3973"/>
    <w:rsid w:val="005D44C0"/>
    <w:rsid w:val="005D5FB7"/>
    <w:rsid w:val="005D6D3D"/>
    <w:rsid w:val="005D742E"/>
    <w:rsid w:val="005D7710"/>
    <w:rsid w:val="005D7CBC"/>
    <w:rsid w:val="005D7FC2"/>
    <w:rsid w:val="005E1791"/>
    <w:rsid w:val="005E29EB"/>
    <w:rsid w:val="005E2BAC"/>
    <w:rsid w:val="005E30EE"/>
    <w:rsid w:val="005E3EAC"/>
    <w:rsid w:val="005E4789"/>
    <w:rsid w:val="005E535D"/>
    <w:rsid w:val="005E5FEE"/>
    <w:rsid w:val="005E6A04"/>
    <w:rsid w:val="005F1A83"/>
    <w:rsid w:val="005F218A"/>
    <w:rsid w:val="005F21AC"/>
    <w:rsid w:val="005F231A"/>
    <w:rsid w:val="005F2637"/>
    <w:rsid w:val="005F3209"/>
    <w:rsid w:val="005F354D"/>
    <w:rsid w:val="005F3772"/>
    <w:rsid w:val="005F3E17"/>
    <w:rsid w:val="005F47E9"/>
    <w:rsid w:val="005F493F"/>
    <w:rsid w:val="005F4E55"/>
    <w:rsid w:val="005F525A"/>
    <w:rsid w:val="005F5BFA"/>
    <w:rsid w:val="005F7A3C"/>
    <w:rsid w:val="006002DD"/>
    <w:rsid w:val="00600BDD"/>
    <w:rsid w:val="00600C37"/>
    <w:rsid w:val="0060273C"/>
    <w:rsid w:val="006045FF"/>
    <w:rsid w:val="0060486B"/>
    <w:rsid w:val="006053D5"/>
    <w:rsid w:val="006068F0"/>
    <w:rsid w:val="006111DD"/>
    <w:rsid w:val="00613674"/>
    <w:rsid w:val="00613C70"/>
    <w:rsid w:val="00614DCB"/>
    <w:rsid w:val="0061523D"/>
    <w:rsid w:val="00615AD5"/>
    <w:rsid w:val="0061605D"/>
    <w:rsid w:val="00616898"/>
    <w:rsid w:val="0061715C"/>
    <w:rsid w:val="0061740E"/>
    <w:rsid w:val="006175ED"/>
    <w:rsid w:val="00617908"/>
    <w:rsid w:val="00617A5D"/>
    <w:rsid w:val="00617C3F"/>
    <w:rsid w:val="00617FDC"/>
    <w:rsid w:val="006208CE"/>
    <w:rsid w:val="006212DB"/>
    <w:rsid w:val="00621741"/>
    <w:rsid w:val="00622CF6"/>
    <w:rsid w:val="00622E2C"/>
    <w:rsid w:val="00623010"/>
    <w:rsid w:val="006237BB"/>
    <w:rsid w:val="0062396F"/>
    <w:rsid w:val="00624345"/>
    <w:rsid w:val="00624B6B"/>
    <w:rsid w:val="00626164"/>
    <w:rsid w:val="006261B4"/>
    <w:rsid w:val="006267E4"/>
    <w:rsid w:val="006300B6"/>
    <w:rsid w:val="0063050F"/>
    <w:rsid w:val="006320DC"/>
    <w:rsid w:val="0063251E"/>
    <w:rsid w:val="00634461"/>
    <w:rsid w:val="00634D73"/>
    <w:rsid w:val="00635134"/>
    <w:rsid w:val="00635D92"/>
    <w:rsid w:val="006363AB"/>
    <w:rsid w:val="00636A21"/>
    <w:rsid w:val="00636DB3"/>
    <w:rsid w:val="00637692"/>
    <w:rsid w:val="00637800"/>
    <w:rsid w:val="0064085B"/>
    <w:rsid w:val="006408B4"/>
    <w:rsid w:val="006409C3"/>
    <w:rsid w:val="006423B4"/>
    <w:rsid w:val="00642E1C"/>
    <w:rsid w:val="00642F4C"/>
    <w:rsid w:val="00643365"/>
    <w:rsid w:val="0064360F"/>
    <w:rsid w:val="00643668"/>
    <w:rsid w:val="00643790"/>
    <w:rsid w:val="00644286"/>
    <w:rsid w:val="00644310"/>
    <w:rsid w:val="006446A8"/>
    <w:rsid w:val="00644845"/>
    <w:rsid w:val="006449AB"/>
    <w:rsid w:val="00646135"/>
    <w:rsid w:val="00646469"/>
    <w:rsid w:val="00646B20"/>
    <w:rsid w:val="0064715B"/>
    <w:rsid w:val="00650282"/>
    <w:rsid w:val="00650F87"/>
    <w:rsid w:val="00651042"/>
    <w:rsid w:val="00651729"/>
    <w:rsid w:val="006517AE"/>
    <w:rsid w:val="006532D8"/>
    <w:rsid w:val="006535D5"/>
    <w:rsid w:val="00653EE6"/>
    <w:rsid w:val="00653F4C"/>
    <w:rsid w:val="00653FC8"/>
    <w:rsid w:val="006549BA"/>
    <w:rsid w:val="00654B0C"/>
    <w:rsid w:val="0065502A"/>
    <w:rsid w:val="00657099"/>
    <w:rsid w:val="006575B0"/>
    <w:rsid w:val="006604FD"/>
    <w:rsid w:val="00660B03"/>
    <w:rsid w:val="00660F4D"/>
    <w:rsid w:val="0066118B"/>
    <w:rsid w:val="0066183B"/>
    <w:rsid w:val="0066244A"/>
    <w:rsid w:val="0066272C"/>
    <w:rsid w:val="00662951"/>
    <w:rsid w:val="00662962"/>
    <w:rsid w:val="00662B13"/>
    <w:rsid w:val="00663D39"/>
    <w:rsid w:val="00664D9F"/>
    <w:rsid w:val="00665237"/>
    <w:rsid w:val="00666161"/>
    <w:rsid w:val="00666549"/>
    <w:rsid w:val="00666951"/>
    <w:rsid w:val="00666D1F"/>
    <w:rsid w:val="00666D2C"/>
    <w:rsid w:val="0066712B"/>
    <w:rsid w:val="00667643"/>
    <w:rsid w:val="00667DF0"/>
    <w:rsid w:val="0067082D"/>
    <w:rsid w:val="0067084C"/>
    <w:rsid w:val="006712E4"/>
    <w:rsid w:val="00671A65"/>
    <w:rsid w:val="00672885"/>
    <w:rsid w:val="00672DB5"/>
    <w:rsid w:val="00674420"/>
    <w:rsid w:val="0067455F"/>
    <w:rsid w:val="0067499E"/>
    <w:rsid w:val="006753E6"/>
    <w:rsid w:val="006753FA"/>
    <w:rsid w:val="00676093"/>
    <w:rsid w:val="00677221"/>
    <w:rsid w:val="0067744C"/>
    <w:rsid w:val="00680070"/>
    <w:rsid w:val="00681B1C"/>
    <w:rsid w:val="00682030"/>
    <w:rsid w:val="00682A2D"/>
    <w:rsid w:val="00684281"/>
    <w:rsid w:val="00684611"/>
    <w:rsid w:val="00684686"/>
    <w:rsid w:val="0068486C"/>
    <w:rsid w:val="0068489F"/>
    <w:rsid w:val="0068511F"/>
    <w:rsid w:val="00686B88"/>
    <w:rsid w:val="00686E17"/>
    <w:rsid w:val="0068730C"/>
    <w:rsid w:val="00687C0D"/>
    <w:rsid w:val="006914BF"/>
    <w:rsid w:val="006915C7"/>
    <w:rsid w:val="0069172A"/>
    <w:rsid w:val="00691EDE"/>
    <w:rsid w:val="006920BC"/>
    <w:rsid w:val="00692734"/>
    <w:rsid w:val="00692F28"/>
    <w:rsid w:val="00693092"/>
    <w:rsid w:val="00694270"/>
    <w:rsid w:val="00694F5F"/>
    <w:rsid w:val="00696635"/>
    <w:rsid w:val="006967EF"/>
    <w:rsid w:val="00696BA8"/>
    <w:rsid w:val="006971B0"/>
    <w:rsid w:val="00697AFA"/>
    <w:rsid w:val="006A05E9"/>
    <w:rsid w:val="006A0FE2"/>
    <w:rsid w:val="006A201F"/>
    <w:rsid w:val="006A266F"/>
    <w:rsid w:val="006A3C98"/>
    <w:rsid w:val="006A3FFB"/>
    <w:rsid w:val="006A40C7"/>
    <w:rsid w:val="006A5228"/>
    <w:rsid w:val="006A6627"/>
    <w:rsid w:val="006A6786"/>
    <w:rsid w:val="006A6B03"/>
    <w:rsid w:val="006A71C9"/>
    <w:rsid w:val="006A77A1"/>
    <w:rsid w:val="006B1164"/>
    <w:rsid w:val="006B1503"/>
    <w:rsid w:val="006B1A3F"/>
    <w:rsid w:val="006B3C77"/>
    <w:rsid w:val="006B3F51"/>
    <w:rsid w:val="006B40C7"/>
    <w:rsid w:val="006B453A"/>
    <w:rsid w:val="006B46C3"/>
    <w:rsid w:val="006B4C0D"/>
    <w:rsid w:val="006B5114"/>
    <w:rsid w:val="006B5601"/>
    <w:rsid w:val="006B77BC"/>
    <w:rsid w:val="006B7A3D"/>
    <w:rsid w:val="006C142C"/>
    <w:rsid w:val="006C1BB6"/>
    <w:rsid w:val="006C1DE7"/>
    <w:rsid w:val="006C2011"/>
    <w:rsid w:val="006C216D"/>
    <w:rsid w:val="006C221D"/>
    <w:rsid w:val="006C2857"/>
    <w:rsid w:val="006C2AFD"/>
    <w:rsid w:val="006C30A8"/>
    <w:rsid w:val="006C42EF"/>
    <w:rsid w:val="006C42FB"/>
    <w:rsid w:val="006C47EA"/>
    <w:rsid w:val="006C5E8B"/>
    <w:rsid w:val="006C781A"/>
    <w:rsid w:val="006D0D47"/>
    <w:rsid w:val="006D165A"/>
    <w:rsid w:val="006D16E8"/>
    <w:rsid w:val="006D1B03"/>
    <w:rsid w:val="006D254A"/>
    <w:rsid w:val="006D2696"/>
    <w:rsid w:val="006D2B1F"/>
    <w:rsid w:val="006D342C"/>
    <w:rsid w:val="006D3A80"/>
    <w:rsid w:val="006D473B"/>
    <w:rsid w:val="006D4B81"/>
    <w:rsid w:val="006D5DE1"/>
    <w:rsid w:val="006D606D"/>
    <w:rsid w:val="006D6090"/>
    <w:rsid w:val="006D619B"/>
    <w:rsid w:val="006D690C"/>
    <w:rsid w:val="006D6B7E"/>
    <w:rsid w:val="006D7610"/>
    <w:rsid w:val="006E1AD5"/>
    <w:rsid w:val="006E1CE1"/>
    <w:rsid w:val="006E29D1"/>
    <w:rsid w:val="006E2DB0"/>
    <w:rsid w:val="006E3091"/>
    <w:rsid w:val="006E31C1"/>
    <w:rsid w:val="006E49CE"/>
    <w:rsid w:val="006E4AF0"/>
    <w:rsid w:val="006E5784"/>
    <w:rsid w:val="006E59C5"/>
    <w:rsid w:val="006E5DEA"/>
    <w:rsid w:val="006E68F7"/>
    <w:rsid w:val="006E75B6"/>
    <w:rsid w:val="006F038B"/>
    <w:rsid w:val="006F28EB"/>
    <w:rsid w:val="006F30F7"/>
    <w:rsid w:val="006F3674"/>
    <w:rsid w:val="006F37E6"/>
    <w:rsid w:val="006F4663"/>
    <w:rsid w:val="006F586C"/>
    <w:rsid w:val="006F624B"/>
    <w:rsid w:val="006F677A"/>
    <w:rsid w:val="006F793B"/>
    <w:rsid w:val="00700555"/>
    <w:rsid w:val="00701916"/>
    <w:rsid w:val="00701AE5"/>
    <w:rsid w:val="00701FC7"/>
    <w:rsid w:val="00702453"/>
    <w:rsid w:val="00702BEA"/>
    <w:rsid w:val="007036FF"/>
    <w:rsid w:val="00703B2B"/>
    <w:rsid w:val="00704636"/>
    <w:rsid w:val="00704A0C"/>
    <w:rsid w:val="00704DDD"/>
    <w:rsid w:val="007058DA"/>
    <w:rsid w:val="007066EC"/>
    <w:rsid w:val="00706C3F"/>
    <w:rsid w:val="00706C43"/>
    <w:rsid w:val="00706C87"/>
    <w:rsid w:val="00707339"/>
    <w:rsid w:val="00710328"/>
    <w:rsid w:val="00710E07"/>
    <w:rsid w:val="00710E75"/>
    <w:rsid w:val="00711A0C"/>
    <w:rsid w:val="00711D85"/>
    <w:rsid w:val="00711ECD"/>
    <w:rsid w:val="00712561"/>
    <w:rsid w:val="007128DC"/>
    <w:rsid w:val="007139ED"/>
    <w:rsid w:val="00715EEA"/>
    <w:rsid w:val="0071615A"/>
    <w:rsid w:val="007173A9"/>
    <w:rsid w:val="00717D7E"/>
    <w:rsid w:val="007218DC"/>
    <w:rsid w:val="00722205"/>
    <w:rsid w:val="00722A3C"/>
    <w:rsid w:val="00722A6B"/>
    <w:rsid w:val="007238AF"/>
    <w:rsid w:val="00724102"/>
    <w:rsid w:val="00724372"/>
    <w:rsid w:val="00724BC0"/>
    <w:rsid w:val="00724F3A"/>
    <w:rsid w:val="00724FE5"/>
    <w:rsid w:val="007251E3"/>
    <w:rsid w:val="007268A7"/>
    <w:rsid w:val="00726AB5"/>
    <w:rsid w:val="00727634"/>
    <w:rsid w:val="00727A72"/>
    <w:rsid w:val="00727D01"/>
    <w:rsid w:val="007301D4"/>
    <w:rsid w:val="00730576"/>
    <w:rsid w:val="00730865"/>
    <w:rsid w:val="00730894"/>
    <w:rsid w:val="00730ADD"/>
    <w:rsid w:val="00731B32"/>
    <w:rsid w:val="00731B3D"/>
    <w:rsid w:val="00731DBA"/>
    <w:rsid w:val="00732F3B"/>
    <w:rsid w:val="00733CE2"/>
    <w:rsid w:val="007347BB"/>
    <w:rsid w:val="00734D9E"/>
    <w:rsid w:val="00735AC9"/>
    <w:rsid w:val="00735EC9"/>
    <w:rsid w:val="007361DE"/>
    <w:rsid w:val="0073682A"/>
    <w:rsid w:val="00737CD8"/>
    <w:rsid w:val="00741B56"/>
    <w:rsid w:val="007429A8"/>
    <w:rsid w:val="00743009"/>
    <w:rsid w:val="00743261"/>
    <w:rsid w:val="00743508"/>
    <w:rsid w:val="00743511"/>
    <w:rsid w:val="0074352E"/>
    <w:rsid w:val="0074376B"/>
    <w:rsid w:val="0074478E"/>
    <w:rsid w:val="00745699"/>
    <w:rsid w:val="00745B52"/>
    <w:rsid w:val="00745FA5"/>
    <w:rsid w:val="007461CA"/>
    <w:rsid w:val="00746BD0"/>
    <w:rsid w:val="00751F01"/>
    <w:rsid w:val="0075365A"/>
    <w:rsid w:val="00753909"/>
    <w:rsid w:val="00754921"/>
    <w:rsid w:val="007550C7"/>
    <w:rsid w:val="0075532E"/>
    <w:rsid w:val="007553C4"/>
    <w:rsid w:val="0075584C"/>
    <w:rsid w:val="00755E48"/>
    <w:rsid w:val="00755F74"/>
    <w:rsid w:val="007561C9"/>
    <w:rsid w:val="00756BB4"/>
    <w:rsid w:val="00756C7C"/>
    <w:rsid w:val="007571D0"/>
    <w:rsid w:val="00757609"/>
    <w:rsid w:val="00757822"/>
    <w:rsid w:val="00757F22"/>
    <w:rsid w:val="00760764"/>
    <w:rsid w:val="00761C08"/>
    <w:rsid w:val="0076296A"/>
    <w:rsid w:val="00763FE6"/>
    <w:rsid w:val="007642F8"/>
    <w:rsid w:val="00766738"/>
    <w:rsid w:val="00770469"/>
    <w:rsid w:val="007708F2"/>
    <w:rsid w:val="00770E28"/>
    <w:rsid w:val="00771537"/>
    <w:rsid w:val="00771A60"/>
    <w:rsid w:val="0077297B"/>
    <w:rsid w:val="00772EA4"/>
    <w:rsid w:val="00772EC4"/>
    <w:rsid w:val="00772F31"/>
    <w:rsid w:val="007732C1"/>
    <w:rsid w:val="007732CE"/>
    <w:rsid w:val="00773F33"/>
    <w:rsid w:val="00774317"/>
    <w:rsid w:val="0077459C"/>
    <w:rsid w:val="007749E4"/>
    <w:rsid w:val="0077511A"/>
    <w:rsid w:val="0077528B"/>
    <w:rsid w:val="007766A1"/>
    <w:rsid w:val="00776CCB"/>
    <w:rsid w:val="00777453"/>
    <w:rsid w:val="00777B85"/>
    <w:rsid w:val="007800AF"/>
    <w:rsid w:val="007801EF"/>
    <w:rsid w:val="00780407"/>
    <w:rsid w:val="00780696"/>
    <w:rsid w:val="0078130F"/>
    <w:rsid w:val="007816DB"/>
    <w:rsid w:val="00781B6E"/>
    <w:rsid w:val="007821AB"/>
    <w:rsid w:val="007828C1"/>
    <w:rsid w:val="0078310A"/>
    <w:rsid w:val="00783364"/>
    <w:rsid w:val="00783522"/>
    <w:rsid w:val="007850D9"/>
    <w:rsid w:val="00785989"/>
    <w:rsid w:val="00785FE7"/>
    <w:rsid w:val="00786242"/>
    <w:rsid w:val="00786DDD"/>
    <w:rsid w:val="007912A5"/>
    <w:rsid w:val="00791B3C"/>
    <w:rsid w:val="00792C5B"/>
    <w:rsid w:val="00792E7E"/>
    <w:rsid w:val="00794377"/>
    <w:rsid w:val="00794B67"/>
    <w:rsid w:val="00794BA4"/>
    <w:rsid w:val="00794C1B"/>
    <w:rsid w:val="00794EE2"/>
    <w:rsid w:val="00794F43"/>
    <w:rsid w:val="007952EA"/>
    <w:rsid w:val="00795BEB"/>
    <w:rsid w:val="00796F54"/>
    <w:rsid w:val="00797F73"/>
    <w:rsid w:val="007A1085"/>
    <w:rsid w:val="007A11A6"/>
    <w:rsid w:val="007A18FC"/>
    <w:rsid w:val="007A1BD5"/>
    <w:rsid w:val="007A2A3A"/>
    <w:rsid w:val="007A40C8"/>
    <w:rsid w:val="007A417F"/>
    <w:rsid w:val="007A4C96"/>
    <w:rsid w:val="007A5AB0"/>
    <w:rsid w:val="007A5BCC"/>
    <w:rsid w:val="007A6510"/>
    <w:rsid w:val="007A6585"/>
    <w:rsid w:val="007A73C9"/>
    <w:rsid w:val="007A77F9"/>
    <w:rsid w:val="007A7805"/>
    <w:rsid w:val="007B01AA"/>
    <w:rsid w:val="007B039C"/>
    <w:rsid w:val="007B0A00"/>
    <w:rsid w:val="007B1793"/>
    <w:rsid w:val="007B1AF9"/>
    <w:rsid w:val="007B1FD0"/>
    <w:rsid w:val="007B21F1"/>
    <w:rsid w:val="007B2349"/>
    <w:rsid w:val="007B2EB2"/>
    <w:rsid w:val="007B33D5"/>
    <w:rsid w:val="007B436F"/>
    <w:rsid w:val="007B472F"/>
    <w:rsid w:val="007B5A27"/>
    <w:rsid w:val="007B5FFD"/>
    <w:rsid w:val="007B61B9"/>
    <w:rsid w:val="007B6339"/>
    <w:rsid w:val="007B69D1"/>
    <w:rsid w:val="007B79FB"/>
    <w:rsid w:val="007C0DE9"/>
    <w:rsid w:val="007C1338"/>
    <w:rsid w:val="007C2892"/>
    <w:rsid w:val="007C2949"/>
    <w:rsid w:val="007C2953"/>
    <w:rsid w:val="007C2A1F"/>
    <w:rsid w:val="007C2D40"/>
    <w:rsid w:val="007C2F75"/>
    <w:rsid w:val="007C3522"/>
    <w:rsid w:val="007C3BF9"/>
    <w:rsid w:val="007C43A4"/>
    <w:rsid w:val="007C4A20"/>
    <w:rsid w:val="007C4D55"/>
    <w:rsid w:val="007C55AD"/>
    <w:rsid w:val="007C58B7"/>
    <w:rsid w:val="007C5B89"/>
    <w:rsid w:val="007C67D3"/>
    <w:rsid w:val="007C6C30"/>
    <w:rsid w:val="007C6E06"/>
    <w:rsid w:val="007C758C"/>
    <w:rsid w:val="007C7900"/>
    <w:rsid w:val="007D01C1"/>
    <w:rsid w:val="007D030C"/>
    <w:rsid w:val="007D0632"/>
    <w:rsid w:val="007D208E"/>
    <w:rsid w:val="007D2FF8"/>
    <w:rsid w:val="007D3184"/>
    <w:rsid w:val="007D328E"/>
    <w:rsid w:val="007D32FA"/>
    <w:rsid w:val="007D4F5F"/>
    <w:rsid w:val="007D590A"/>
    <w:rsid w:val="007D62C0"/>
    <w:rsid w:val="007D6E55"/>
    <w:rsid w:val="007D7275"/>
    <w:rsid w:val="007D735D"/>
    <w:rsid w:val="007D739E"/>
    <w:rsid w:val="007D7504"/>
    <w:rsid w:val="007E1582"/>
    <w:rsid w:val="007E1F5E"/>
    <w:rsid w:val="007E2255"/>
    <w:rsid w:val="007E24C9"/>
    <w:rsid w:val="007E2B3F"/>
    <w:rsid w:val="007E3464"/>
    <w:rsid w:val="007E42B9"/>
    <w:rsid w:val="007E43B8"/>
    <w:rsid w:val="007E4A28"/>
    <w:rsid w:val="007E5DE1"/>
    <w:rsid w:val="007E5E4D"/>
    <w:rsid w:val="007E6BC0"/>
    <w:rsid w:val="007E6F10"/>
    <w:rsid w:val="007E71B6"/>
    <w:rsid w:val="007E7DA2"/>
    <w:rsid w:val="007E7E8A"/>
    <w:rsid w:val="007F0A00"/>
    <w:rsid w:val="007F154B"/>
    <w:rsid w:val="007F2898"/>
    <w:rsid w:val="007F4253"/>
    <w:rsid w:val="007F5C11"/>
    <w:rsid w:val="007F5CD6"/>
    <w:rsid w:val="007F60A8"/>
    <w:rsid w:val="007F6AB8"/>
    <w:rsid w:val="007F7B73"/>
    <w:rsid w:val="00801089"/>
    <w:rsid w:val="008014B3"/>
    <w:rsid w:val="00801641"/>
    <w:rsid w:val="008020DC"/>
    <w:rsid w:val="008024B1"/>
    <w:rsid w:val="00802868"/>
    <w:rsid w:val="00803810"/>
    <w:rsid w:val="0080462D"/>
    <w:rsid w:val="0080489E"/>
    <w:rsid w:val="00806491"/>
    <w:rsid w:val="0080779D"/>
    <w:rsid w:val="00810134"/>
    <w:rsid w:val="00810159"/>
    <w:rsid w:val="0081062B"/>
    <w:rsid w:val="0081083C"/>
    <w:rsid w:val="00811523"/>
    <w:rsid w:val="00811E07"/>
    <w:rsid w:val="00812591"/>
    <w:rsid w:val="00813CE6"/>
    <w:rsid w:val="00813E21"/>
    <w:rsid w:val="00814109"/>
    <w:rsid w:val="008141AF"/>
    <w:rsid w:val="0081456D"/>
    <w:rsid w:val="00814764"/>
    <w:rsid w:val="00814DFC"/>
    <w:rsid w:val="00820AA8"/>
    <w:rsid w:val="00820C96"/>
    <w:rsid w:val="00820FC3"/>
    <w:rsid w:val="008211D3"/>
    <w:rsid w:val="00821D2B"/>
    <w:rsid w:val="008242B8"/>
    <w:rsid w:val="00824B60"/>
    <w:rsid w:val="00825A69"/>
    <w:rsid w:val="0082684A"/>
    <w:rsid w:val="00826B8E"/>
    <w:rsid w:val="00827E19"/>
    <w:rsid w:val="008308B8"/>
    <w:rsid w:val="00830B21"/>
    <w:rsid w:val="00830C22"/>
    <w:rsid w:val="00830CD4"/>
    <w:rsid w:val="00830F11"/>
    <w:rsid w:val="008320B1"/>
    <w:rsid w:val="00832857"/>
    <w:rsid w:val="00833B7B"/>
    <w:rsid w:val="008340C7"/>
    <w:rsid w:val="008343F1"/>
    <w:rsid w:val="0083463D"/>
    <w:rsid w:val="00834BC3"/>
    <w:rsid w:val="00835543"/>
    <w:rsid w:val="008356F2"/>
    <w:rsid w:val="0083652E"/>
    <w:rsid w:val="008365DC"/>
    <w:rsid w:val="00837DC8"/>
    <w:rsid w:val="00837E73"/>
    <w:rsid w:val="00837F13"/>
    <w:rsid w:val="00840433"/>
    <w:rsid w:val="00840A81"/>
    <w:rsid w:val="00841986"/>
    <w:rsid w:val="00842D0F"/>
    <w:rsid w:val="0084435A"/>
    <w:rsid w:val="00844CE6"/>
    <w:rsid w:val="0084519B"/>
    <w:rsid w:val="008458EB"/>
    <w:rsid w:val="00845D74"/>
    <w:rsid w:val="008464DD"/>
    <w:rsid w:val="00846D1C"/>
    <w:rsid w:val="008504CD"/>
    <w:rsid w:val="00850588"/>
    <w:rsid w:val="00850DD4"/>
    <w:rsid w:val="00850E7D"/>
    <w:rsid w:val="00852167"/>
    <w:rsid w:val="00853854"/>
    <w:rsid w:val="00853ACD"/>
    <w:rsid w:val="00853B92"/>
    <w:rsid w:val="0085503D"/>
    <w:rsid w:val="008551A9"/>
    <w:rsid w:val="00855209"/>
    <w:rsid w:val="00855AE3"/>
    <w:rsid w:val="0085606F"/>
    <w:rsid w:val="00856652"/>
    <w:rsid w:val="008567D7"/>
    <w:rsid w:val="00856A57"/>
    <w:rsid w:val="00856BD3"/>
    <w:rsid w:val="00856C9E"/>
    <w:rsid w:val="00856CD9"/>
    <w:rsid w:val="0086072C"/>
    <w:rsid w:val="008621A0"/>
    <w:rsid w:val="00862BC8"/>
    <w:rsid w:val="008634F2"/>
    <w:rsid w:val="00865033"/>
    <w:rsid w:val="00865066"/>
    <w:rsid w:val="00865FC4"/>
    <w:rsid w:val="008701F3"/>
    <w:rsid w:val="00870F83"/>
    <w:rsid w:val="00871E81"/>
    <w:rsid w:val="00871ECB"/>
    <w:rsid w:val="008729C8"/>
    <w:rsid w:val="00873A96"/>
    <w:rsid w:val="00874C51"/>
    <w:rsid w:val="00874DF3"/>
    <w:rsid w:val="00874E45"/>
    <w:rsid w:val="00875082"/>
    <w:rsid w:val="0087553D"/>
    <w:rsid w:val="00875673"/>
    <w:rsid w:val="00875997"/>
    <w:rsid w:val="008762A8"/>
    <w:rsid w:val="0087630B"/>
    <w:rsid w:val="00876A42"/>
    <w:rsid w:val="00876E60"/>
    <w:rsid w:val="008771E9"/>
    <w:rsid w:val="0087753F"/>
    <w:rsid w:val="0088004B"/>
    <w:rsid w:val="00880610"/>
    <w:rsid w:val="00881EC0"/>
    <w:rsid w:val="008821F6"/>
    <w:rsid w:val="0088236A"/>
    <w:rsid w:val="008825B5"/>
    <w:rsid w:val="00883B98"/>
    <w:rsid w:val="00883FF5"/>
    <w:rsid w:val="00884690"/>
    <w:rsid w:val="008857E4"/>
    <w:rsid w:val="00885965"/>
    <w:rsid w:val="008859BF"/>
    <w:rsid w:val="00885CFC"/>
    <w:rsid w:val="00885E7E"/>
    <w:rsid w:val="0088616A"/>
    <w:rsid w:val="008861C1"/>
    <w:rsid w:val="00886301"/>
    <w:rsid w:val="00886A9B"/>
    <w:rsid w:val="00890FEA"/>
    <w:rsid w:val="00891460"/>
    <w:rsid w:val="008914B4"/>
    <w:rsid w:val="008917E4"/>
    <w:rsid w:val="00891929"/>
    <w:rsid w:val="00891998"/>
    <w:rsid w:val="0089236D"/>
    <w:rsid w:val="00892CF4"/>
    <w:rsid w:val="00893253"/>
    <w:rsid w:val="00893559"/>
    <w:rsid w:val="00893C1F"/>
    <w:rsid w:val="008948E8"/>
    <w:rsid w:val="00894CB9"/>
    <w:rsid w:val="00895435"/>
    <w:rsid w:val="00895B6F"/>
    <w:rsid w:val="00895C96"/>
    <w:rsid w:val="0089635F"/>
    <w:rsid w:val="00896A10"/>
    <w:rsid w:val="00897928"/>
    <w:rsid w:val="008A1AEE"/>
    <w:rsid w:val="008A298F"/>
    <w:rsid w:val="008A2DE3"/>
    <w:rsid w:val="008A37FD"/>
    <w:rsid w:val="008A443E"/>
    <w:rsid w:val="008A4817"/>
    <w:rsid w:val="008A50FE"/>
    <w:rsid w:val="008A58EC"/>
    <w:rsid w:val="008A5B98"/>
    <w:rsid w:val="008A5CF8"/>
    <w:rsid w:val="008A5ECB"/>
    <w:rsid w:val="008A6151"/>
    <w:rsid w:val="008A6A50"/>
    <w:rsid w:val="008A6E51"/>
    <w:rsid w:val="008A782E"/>
    <w:rsid w:val="008B1D2F"/>
    <w:rsid w:val="008B3962"/>
    <w:rsid w:val="008B4BD1"/>
    <w:rsid w:val="008B68F2"/>
    <w:rsid w:val="008B6BE0"/>
    <w:rsid w:val="008B7CBD"/>
    <w:rsid w:val="008C0EDF"/>
    <w:rsid w:val="008C0F5C"/>
    <w:rsid w:val="008C15FB"/>
    <w:rsid w:val="008C1931"/>
    <w:rsid w:val="008C1C71"/>
    <w:rsid w:val="008C1FD2"/>
    <w:rsid w:val="008C1FE5"/>
    <w:rsid w:val="008C2FF2"/>
    <w:rsid w:val="008C60FF"/>
    <w:rsid w:val="008C7482"/>
    <w:rsid w:val="008D0744"/>
    <w:rsid w:val="008D0C0B"/>
    <w:rsid w:val="008D1B9E"/>
    <w:rsid w:val="008D1ED1"/>
    <w:rsid w:val="008D27FF"/>
    <w:rsid w:val="008D4738"/>
    <w:rsid w:val="008D4870"/>
    <w:rsid w:val="008D5FB5"/>
    <w:rsid w:val="008D6064"/>
    <w:rsid w:val="008D74E6"/>
    <w:rsid w:val="008D7F00"/>
    <w:rsid w:val="008E082A"/>
    <w:rsid w:val="008E0D8F"/>
    <w:rsid w:val="008E10CD"/>
    <w:rsid w:val="008E1E64"/>
    <w:rsid w:val="008E2F2E"/>
    <w:rsid w:val="008E43E1"/>
    <w:rsid w:val="008E47D0"/>
    <w:rsid w:val="008E47F3"/>
    <w:rsid w:val="008E5277"/>
    <w:rsid w:val="008F0BDD"/>
    <w:rsid w:val="008F0C50"/>
    <w:rsid w:val="008F0F26"/>
    <w:rsid w:val="008F1266"/>
    <w:rsid w:val="008F208E"/>
    <w:rsid w:val="008F25E3"/>
    <w:rsid w:val="008F28E1"/>
    <w:rsid w:val="008F2C12"/>
    <w:rsid w:val="008F3EDF"/>
    <w:rsid w:val="008F416E"/>
    <w:rsid w:val="008F4958"/>
    <w:rsid w:val="008F5192"/>
    <w:rsid w:val="008F5867"/>
    <w:rsid w:val="008F5E5B"/>
    <w:rsid w:val="008F6161"/>
    <w:rsid w:val="008F65EC"/>
    <w:rsid w:val="008F6947"/>
    <w:rsid w:val="008F6AD8"/>
    <w:rsid w:val="008F7A5B"/>
    <w:rsid w:val="008F7F77"/>
    <w:rsid w:val="009001CC"/>
    <w:rsid w:val="00900228"/>
    <w:rsid w:val="009002AB"/>
    <w:rsid w:val="00900743"/>
    <w:rsid w:val="009007AC"/>
    <w:rsid w:val="0090085B"/>
    <w:rsid w:val="009025AF"/>
    <w:rsid w:val="00902715"/>
    <w:rsid w:val="00902970"/>
    <w:rsid w:val="00902AC0"/>
    <w:rsid w:val="00902C04"/>
    <w:rsid w:val="0090316B"/>
    <w:rsid w:val="009038D9"/>
    <w:rsid w:val="00904B37"/>
    <w:rsid w:val="00904E6D"/>
    <w:rsid w:val="00905D54"/>
    <w:rsid w:val="0091064F"/>
    <w:rsid w:val="0091122B"/>
    <w:rsid w:val="00911BB9"/>
    <w:rsid w:val="00912067"/>
    <w:rsid w:val="0091300D"/>
    <w:rsid w:val="009130D9"/>
    <w:rsid w:val="009139EF"/>
    <w:rsid w:val="00913DCD"/>
    <w:rsid w:val="00913F56"/>
    <w:rsid w:val="00913FB0"/>
    <w:rsid w:val="0091442E"/>
    <w:rsid w:val="00915566"/>
    <w:rsid w:val="009157FC"/>
    <w:rsid w:val="00916232"/>
    <w:rsid w:val="00916362"/>
    <w:rsid w:val="00916B9E"/>
    <w:rsid w:val="00916FE7"/>
    <w:rsid w:val="009178BB"/>
    <w:rsid w:val="00920DBE"/>
    <w:rsid w:val="00923AE8"/>
    <w:rsid w:val="00923E70"/>
    <w:rsid w:val="009242B9"/>
    <w:rsid w:val="00924313"/>
    <w:rsid w:val="00924742"/>
    <w:rsid w:val="00924CC9"/>
    <w:rsid w:val="00924D2A"/>
    <w:rsid w:val="00924E1E"/>
    <w:rsid w:val="00925720"/>
    <w:rsid w:val="00925D46"/>
    <w:rsid w:val="00926212"/>
    <w:rsid w:val="00927A00"/>
    <w:rsid w:val="009309B1"/>
    <w:rsid w:val="00930E43"/>
    <w:rsid w:val="009316C8"/>
    <w:rsid w:val="009322EA"/>
    <w:rsid w:val="009323D1"/>
    <w:rsid w:val="00933108"/>
    <w:rsid w:val="009342E5"/>
    <w:rsid w:val="009350A6"/>
    <w:rsid w:val="009352C1"/>
    <w:rsid w:val="00935EC3"/>
    <w:rsid w:val="00936D70"/>
    <w:rsid w:val="00936D80"/>
    <w:rsid w:val="00940383"/>
    <w:rsid w:val="00940AF1"/>
    <w:rsid w:val="00940B74"/>
    <w:rsid w:val="0094205F"/>
    <w:rsid w:val="00943BBF"/>
    <w:rsid w:val="00944B0F"/>
    <w:rsid w:val="0094714B"/>
    <w:rsid w:val="009472FF"/>
    <w:rsid w:val="009474FC"/>
    <w:rsid w:val="009479B9"/>
    <w:rsid w:val="00947C1C"/>
    <w:rsid w:val="0095043A"/>
    <w:rsid w:val="0095155C"/>
    <w:rsid w:val="0095164B"/>
    <w:rsid w:val="009531FB"/>
    <w:rsid w:val="00954146"/>
    <w:rsid w:val="00954AA3"/>
    <w:rsid w:val="00954ECF"/>
    <w:rsid w:val="00955FA9"/>
    <w:rsid w:val="00956931"/>
    <w:rsid w:val="00957027"/>
    <w:rsid w:val="00960297"/>
    <w:rsid w:val="00960BFF"/>
    <w:rsid w:val="00960FA5"/>
    <w:rsid w:val="009617FB"/>
    <w:rsid w:val="00961C7B"/>
    <w:rsid w:val="00961D22"/>
    <w:rsid w:val="009629AF"/>
    <w:rsid w:val="00962A93"/>
    <w:rsid w:val="00962EA5"/>
    <w:rsid w:val="00963959"/>
    <w:rsid w:val="00963E8B"/>
    <w:rsid w:val="0096488E"/>
    <w:rsid w:val="0096493B"/>
    <w:rsid w:val="00965F92"/>
    <w:rsid w:val="00966BCD"/>
    <w:rsid w:val="0096701C"/>
    <w:rsid w:val="00970B8A"/>
    <w:rsid w:val="00970C2D"/>
    <w:rsid w:val="0097148C"/>
    <w:rsid w:val="00972DE4"/>
    <w:rsid w:val="00973135"/>
    <w:rsid w:val="00974974"/>
    <w:rsid w:val="00974ABC"/>
    <w:rsid w:val="00976554"/>
    <w:rsid w:val="00976707"/>
    <w:rsid w:val="009770E9"/>
    <w:rsid w:val="00977143"/>
    <w:rsid w:val="00977414"/>
    <w:rsid w:val="0097745F"/>
    <w:rsid w:val="009813CD"/>
    <w:rsid w:val="00983723"/>
    <w:rsid w:val="009842E7"/>
    <w:rsid w:val="00985F03"/>
    <w:rsid w:val="00990120"/>
    <w:rsid w:val="00990344"/>
    <w:rsid w:val="00991607"/>
    <w:rsid w:val="00991F07"/>
    <w:rsid w:val="00991F25"/>
    <w:rsid w:val="0099245E"/>
    <w:rsid w:val="00993713"/>
    <w:rsid w:val="009943F2"/>
    <w:rsid w:val="0099487C"/>
    <w:rsid w:val="00994BC2"/>
    <w:rsid w:val="00994BCE"/>
    <w:rsid w:val="00995199"/>
    <w:rsid w:val="00995B64"/>
    <w:rsid w:val="00995EEE"/>
    <w:rsid w:val="0099623F"/>
    <w:rsid w:val="009963A8"/>
    <w:rsid w:val="00997825"/>
    <w:rsid w:val="009A08B5"/>
    <w:rsid w:val="009A116D"/>
    <w:rsid w:val="009A17C0"/>
    <w:rsid w:val="009A20E6"/>
    <w:rsid w:val="009A3422"/>
    <w:rsid w:val="009A3761"/>
    <w:rsid w:val="009A37D1"/>
    <w:rsid w:val="009A390E"/>
    <w:rsid w:val="009A4075"/>
    <w:rsid w:val="009A4147"/>
    <w:rsid w:val="009A46EB"/>
    <w:rsid w:val="009A5480"/>
    <w:rsid w:val="009A5703"/>
    <w:rsid w:val="009A6453"/>
    <w:rsid w:val="009A746E"/>
    <w:rsid w:val="009B314C"/>
    <w:rsid w:val="009B38FA"/>
    <w:rsid w:val="009B3C8F"/>
    <w:rsid w:val="009B3D3C"/>
    <w:rsid w:val="009B489B"/>
    <w:rsid w:val="009B4DE3"/>
    <w:rsid w:val="009B5473"/>
    <w:rsid w:val="009B58C4"/>
    <w:rsid w:val="009B6073"/>
    <w:rsid w:val="009B6B3E"/>
    <w:rsid w:val="009B7327"/>
    <w:rsid w:val="009B78CA"/>
    <w:rsid w:val="009B7973"/>
    <w:rsid w:val="009B7D52"/>
    <w:rsid w:val="009C0270"/>
    <w:rsid w:val="009C0422"/>
    <w:rsid w:val="009C0573"/>
    <w:rsid w:val="009C0692"/>
    <w:rsid w:val="009C157C"/>
    <w:rsid w:val="009C35C1"/>
    <w:rsid w:val="009C3D2D"/>
    <w:rsid w:val="009C4D10"/>
    <w:rsid w:val="009C61E4"/>
    <w:rsid w:val="009C6426"/>
    <w:rsid w:val="009C680A"/>
    <w:rsid w:val="009C6AF1"/>
    <w:rsid w:val="009C71F6"/>
    <w:rsid w:val="009D03D3"/>
    <w:rsid w:val="009D045D"/>
    <w:rsid w:val="009D14BF"/>
    <w:rsid w:val="009D2F37"/>
    <w:rsid w:val="009D3BB1"/>
    <w:rsid w:val="009D3C0B"/>
    <w:rsid w:val="009D484D"/>
    <w:rsid w:val="009D5EDF"/>
    <w:rsid w:val="009D6458"/>
    <w:rsid w:val="009D651F"/>
    <w:rsid w:val="009D6983"/>
    <w:rsid w:val="009D69B7"/>
    <w:rsid w:val="009D6ECA"/>
    <w:rsid w:val="009D796A"/>
    <w:rsid w:val="009D7AE9"/>
    <w:rsid w:val="009E02BE"/>
    <w:rsid w:val="009E0B5B"/>
    <w:rsid w:val="009E1154"/>
    <w:rsid w:val="009E12FB"/>
    <w:rsid w:val="009E1330"/>
    <w:rsid w:val="009E1599"/>
    <w:rsid w:val="009E2CB6"/>
    <w:rsid w:val="009E2F0F"/>
    <w:rsid w:val="009E2FDB"/>
    <w:rsid w:val="009E338C"/>
    <w:rsid w:val="009E37E9"/>
    <w:rsid w:val="009E3C91"/>
    <w:rsid w:val="009E463E"/>
    <w:rsid w:val="009E4D7E"/>
    <w:rsid w:val="009E5D68"/>
    <w:rsid w:val="009E61A9"/>
    <w:rsid w:val="009E6630"/>
    <w:rsid w:val="009E6657"/>
    <w:rsid w:val="009E6BFB"/>
    <w:rsid w:val="009F1128"/>
    <w:rsid w:val="009F1C79"/>
    <w:rsid w:val="009F1EC8"/>
    <w:rsid w:val="009F36AD"/>
    <w:rsid w:val="009F3ED9"/>
    <w:rsid w:val="009F3F66"/>
    <w:rsid w:val="009F4E7D"/>
    <w:rsid w:val="00A0000D"/>
    <w:rsid w:val="00A00339"/>
    <w:rsid w:val="00A006FD"/>
    <w:rsid w:val="00A01379"/>
    <w:rsid w:val="00A025C5"/>
    <w:rsid w:val="00A031FB"/>
    <w:rsid w:val="00A041BD"/>
    <w:rsid w:val="00A04688"/>
    <w:rsid w:val="00A04978"/>
    <w:rsid w:val="00A0551D"/>
    <w:rsid w:val="00A0636F"/>
    <w:rsid w:val="00A074BE"/>
    <w:rsid w:val="00A0753E"/>
    <w:rsid w:val="00A10A3D"/>
    <w:rsid w:val="00A11244"/>
    <w:rsid w:val="00A114CA"/>
    <w:rsid w:val="00A11F7F"/>
    <w:rsid w:val="00A1290D"/>
    <w:rsid w:val="00A12B69"/>
    <w:rsid w:val="00A12C6B"/>
    <w:rsid w:val="00A13079"/>
    <w:rsid w:val="00A13667"/>
    <w:rsid w:val="00A13C58"/>
    <w:rsid w:val="00A152FA"/>
    <w:rsid w:val="00A15891"/>
    <w:rsid w:val="00A15B1B"/>
    <w:rsid w:val="00A17012"/>
    <w:rsid w:val="00A20EA6"/>
    <w:rsid w:val="00A21D57"/>
    <w:rsid w:val="00A22BFE"/>
    <w:rsid w:val="00A22DBB"/>
    <w:rsid w:val="00A245A4"/>
    <w:rsid w:val="00A26D42"/>
    <w:rsid w:val="00A274BA"/>
    <w:rsid w:val="00A276CE"/>
    <w:rsid w:val="00A324B1"/>
    <w:rsid w:val="00A32E06"/>
    <w:rsid w:val="00A32E6B"/>
    <w:rsid w:val="00A3423D"/>
    <w:rsid w:val="00A342D6"/>
    <w:rsid w:val="00A342EF"/>
    <w:rsid w:val="00A343B0"/>
    <w:rsid w:val="00A34EB4"/>
    <w:rsid w:val="00A35547"/>
    <w:rsid w:val="00A35C8D"/>
    <w:rsid w:val="00A36302"/>
    <w:rsid w:val="00A36C6A"/>
    <w:rsid w:val="00A37967"/>
    <w:rsid w:val="00A41108"/>
    <w:rsid w:val="00A42252"/>
    <w:rsid w:val="00A42532"/>
    <w:rsid w:val="00A42603"/>
    <w:rsid w:val="00A4347B"/>
    <w:rsid w:val="00A438F6"/>
    <w:rsid w:val="00A439DB"/>
    <w:rsid w:val="00A446B5"/>
    <w:rsid w:val="00A44878"/>
    <w:rsid w:val="00A44E15"/>
    <w:rsid w:val="00A46A6B"/>
    <w:rsid w:val="00A4752B"/>
    <w:rsid w:val="00A47D2F"/>
    <w:rsid w:val="00A47DA6"/>
    <w:rsid w:val="00A52681"/>
    <w:rsid w:val="00A5391E"/>
    <w:rsid w:val="00A53E30"/>
    <w:rsid w:val="00A542E8"/>
    <w:rsid w:val="00A5451D"/>
    <w:rsid w:val="00A54991"/>
    <w:rsid w:val="00A55A3E"/>
    <w:rsid w:val="00A55A91"/>
    <w:rsid w:val="00A56519"/>
    <w:rsid w:val="00A566AB"/>
    <w:rsid w:val="00A60232"/>
    <w:rsid w:val="00A60B94"/>
    <w:rsid w:val="00A60DD0"/>
    <w:rsid w:val="00A61257"/>
    <w:rsid w:val="00A62808"/>
    <w:rsid w:val="00A64CB9"/>
    <w:rsid w:val="00A677A3"/>
    <w:rsid w:val="00A7151C"/>
    <w:rsid w:val="00A71937"/>
    <w:rsid w:val="00A71ADC"/>
    <w:rsid w:val="00A71C1D"/>
    <w:rsid w:val="00A725B0"/>
    <w:rsid w:val="00A72DBC"/>
    <w:rsid w:val="00A72DFE"/>
    <w:rsid w:val="00A73693"/>
    <w:rsid w:val="00A73CF2"/>
    <w:rsid w:val="00A73F3C"/>
    <w:rsid w:val="00A745BD"/>
    <w:rsid w:val="00A74ADC"/>
    <w:rsid w:val="00A75500"/>
    <w:rsid w:val="00A755CC"/>
    <w:rsid w:val="00A76440"/>
    <w:rsid w:val="00A76BB4"/>
    <w:rsid w:val="00A772EE"/>
    <w:rsid w:val="00A77480"/>
    <w:rsid w:val="00A80268"/>
    <w:rsid w:val="00A81420"/>
    <w:rsid w:val="00A81C21"/>
    <w:rsid w:val="00A81E89"/>
    <w:rsid w:val="00A822C1"/>
    <w:rsid w:val="00A82B93"/>
    <w:rsid w:val="00A82E94"/>
    <w:rsid w:val="00A82FEC"/>
    <w:rsid w:val="00A83974"/>
    <w:rsid w:val="00A842A1"/>
    <w:rsid w:val="00A842CB"/>
    <w:rsid w:val="00A84580"/>
    <w:rsid w:val="00A847FC"/>
    <w:rsid w:val="00A9054C"/>
    <w:rsid w:val="00A909A6"/>
    <w:rsid w:val="00A90BFC"/>
    <w:rsid w:val="00A913D1"/>
    <w:rsid w:val="00A91DE7"/>
    <w:rsid w:val="00A92028"/>
    <w:rsid w:val="00A92A77"/>
    <w:rsid w:val="00A93296"/>
    <w:rsid w:val="00A93427"/>
    <w:rsid w:val="00A93793"/>
    <w:rsid w:val="00A93FEF"/>
    <w:rsid w:val="00A94159"/>
    <w:rsid w:val="00A942D4"/>
    <w:rsid w:val="00A946E6"/>
    <w:rsid w:val="00A94810"/>
    <w:rsid w:val="00A9499D"/>
    <w:rsid w:val="00A95064"/>
    <w:rsid w:val="00A9570F"/>
    <w:rsid w:val="00A95EF4"/>
    <w:rsid w:val="00A96D5B"/>
    <w:rsid w:val="00A97162"/>
    <w:rsid w:val="00A973C2"/>
    <w:rsid w:val="00A97650"/>
    <w:rsid w:val="00A9787C"/>
    <w:rsid w:val="00A97ECB"/>
    <w:rsid w:val="00AA04B4"/>
    <w:rsid w:val="00AA0697"/>
    <w:rsid w:val="00AA0E67"/>
    <w:rsid w:val="00AA16A4"/>
    <w:rsid w:val="00AA1771"/>
    <w:rsid w:val="00AA1838"/>
    <w:rsid w:val="00AA1948"/>
    <w:rsid w:val="00AA1A15"/>
    <w:rsid w:val="00AA23FD"/>
    <w:rsid w:val="00AA2AD9"/>
    <w:rsid w:val="00AA430E"/>
    <w:rsid w:val="00AA4661"/>
    <w:rsid w:val="00AA48E0"/>
    <w:rsid w:val="00AA5B73"/>
    <w:rsid w:val="00AA60BD"/>
    <w:rsid w:val="00AA62EB"/>
    <w:rsid w:val="00AA6CFD"/>
    <w:rsid w:val="00AA71DF"/>
    <w:rsid w:val="00AA72C9"/>
    <w:rsid w:val="00AA74BB"/>
    <w:rsid w:val="00AA7948"/>
    <w:rsid w:val="00AB0678"/>
    <w:rsid w:val="00AB1834"/>
    <w:rsid w:val="00AB20FD"/>
    <w:rsid w:val="00AB21F3"/>
    <w:rsid w:val="00AB2567"/>
    <w:rsid w:val="00AB29CD"/>
    <w:rsid w:val="00AB2A29"/>
    <w:rsid w:val="00AB2A87"/>
    <w:rsid w:val="00AB2B85"/>
    <w:rsid w:val="00AB320E"/>
    <w:rsid w:val="00AB393B"/>
    <w:rsid w:val="00AB4030"/>
    <w:rsid w:val="00AB439C"/>
    <w:rsid w:val="00AB4E45"/>
    <w:rsid w:val="00AB5A31"/>
    <w:rsid w:val="00AB6C68"/>
    <w:rsid w:val="00AB7196"/>
    <w:rsid w:val="00AB74CA"/>
    <w:rsid w:val="00AB7A2C"/>
    <w:rsid w:val="00AC0C44"/>
    <w:rsid w:val="00AC182B"/>
    <w:rsid w:val="00AC2B6D"/>
    <w:rsid w:val="00AC2D9B"/>
    <w:rsid w:val="00AC37D8"/>
    <w:rsid w:val="00AC416B"/>
    <w:rsid w:val="00AC48CC"/>
    <w:rsid w:val="00AC4D2E"/>
    <w:rsid w:val="00AC5F9B"/>
    <w:rsid w:val="00AC6A88"/>
    <w:rsid w:val="00AC74EA"/>
    <w:rsid w:val="00AC7E62"/>
    <w:rsid w:val="00AD1AE8"/>
    <w:rsid w:val="00AD20DD"/>
    <w:rsid w:val="00AD3304"/>
    <w:rsid w:val="00AD3AC3"/>
    <w:rsid w:val="00AD4686"/>
    <w:rsid w:val="00AD48F7"/>
    <w:rsid w:val="00AD4F25"/>
    <w:rsid w:val="00AD541C"/>
    <w:rsid w:val="00AD60E8"/>
    <w:rsid w:val="00AD6A35"/>
    <w:rsid w:val="00AD6FD4"/>
    <w:rsid w:val="00AD7187"/>
    <w:rsid w:val="00AD7680"/>
    <w:rsid w:val="00AE0127"/>
    <w:rsid w:val="00AE0EF2"/>
    <w:rsid w:val="00AE16A7"/>
    <w:rsid w:val="00AE1ACB"/>
    <w:rsid w:val="00AE1DC7"/>
    <w:rsid w:val="00AE245F"/>
    <w:rsid w:val="00AE24CA"/>
    <w:rsid w:val="00AE50CC"/>
    <w:rsid w:val="00AE7483"/>
    <w:rsid w:val="00AE7B07"/>
    <w:rsid w:val="00AF0857"/>
    <w:rsid w:val="00AF098D"/>
    <w:rsid w:val="00AF0B3E"/>
    <w:rsid w:val="00AF1519"/>
    <w:rsid w:val="00AF15DA"/>
    <w:rsid w:val="00AF2157"/>
    <w:rsid w:val="00AF2C7E"/>
    <w:rsid w:val="00AF3CF1"/>
    <w:rsid w:val="00AF4243"/>
    <w:rsid w:val="00AF4B84"/>
    <w:rsid w:val="00AF54A1"/>
    <w:rsid w:val="00AF6913"/>
    <w:rsid w:val="00AF6F49"/>
    <w:rsid w:val="00AF6FE2"/>
    <w:rsid w:val="00AF7DEB"/>
    <w:rsid w:val="00B00739"/>
    <w:rsid w:val="00B00B07"/>
    <w:rsid w:val="00B00BB1"/>
    <w:rsid w:val="00B014D3"/>
    <w:rsid w:val="00B017F4"/>
    <w:rsid w:val="00B01DD5"/>
    <w:rsid w:val="00B01EDB"/>
    <w:rsid w:val="00B02342"/>
    <w:rsid w:val="00B037CF"/>
    <w:rsid w:val="00B04406"/>
    <w:rsid w:val="00B052F7"/>
    <w:rsid w:val="00B05603"/>
    <w:rsid w:val="00B07384"/>
    <w:rsid w:val="00B07F40"/>
    <w:rsid w:val="00B11704"/>
    <w:rsid w:val="00B11D3A"/>
    <w:rsid w:val="00B12162"/>
    <w:rsid w:val="00B12E6A"/>
    <w:rsid w:val="00B13A8A"/>
    <w:rsid w:val="00B145E6"/>
    <w:rsid w:val="00B1461C"/>
    <w:rsid w:val="00B15815"/>
    <w:rsid w:val="00B171FA"/>
    <w:rsid w:val="00B1724D"/>
    <w:rsid w:val="00B20321"/>
    <w:rsid w:val="00B20BB0"/>
    <w:rsid w:val="00B212EC"/>
    <w:rsid w:val="00B21785"/>
    <w:rsid w:val="00B22898"/>
    <w:rsid w:val="00B23300"/>
    <w:rsid w:val="00B2368C"/>
    <w:rsid w:val="00B238E0"/>
    <w:rsid w:val="00B24CB4"/>
    <w:rsid w:val="00B2655A"/>
    <w:rsid w:val="00B27F6E"/>
    <w:rsid w:val="00B304DD"/>
    <w:rsid w:val="00B30509"/>
    <w:rsid w:val="00B30F40"/>
    <w:rsid w:val="00B314A2"/>
    <w:rsid w:val="00B31B8B"/>
    <w:rsid w:val="00B31EE8"/>
    <w:rsid w:val="00B32626"/>
    <w:rsid w:val="00B32B93"/>
    <w:rsid w:val="00B32C11"/>
    <w:rsid w:val="00B35830"/>
    <w:rsid w:val="00B35BB0"/>
    <w:rsid w:val="00B35BD1"/>
    <w:rsid w:val="00B36A7C"/>
    <w:rsid w:val="00B373F0"/>
    <w:rsid w:val="00B374EF"/>
    <w:rsid w:val="00B379E2"/>
    <w:rsid w:val="00B37ADF"/>
    <w:rsid w:val="00B37C26"/>
    <w:rsid w:val="00B37F8E"/>
    <w:rsid w:val="00B40094"/>
    <w:rsid w:val="00B400A7"/>
    <w:rsid w:val="00B400C8"/>
    <w:rsid w:val="00B4320F"/>
    <w:rsid w:val="00B437E8"/>
    <w:rsid w:val="00B4389E"/>
    <w:rsid w:val="00B44387"/>
    <w:rsid w:val="00B456B0"/>
    <w:rsid w:val="00B45BEC"/>
    <w:rsid w:val="00B45EBD"/>
    <w:rsid w:val="00B46E4E"/>
    <w:rsid w:val="00B50722"/>
    <w:rsid w:val="00B52B0A"/>
    <w:rsid w:val="00B5328D"/>
    <w:rsid w:val="00B53493"/>
    <w:rsid w:val="00B54D95"/>
    <w:rsid w:val="00B55137"/>
    <w:rsid w:val="00B563D1"/>
    <w:rsid w:val="00B567B1"/>
    <w:rsid w:val="00B57BDF"/>
    <w:rsid w:val="00B62932"/>
    <w:rsid w:val="00B62D75"/>
    <w:rsid w:val="00B630F5"/>
    <w:rsid w:val="00B63AA3"/>
    <w:rsid w:val="00B63F18"/>
    <w:rsid w:val="00B64176"/>
    <w:rsid w:val="00B6471B"/>
    <w:rsid w:val="00B64B2A"/>
    <w:rsid w:val="00B65B70"/>
    <w:rsid w:val="00B65DD7"/>
    <w:rsid w:val="00B6608F"/>
    <w:rsid w:val="00B668FE"/>
    <w:rsid w:val="00B679A4"/>
    <w:rsid w:val="00B712A2"/>
    <w:rsid w:val="00B718E0"/>
    <w:rsid w:val="00B71B60"/>
    <w:rsid w:val="00B738C7"/>
    <w:rsid w:val="00B73CE9"/>
    <w:rsid w:val="00B745B2"/>
    <w:rsid w:val="00B74986"/>
    <w:rsid w:val="00B74AEA"/>
    <w:rsid w:val="00B74BCD"/>
    <w:rsid w:val="00B74CC5"/>
    <w:rsid w:val="00B7561A"/>
    <w:rsid w:val="00B75A45"/>
    <w:rsid w:val="00B75CDE"/>
    <w:rsid w:val="00B75CE1"/>
    <w:rsid w:val="00B75D42"/>
    <w:rsid w:val="00B76C27"/>
    <w:rsid w:val="00B776A3"/>
    <w:rsid w:val="00B7787A"/>
    <w:rsid w:val="00B80509"/>
    <w:rsid w:val="00B813E2"/>
    <w:rsid w:val="00B81CC4"/>
    <w:rsid w:val="00B824FE"/>
    <w:rsid w:val="00B82D32"/>
    <w:rsid w:val="00B831D5"/>
    <w:rsid w:val="00B84C47"/>
    <w:rsid w:val="00B84D17"/>
    <w:rsid w:val="00B85F05"/>
    <w:rsid w:val="00B8624D"/>
    <w:rsid w:val="00B86670"/>
    <w:rsid w:val="00B8699B"/>
    <w:rsid w:val="00B86A34"/>
    <w:rsid w:val="00B8739A"/>
    <w:rsid w:val="00B87A36"/>
    <w:rsid w:val="00B87B76"/>
    <w:rsid w:val="00B87CC4"/>
    <w:rsid w:val="00B9009C"/>
    <w:rsid w:val="00B900E8"/>
    <w:rsid w:val="00B90360"/>
    <w:rsid w:val="00B90653"/>
    <w:rsid w:val="00B91D3C"/>
    <w:rsid w:val="00B9235D"/>
    <w:rsid w:val="00B93B92"/>
    <w:rsid w:val="00B94474"/>
    <w:rsid w:val="00B9477C"/>
    <w:rsid w:val="00B947B8"/>
    <w:rsid w:val="00B94951"/>
    <w:rsid w:val="00B95C71"/>
    <w:rsid w:val="00B97F9E"/>
    <w:rsid w:val="00BA110E"/>
    <w:rsid w:val="00BA15E8"/>
    <w:rsid w:val="00BA1DC8"/>
    <w:rsid w:val="00BA2072"/>
    <w:rsid w:val="00BA222E"/>
    <w:rsid w:val="00BA3DAD"/>
    <w:rsid w:val="00BA46D1"/>
    <w:rsid w:val="00BA4DC8"/>
    <w:rsid w:val="00BA50A6"/>
    <w:rsid w:val="00BA562F"/>
    <w:rsid w:val="00BA57BE"/>
    <w:rsid w:val="00BA59D1"/>
    <w:rsid w:val="00BA774A"/>
    <w:rsid w:val="00BB0EF1"/>
    <w:rsid w:val="00BB11AB"/>
    <w:rsid w:val="00BB15D1"/>
    <w:rsid w:val="00BB1745"/>
    <w:rsid w:val="00BB241D"/>
    <w:rsid w:val="00BB2847"/>
    <w:rsid w:val="00BB2F45"/>
    <w:rsid w:val="00BB35D2"/>
    <w:rsid w:val="00BB3BAC"/>
    <w:rsid w:val="00BB3BB6"/>
    <w:rsid w:val="00BB3C9C"/>
    <w:rsid w:val="00BB3FB4"/>
    <w:rsid w:val="00BB4EC6"/>
    <w:rsid w:val="00BB57C4"/>
    <w:rsid w:val="00BB6D40"/>
    <w:rsid w:val="00BB781C"/>
    <w:rsid w:val="00BC07BE"/>
    <w:rsid w:val="00BC0EA0"/>
    <w:rsid w:val="00BC0FF3"/>
    <w:rsid w:val="00BC10A6"/>
    <w:rsid w:val="00BC124F"/>
    <w:rsid w:val="00BC158D"/>
    <w:rsid w:val="00BC1D08"/>
    <w:rsid w:val="00BC1DD6"/>
    <w:rsid w:val="00BC35D4"/>
    <w:rsid w:val="00BC4374"/>
    <w:rsid w:val="00BC4542"/>
    <w:rsid w:val="00BC4E94"/>
    <w:rsid w:val="00BC51A0"/>
    <w:rsid w:val="00BC539D"/>
    <w:rsid w:val="00BC64BA"/>
    <w:rsid w:val="00BC7AB8"/>
    <w:rsid w:val="00BD1124"/>
    <w:rsid w:val="00BD26ED"/>
    <w:rsid w:val="00BD3745"/>
    <w:rsid w:val="00BD45FD"/>
    <w:rsid w:val="00BD540D"/>
    <w:rsid w:val="00BD7096"/>
    <w:rsid w:val="00BD7188"/>
    <w:rsid w:val="00BD7BD8"/>
    <w:rsid w:val="00BD7C0B"/>
    <w:rsid w:val="00BE1328"/>
    <w:rsid w:val="00BE15E9"/>
    <w:rsid w:val="00BE1BA8"/>
    <w:rsid w:val="00BE3298"/>
    <w:rsid w:val="00BE48DF"/>
    <w:rsid w:val="00BE4B97"/>
    <w:rsid w:val="00BE5128"/>
    <w:rsid w:val="00BE5340"/>
    <w:rsid w:val="00BE5802"/>
    <w:rsid w:val="00BE5C7A"/>
    <w:rsid w:val="00BE618B"/>
    <w:rsid w:val="00BE72CE"/>
    <w:rsid w:val="00BE787E"/>
    <w:rsid w:val="00BE78CE"/>
    <w:rsid w:val="00BF040A"/>
    <w:rsid w:val="00BF1466"/>
    <w:rsid w:val="00BF171E"/>
    <w:rsid w:val="00BF1725"/>
    <w:rsid w:val="00BF17A1"/>
    <w:rsid w:val="00BF23FA"/>
    <w:rsid w:val="00BF2E17"/>
    <w:rsid w:val="00BF3C75"/>
    <w:rsid w:val="00BF4B0D"/>
    <w:rsid w:val="00BF580B"/>
    <w:rsid w:val="00BF5918"/>
    <w:rsid w:val="00BF5DFE"/>
    <w:rsid w:val="00BF68E6"/>
    <w:rsid w:val="00BF6AF1"/>
    <w:rsid w:val="00BF7272"/>
    <w:rsid w:val="00BF7726"/>
    <w:rsid w:val="00BF7BF8"/>
    <w:rsid w:val="00C0016B"/>
    <w:rsid w:val="00C0102F"/>
    <w:rsid w:val="00C014D0"/>
    <w:rsid w:val="00C0176D"/>
    <w:rsid w:val="00C01DD0"/>
    <w:rsid w:val="00C0226D"/>
    <w:rsid w:val="00C02F97"/>
    <w:rsid w:val="00C0370A"/>
    <w:rsid w:val="00C0437D"/>
    <w:rsid w:val="00C04670"/>
    <w:rsid w:val="00C048D4"/>
    <w:rsid w:val="00C049CF"/>
    <w:rsid w:val="00C04DA9"/>
    <w:rsid w:val="00C04E62"/>
    <w:rsid w:val="00C0511A"/>
    <w:rsid w:val="00C057E3"/>
    <w:rsid w:val="00C05AE4"/>
    <w:rsid w:val="00C05AFF"/>
    <w:rsid w:val="00C06188"/>
    <w:rsid w:val="00C06B78"/>
    <w:rsid w:val="00C07250"/>
    <w:rsid w:val="00C07FC8"/>
    <w:rsid w:val="00C10213"/>
    <w:rsid w:val="00C1084D"/>
    <w:rsid w:val="00C10CCA"/>
    <w:rsid w:val="00C10EE3"/>
    <w:rsid w:val="00C11EB9"/>
    <w:rsid w:val="00C12B8D"/>
    <w:rsid w:val="00C1326B"/>
    <w:rsid w:val="00C1420D"/>
    <w:rsid w:val="00C155D6"/>
    <w:rsid w:val="00C15A37"/>
    <w:rsid w:val="00C15E02"/>
    <w:rsid w:val="00C168CC"/>
    <w:rsid w:val="00C16E7E"/>
    <w:rsid w:val="00C17508"/>
    <w:rsid w:val="00C20A0D"/>
    <w:rsid w:val="00C21042"/>
    <w:rsid w:val="00C21245"/>
    <w:rsid w:val="00C24116"/>
    <w:rsid w:val="00C2477E"/>
    <w:rsid w:val="00C24BE9"/>
    <w:rsid w:val="00C26EAB"/>
    <w:rsid w:val="00C272BE"/>
    <w:rsid w:val="00C27C47"/>
    <w:rsid w:val="00C27F7E"/>
    <w:rsid w:val="00C306E9"/>
    <w:rsid w:val="00C30F36"/>
    <w:rsid w:val="00C310B5"/>
    <w:rsid w:val="00C3207B"/>
    <w:rsid w:val="00C32357"/>
    <w:rsid w:val="00C32862"/>
    <w:rsid w:val="00C33668"/>
    <w:rsid w:val="00C339D2"/>
    <w:rsid w:val="00C34BF0"/>
    <w:rsid w:val="00C35230"/>
    <w:rsid w:val="00C3674F"/>
    <w:rsid w:val="00C36F79"/>
    <w:rsid w:val="00C37D49"/>
    <w:rsid w:val="00C40478"/>
    <w:rsid w:val="00C405C8"/>
    <w:rsid w:val="00C42256"/>
    <w:rsid w:val="00C42859"/>
    <w:rsid w:val="00C43AA8"/>
    <w:rsid w:val="00C44956"/>
    <w:rsid w:val="00C4516E"/>
    <w:rsid w:val="00C45295"/>
    <w:rsid w:val="00C466C3"/>
    <w:rsid w:val="00C47E9A"/>
    <w:rsid w:val="00C47F27"/>
    <w:rsid w:val="00C5015B"/>
    <w:rsid w:val="00C50598"/>
    <w:rsid w:val="00C507AE"/>
    <w:rsid w:val="00C511BC"/>
    <w:rsid w:val="00C51322"/>
    <w:rsid w:val="00C515C6"/>
    <w:rsid w:val="00C518AE"/>
    <w:rsid w:val="00C5266F"/>
    <w:rsid w:val="00C52750"/>
    <w:rsid w:val="00C5288E"/>
    <w:rsid w:val="00C52AAB"/>
    <w:rsid w:val="00C539DE"/>
    <w:rsid w:val="00C53A1E"/>
    <w:rsid w:val="00C541AC"/>
    <w:rsid w:val="00C55EEF"/>
    <w:rsid w:val="00C57908"/>
    <w:rsid w:val="00C60661"/>
    <w:rsid w:val="00C606E0"/>
    <w:rsid w:val="00C60A29"/>
    <w:rsid w:val="00C60B88"/>
    <w:rsid w:val="00C61063"/>
    <w:rsid w:val="00C61626"/>
    <w:rsid w:val="00C628D3"/>
    <w:rsid w:val="00C62FEC"/>
    <w:rsid w:val="00C63030"/>
    <w:rsid w:val="00C6309D"/>
    <w:rsid w:val="00C64D07"/>
    <w:rsid w:val="00C64DF7"/>
    <w:rsid w:val="00C65C56"/>
    <w:rsid w:val="00C663F0"/>
    <w:rsid w:val="00C66529"/>
    <w:rsid w:val="00C70BC6"/>
    <w:rsid w:val="00C7140A"/>
    <w:rsid w:val="00C71523"/>
    <w:rsid w:val="00C71803"/>
    <w:rsid w:val="00C71A84"/>
    <w:rsid w:val="00C72592"/>
    <w:rsid w:val="00C725B5"/>
    <w:rsid w:val="00C729D7"/>
    <w:rsid w:val="00C72EE9"/>
    <w:rsid w:val="00C730CF"/>
    <w:rsid w:val="00C73271"/>
    <w:rsid w:val="00C733B4"/>
    <w:rsid w:val="00C741AF"/>
    <w:rsid w:val="00C74956"/>
    <w:rsid w:val="00C74F0D"/>
    <w:rsid w:val="00C756F3"/>
    <w:rsid w:val="00C75C96"/>
    <w:rsid w:val="00C761B8"/>
    <w:rsid w:val="00C76BC7"/>
    <w:rsid w:val="00C76FE4"/>
    <w:rsid w:val="00C771E3"/>
    <w:rsid w:val="00C80343"/>
    <w:rsid w:val="00C81291"/>
    <w:rsid w:val="00C815DE"/>
    <w:rsid w:val="00C81F8D"/>
    <w:rsid w:val="00C82450"/>
    <w:rsid w:val="00C82C51"/>
    <w:rsid w:val="00C83B8A"/>
    <w:rsid w:val="00C840D3"/>
    <w:rsid w:val="00C8435A"/>
    <w:rsid w:val="00C84ACC"/>
    <w:rsid w:val="00C85572"/>
    <w:rsid w:val="00C856E6"/>
    <w:rsid w:val="00C865C4"/>
    <w:rsid w:val="00C865F0"/>
    <w:rsid w:val="00C8780A"/>
    <w:rsid w:val="00C87914"/>
    <w:rsid w:val="00C87E90"/>
    <w:rsid w:val="00C906DF"/>
    <w:rsid w:val="00C917D5"/>
    <w:rsid w:val="00C920BE"/>
    <w:rsid w:val="00C921EC"/>
    <w:rsid w:val="00C92238"/>
    <w:rsid w:val="00C92DA8"/>
    <w:rsid w:val="00C93183"/>
    <w:rsid w:val="00C93710"/>
    <w:rsid w:val="00C9465D"/>
    <w:rsid w:val="00C949BE"/>
    <w:rsid w:val="00C94D4B"/>
    <w:rsid w:val="00C94DB0"/>
    <w:rsid w:val="00C95A9E"/>
    <w:rsid w:val="00C962A7"/>
    <w:rsid w:val="00C968C4"/>
    <w:rsid w:val="00C96B2F"/>
    <w:rsid w:val="00C971EC"/>
    <w:rsid w:val="00C979AB"/>
    <w:rsid w:val="00CA03E9"/>
    <w:rsid w:val="00CA093C"/>
    <w:rsid w:val="00CA0EBD"/>
    <w:rsid w:val="00CA13FF"/>
    <w:rsid w:val="00CA1572"/>
    <w:rsid w:val="00CA18E6"/>
    <w:rsid w:val="00CA18F1"/>
    <w:rsid w:val="00CA1A98"/>
    <w:rsid w:val="00CA1BA7"/>
    <w:rsid w:val="00CA213E"/>
    <w:rsid w:val="00CA2984"/>
    <w:rsid w:val="00CA3110"/>
    <w:rsid w:val="00CA35D5"/>
    <w:rsid w:val="00CA35F2"/>
    <w:rsid w:val="00CA40D5"/>
    <w:rsid w:val="00CA4BA2"/>
    <w:rsid w:val="00CA4BF5"/>
    <w:rsid w:val="00CA4C1B"/>
    <w:rsid w:val="00CA540E"/>
    <w:rsid w:val="00CA5A38"/>
    <w:rsid w:val="00CA5C6A"/>
    <w:rsid w:val="00CA5CBD"/>
    <w:rsid w:val="00CA648B"/>
    <w:rsid w:val="00CA64A4"/>
    <w:rsid w:val="00CA6E06"/>
    <w:rsid w:val="00CA7832"/>
    <w:rsid w:val="00CB017D"/>
    <w:rsid w:val="00CB01E5"/>
    <w:rsid w:val="00CB0262"/>
    <w:rsid w:val="00CB0A37"/>
    <w:rsid w:val="00CB0D56"/>
    <w:rsid w:val="00CB2129"/>
    <w:rsid w:val="00CB29EA"/>
    <w:rsid w:val="00CB310D"/>
    <w:rsid w:val="00CB33E9"/>
    <w:rsid w:val="00CB497E"/>
    <w:rsid w:val="00CB4D0D"/>
    <w:rsid w:val="00CB5B79"/>
    <w:rsid w:val="00CB5E2E"/>
    <w:rsid w:val="00CB6298"/>
    <w:rsid w:val="00CB7CB4"/>
    <w:rsid w:val="00CC0D44"/>
    <w:rsid w:val="00CC0FEC"/>
    <w:rsid w:val="00CC1FA8"/>
    <w:rsid w:val="00CC2F14"/>
    <w:rsid w:val="00CC53E8"/>
    <w:rsid w:val="00CC5ACE"/>
    <w:rsid w:val="00CC6C17"/>
    <w:rsid w:val="00CC7826"/>
    <w:rsid w:val="00CC7A2D"/>
    <w:rsid w:val="00CC7C32"/>
    <w:rsid w:val="00CD159B"/>
    <w:rsid w:val="00CD18E4"/>
    <w:rsid w:val="00CD1AAE"/>
    <w:rsid w:val="00CD2DCC"/>
    <w:rsid w:val="00CD2DE4"/>
    <w:rsid w:val="00CD3ABE"/>
    <w:rsid w:val="00CD4601"/>
    <w:rsid w:val="00CD47CB"/>
    <w:rsid w:val="00CD5057"/>
    <w:rsid w:val="00CD6701"/>
    <w:rsid w:val="00CD6E1E"/>
    <w:rsid w:val="00CD7A7F"/>
    <w:rsid w:val="00CD7DC4"/>
    <w:rsid w:val="00CD7E95"/>
    <w:rsid w:val="00CE06C9"/>
    <w:rsid w:val="00CE0918"/>
    <w:rsid w:val="00CE1721"/>
    <w:rsid w:val="00CE17A2"/>
    <w:rsid w:val="00CE24AC"/>
    <w:rsid w:val="00CE3D3C"/>
    <w:rsid w:val="00CE3D9E"/>
    <w:rsid w:val="00CE3E85"/>
    <w:rsid w:val="00CE3EF5"/>
    <w:rsid w:val="00CE49F5"/>
    <w:rsid w:val="00CE50D2"/>
    <w:rsid w:val="00CE5C80"/>
    <w:rsid w:val="00CE6871"/>
    <w:rsid w:val="00CE7529"/>
    <w:rsid w:val="00CE78FB"/>
    <w:rsid w:val="00CF0060"/>
    <w:rsid w:val="00CF00D1"/>
    <w:rsid w:val="00CF2016"/>
    <w:rsid w:val="00CF21E8"/>
    <w:rsid w:val="00CF341E"/>
    <w:rsid w:val="00CF3FE8"/>
    <w:rsid w:val="00CF46EF"/>
    <w:rsid w:val="00CF5483"/>
    <w:rsid w:val="00CF6F1C"/>
    <w:rsid w:val="00D00F53"/>
    <w:rsid w:val="00D01F94"/>
    <w:rsid w:val="00D024C7"/>
    <w:rsid w:val="00D02E86"/>
    <w:rsid w:val="00D03F9C"/>
    <w:rsid w:val="00D046A1"/>
    <w:rsid w:val="00D05161"/>
    <w:rsid w:val="00D054C3"/>
    <w:rsid w:val="00D05DF6"/>
    <w:rsid w:val="00D06934"/>
    <w:rsid w:val="00D06CA2"/>
    <w:rsid w:val="00D06D17"/>
    <w:rsid w:val="00D07D5A"/>
    <w:rsid w:val="00D11038"/>
    <w:rsid w:val="00D1197E"/>
    <w:rsid w:val="00D11F7E"/>
    <w:rsid w:val="00D1223B"/>
    <w:rsid w:val="00D12474"/>
    <w:rsid w:val="00D135F0"/>
    <w:rsid w:val="00D137D4"/>
    <w:rsid w:val="00D14CAB"/>
    <w:rsid w:val="00D14D7D"/>
    <w:rsid w:val="00D151A3"/>
    <w:rsid w:val="00D15334"/>
    <w:rsid w:val="00D15827"/>
    <w:rsid w:val="00D15BB5"/>
    <w:rsid w:val="00D15C15"/>
    <w:rsid w:val="00D1698F"/>
    <w:rsid w:val="00D16FDE"/>
    <w:rsid w:val="00D173BC"/>
    <w:rsid w:val="00D200EA"/>
    <w:rsid w:val="00D20268"/>
    <w:rsid w:val="00D20500"/>
    <w:rsid w:val="00D2078F"/>
    <w:rsid w:val="00D20E3C"/>
    <w:rsid w:val="00D21D9A"/>
    <w:rsid w:val="00D225FF"/>
    <w:rsid w:val="00D22813"/>
    <w:rsid w:val="00D22BA2"/>
    <w:rsid w:val="00D22E75"/>
    <w:rsid w:val="00D2307B"/>
    <w:rsid w:val="00D23D44"/>
    <w:rsid w:val="00D244D6"/>
    <w:rsid w:val="00D2556B"/>
    <w:rsid w:val="00D25714"/>
    <w:rsid w:val="00D25B6F"/>
    <w:rsid w:val="00D2670D"/>
    <w:rsid w:val="00D26DB9"/>
    <w:rsid w:val="00D26E03"/>
    <w:rsid w:val="00D27A54"/>
    <w:rsid w:val="00D27CD9"/>
    <w:rsid w:val="00D30711"/>
    <w:rsid w:val="00D318A9"/>
    <w:rsid w:val="00D31D1A"/>
    <w:rsid w:val="00D321E0"/>
    <w:rsid w:val="00D32491"/>
    <w:rsid w:val="00D3284F"/>
    <w:rsid w:val="00D32F4E"/>
    <w:rsid w:val="00D336A8"/>
    <w:rsid w:val="00D33967"/>
    <w:rsid w:val="00D340FE"/>
    <w:rsid w:val="00D3452F"/>
    <w:rsid w:val="00D34B12"/>
    <w:rsid w:val="00D3613C"/>
    <w:rsid w:val="00D363BF"/>
    <w:rsid w:val="00D364D8"/>
    <w:rsid w:val="00D36B43"/>
    <w:rsid w:val="00D3766A"/>
    <w:rsid w:val="00D3795C"/>
    <w:rsid w:val="00D40BE9"/>
    <w:rsid w:val="00D41DD3"/>
    <w:rsid w:val="00D42B8A"/>
    <w:rsid w:val="00D43D46"/>
    <w:rsid w:val="00D444B8"/>
    <w:rsid w:val="00D4499D"/>
    <w:rsid w:val="00D45789"/>
    <w:rsid w:val="00D45D69"/>
    <w:rsid w:val="00D45D8B"/>
    <w:rsid w:val="00D460A7"/>
    <w:rsid w:val="00D46D2C"/>
    <w:rsid w:val="00D471AF"/>
    <w:rsid w:val="00D47625"/>
    <w:rsid w:val="00D478A4"/>
    <w:rsid w:val="00D50242"/>
    <w:rsid w:val="00D50A14"/>
    <w:rsid w:val="00D51898"/>
    <w:rsid w:val="00D51BCA"/>
    <w:rsid w:val="00D52727"/>
    <w:rsid w:val="00D52889"/>
    <w:rsid w:val="00D53A7A"/>
    <w:rsid w:val="00D53C4D"/>
    <w:rsid w:val="00D53CFE"/>
    <w:rsid w:val="00D54073"/>
    <w:rsid w:val="00D54B9B"/>
    <w:rsid w:val="00D54EAC"/>
    <w:rsid w:val="00D55A08"/>
    <w:rsid w:val="00D55B42"/>
    <w:rsid w:val="00D56F22"/>
    <w:rsid w:val="00D60229"/>
    <w:rsid w:val="00D605E4"/>
    <w:rsid w:val="00D60CE9"/>
    <w:rsid w:val="00D60FCA"/>
    <w:rsid w:val="00D611B2"/>
    <w:rsid w:val="00D61E7D"/>
    <w:rsid w:val="00D62973"/>
    <w:rsid w:val="00D63092"/>
    <w:rsid w:val="00D63536"/>
    <w:rsid w:val="00D64479"/>
    <w:rsid w:val="00D64FF8"/>
    <w:rsid w:val="00D65A97"/>
    <w:rsid w:val="00D665D2"/>
    <w:rsid w:val="00D66833"/>
    <w:rsid w:val="00D70247"/>
    <w:rsid w:val="00D704B7"/>
    <w:rsid w:val="00D7099A"/>
    <w:rsid w:val="00D70F98"/>
    <w:rsid w:val="00D72501"/>
    <w:rsid w:val="00D72E76"/>
    <w:rsid w:val="00D734BC"/>
    <w:rsid w:val="00D73A41"/>
    <w:rsid w:val="00D73E69"/>
    <w:rsid w:val="00D73FCA"/>
    <w:rsid w:val="00D74927"/>
    <w:rsid w:val="00D74BBD"/>
    <w:rsid w:val="00D75D80"/>
    <w:rsid w:val="00D772CB"/>
    <w:rsid w:val="00D777D4"/>
    <w:rsid w:val="00D81ED2"/>
    <w:rsid w:val="00D8418E"/>
    <w:rsid w:val="00D84352"/>
    <w:rsid w:val="00D84697"/>
    <w:rsid w:val="00D84B6E"/>
    <w:rsid w:val="00D84CD5"/>
    <w:rsid w:val="00D84D70"/>
    <w:rsid w:val="00D857CE"/>
    <w:rsid w:val="00D85C2A"/>
    <w:rsid w:val="00D86062"/>
    <w:rsid w:val="00D8616C"/>
    <w:rsid w:val="00D86375"/>
    <w:rsid w:val="00D864AC"/>
    <w:rsid w:val="00D87674"/>
    <w:rsid w:val="00D907A3"/>
    <w:rsid w:val="00D91458"/>
    <w:rsid w:val="00D91A96"/>
    <w:rsid w:val="00D91A9F"/>
    <w:rsid w:val="00D92770"/>
    <w:rsid w:val="00D93095"/>
    <w:rsid w:val="00D93B42"/>
    <w:rsid w:val="00D945F9"/>
    <w:rsid w:val="00D94AD3"/>
    <w:rsid w:val="00D9571C"/>
    <w:rsid w:val="00D9627A"/>
    <w:rsid w:val="00D966A2"/>
    <w:rsid w:val="00D967C9"/>
    <w:rsid w:val="00D96DF6"/>
    <w:rsid w:val="00D96E07"/>
    <w:rsid w:val="00D97835"/>
    <w:rsid w:val="00DA047C"/>
    <w:rsid w:val="00DA0849"/>
    <w:rsid w:val="00DA097B"/>
    <w:rsid w:val="00DA0CA1"/>
    <w:rsid w:val="00DA22B1"/>
    <w:rsid w:val="00DA22F6"/>
    <w:rsid w:val="00DA3BC3"/>
    <w:rsid w:val="00DA55AA"/>
    <w:rsid w:val="00DA61E8"/>
    <w:rsid w:val="00DA7F2E"/>
    <w:rsid w:val="00DA7F3F"/>
    <w:rsid w:val="00DB03EC"/>
    <w:rsid w:val="00DB0AD9"/>
    <w:rsid w:val="00DB129F"/>
    <w:rsid w:val="00DB1A6F"/>
    <w:rsid w:val="00DB1AF7"/>
    <w:rsid w:val="00DB32FB"/>
    <w:rsid w:val="00DB4055"/>
    <w:rsid w:val="00DB4060"/>
    <w:rsid w:val="00DB4506"/>
    <w:rsid w:val="00DB476C"/>
    <w:rsid w:val="00DB5134"/>
    <w:rsid w:val="00DB5947"/>
    <w:rsid w:val="00DB7319"/>
    <w:rsid w:val="00DB786D"/>
    <w:rsid w:val="00DB7995"/>
    <w:rsid w:val="00DB7F38"/>
    <w:rsid w:val="00DC0676"/>
    <w:rsid w:val="00DC1D0C"/>
    <w:rsid w:val="00DC22B3"/>
    <w:rsid w:val="00DC2398"/>
    <w:rsid w:val="00DC3F16"/>
    <w:rsid w:val="00DC4D15"/>
    <w:rsid w:val="00DC55B2"/>
    <w:rsid w:val="00DC55F3"/>
    <w:rsid w:val="00DC5637"/>
    <w:rsid w:val="00DC5778"/>
    <w:rsid w:val="00DC62C6"/>
    <w:rsid w:val="00DC655A"/>
    <w:rsid w:val="00DC6ACB"/>
    <w:rsid w:val="00DD0353"/>
    <w:rsid w:val="00DD0AAB"/>
    <w:rsid w:val="00DD1B8C"/>
    <w:rsid w:val="00DD30BE"/>
    <w:rsid w:val="00DD435B"/>
    <w:rsid w:val="00DD4369"/>
    <w:rsid w:val="00DD4AA1"/>
    <w:rsid w:val="00DD4AC8"/>
    <w:rsid w:val="00DD52C9"/>
    <w:rsid w:val="00DD7020"/>
    <w:rsid w:val="00DD7C30"/>
    <w:rsid w:val="00DD7DDF"/>
    <w:rsid w:val="00DE08C2"/>
    <w:rsid w:val="00DE1536"/>
    <w:rsid w:val="00DE220F"/>
    <w:rsid w:val="00DE246B"/>
    <w:rsid w:val="00DE2A5C"/>
    <w:rsid w:val="00DE372C"/>
    <w:rsid w:val="00DE3AF2"/>
    <w:rsid w:val="00DE3EF8"/>
    <w:rsid w:val="00DE434A"/>
    <w:rsid w:val="00DE46F0"/>
    <w:rsid w:val="00DE472F"/>
    <w:rsid w:val="00DE5B8B"/>
    <w:rsid w:val="00DE5C50"/>
    <w:rsid w:val="00DE5E42"/>
    <w:rsid w:val="00DE5EF1"/>
    <w:rsid w:val="00DE62AD"/>
    <w:rsid w:val="00DE67C3"/>
    <w:rsid w:val="00DE683A"/>
    <w:rsid w:val="00DE6BBE"/>
    <w:rsid w:val="00DE7350"/>
    <w:rsid w:val="00DF001D"/>
    <w:rsid w:val="00DF00B9"/>
    <w:rsid w:val="00DF0854"/>
    <w:rsid w:val="00DF0AAE"/>
    <w:rsid w:val="00DF1513"/>
    <w:rsid w:val="00DF1AE4"/>
    <w:rsid w:val="00DF3D15"/>
    <w:rsid w:val="00DF41E6"/>
    <w:rsid w:val="00DF4677"/>
    <w:rsid w:val="00DF4ADC"/>
    <w:rsid w:val="00DF5094"/>
    <w:rsid w:val="00DF5422"/>
    <w:rsid w:val="00DF58F4"/>
    <w:rsid w:val="00DF5909"/>
    <w:rsid w:val="00DF5AF6"/>
    <w:rsid w:val="00DF5C1E"/>
    <w:rsid w:val="00DF61C9"/>
    <w:rsid w:val="00DF6222"/>
    <w:rsid w:val="00DF7308"/>
    <w:rsid w:val="00DF7BFA"/>
    <w:rsid w:val="00DF7E05"/>
    <w:rsid w:val="00E00723"/>
    <w:rsid w:val="00E00862"/>
    <w:rsid w:val="00E00E59"/>
    <w:rsid w:val="00E025FE"/>
    <w:rsid w:val="00E03522"/>
    <w:rsid w:val="00E03890"/>
    <w:rsid w:val="00E049E4"/>
    <w:rsid w:val="00E0537B"/>
    <w:rsid w:val="00E058AD"/>
    <w:rsid w:val="00E06567"/>
    <w:rsid w:val="00E06A6F"/>
    <w:rsid w:val="00E06FE1"/>
    <w:rsid w:val="00E07540"/>
    <w:rsid w:val="00E07707"/>
    <w:rsid w:val="00E10648"/>
    <w:rsid w:val="00E10AB6"/>
    <w:rsid w:val="00E11DAA"/>
    <w:rsid w:val="00E1214B"/>
    <w:rsid w:val="00E12E2B"/>
    <w:rsid w:val="00E131DC"/>
    <w:rsid w:val="00E14461"/>
    <w:rsid w:val="00E14F15"/>
    <w:rsid w:val="00E15B6D"/>
    <w:rsid w:val="00E1611C"/>
    <w:rsid w:val="00E164E5"/>
    <w:rsid w:val="00E16BEA"/>
    <w:rsid w:val="00E16F6F"/>
    <w:rsid w:val="00E17C1D"/>
    <w:rsid w:val="00E20DC3"/>
    <w:rsid w:val="00E214F2"/>
    <w:rsid w:val="00E21DA9"/>
    <w:rsid w:val="00E21E3C"/>
    <w:rsid w:val="00E24376"/>
    <w:rsid w:val="00E25187"/>
    <w:rsid w:val="00E25233"/>
    <w:rsid w:val="00E2545A"/>
    <w:rsid w:val="00E26165"/>
    <w:rsid w:val="00E26808"/>
    <w:rsid w:val="00E26BF6"/>
    <w:rsid w:val="00E27D01"/>
    <w:rsid w:val="00E308A0"/>
    <w:rsid w:val="00E30A11"/>
    <w:rsid w:val="00E32AC0"/>
    <w:rsid w:val="00E33D52"/>
    <w:rsid w:val="00E34307"/>
    <w:rsid w:val="00E349BD"/>
    <w:rsid w:val="00E36A50"/>
    <w:rsid w:val="00E375AE"/>
    <w:rsid w:val="00E40577"/>
    <w:rsid w:val="00E40C7A"/>
    <w:rsid w:val="00E41AC2"/>
    <w:rsid w:val="00E42363"/>
    <w:rsid w:val="00E425B8"/>
    <w:rsid w:val="00E42E96"/>
    <w:rsid w:val="00E430FD"/>
    <w:rsid w:val="00E432E1"/>
    <w:rsid w:val="00E43634"/>
    <w:rsid w:val="00E442B1"/>
    <w:rsid w:val="00E448A1"/>
    <w:rsid w:val="00E449C4"/>
    <w:rsid w:val="00E44E15"/>
    <w:rsid w:val="00E45067"/>
    <w:rsid w:val="00E45C26"/>
    <w:rsid w:val="00E4628C"/>
    <w:rsid w:val="00E463E2"/>
    <w:rsid w:val="00E46B28"/>
    <w:rsid w:val="00E47A71"/>
    <w:rsid w:val="00E47E1F"/>
    <w:rsid w:val="00E50604"/>
    <w:rsid w:val="00E5095E"/>
    <w:rsid w:val="00E50F2D"/>
    <w:rsid w:val="00E51367"/>
    <w:rsid w:val="00E51444"/>
    <w:rsid w:val="00E51D8F"/>
    <w:rsid w:val="00E5256D"/>
    <w:rsid w:val="00E5336C"/>
    <w:rsid w:val="00E53F0C"/>
    <w:rsid w:val="00E543C9"/>
    <w:rsid w:val="00E548F0"/>
    <w:rsid w:val="00E5572A"/>
    <w:rsid w:val="00E55A2D"/>
    <w:rsid w:val="00E55DEE"/>
    <w:rsid w:val="00E56A36"/>
    <w:rsid w:val="00E56D95"/>
    <w:rsid w:val="00E57069"/>
    <w:rsid w:val="00E574B2"/>
    <w:rsid w:val="00E57851"/>
    <w:rsid w:val="00E57B6A"/>
    <w:rsid w:val="00E61E24"/>
    <w:rsid w:val="00E62A69"/>
    <w:rsid w:val="00E631CE"/>
    <w:rsid w:val="00E6511B"/>
    <w:rsid w:val="00E65C6B"/>
    <w:rsid w:val="00E65DFD"/>
    <w:rsid w:val="00E66379"/>
    <w:rsid w:val="00E67091"/>
    <w:rsid w:val="00E67522"/>
    <w:rsid w:val="00E6782E"/>
    <w:rsid w:val="00E67B2C"/>
    <w:rsid w:val="00E70C29"/>
    <w:rsid w:val="00E70CF5"/>
    <w:rsid w:val="00E7266E"/>
    <w:rsid w:val="00E72892"/>
    <w:rsid w:val="00E73196"/>
    <w:rsid w:val="00E737E1"/>
    <w:rsid w:val="00E73E03"/>
    <w:rsid w:val="00E74242"/>
    <w:rsid w:val="00E7427F"/>
    <w:rsid w:val="00E742F8"/>
    <w:rsid w:val="00E74446"/>
    <w:rsid w:val="00E758B2"/>
    <w:rsid w:val="00E75DEC"/>
    <w:rsid w:val="00E75E18"/>
    <w:rsid w:val="00E76172"/>
    <w:rsid w:val="00E762A9"/>
    <w:rsid w:val="00E773CE"/>
    <w:rsid w:val="00E800A9"/>
    <w:rsid w:val="00E80535"/>
    <w:rsid w:val="00E80A15"/>
    <w:rsid w:val="00E816C1"/>
    <w:rsid w:val="00E818A7"/>
    <w:rsid w:val="00E81B76"/>
    <w:rsid w:val="00E81F25"/>
    <w:rsid w:val="00E81F2A"/>
    <w:rsid w:val="00E82610"/>
    <w:rsid w:val="00E82626"/>
    <w:rsid w:val="00E827EB"/>
    <w:rsid w:val="00E8339A"/>
    <w:rsid w:val="00E8399A"/>
    <w:rsid w:val="00E83DCD"/>
    <w:rsid w:val="00E83E10"/>
    <w:rsid w:val="00E85B22"/>
    <w:rsid w:val="00E85D2F"/>
    <w:rsid w:val="00E85DC9"/>
    <w:rsid w:val="00E8644D"/>
    <w:rsid w:val="00E864F3"/>
    <w:rsid w:val="00E86E1C"/>
    <w:rsid w:val="00E86F44"/>
    <w:rsid w:val="00E87C8F"/>
    <w:rsid w:val="00E87D2B"/>
    <w:rsid w:val="00E90185"/>
    <w:rsid w:val="00E904AB"/>
    <w:rsid w:val="00E90D56"/>
    <w:rsid w:val="00E90E65"/>
    <w:rsid w:val="00E90F14"/>
    <w:rsid w:val="00E913A2"/>
    <w:rsid w:val="00E923B1"/>
    <w:rsid w:val="00E9273B"/>
    <w:rsid w:val="00E9380F"/>
    <w:rsid w:val="00E94631"/>
    <w:rsid w:val="00E948DA"/>
    <w:rsid w:val="00E94C3B"/>
    <w:rsid w:val="00E9514C"/>
    <w:rsid w:val="00E956BF"/>
    <w:rsid w:val="00E97EEB"/>
    <w:rsid w:val="00EA009F"/>
    <w:rsid w:val="00EA0866"/>
    <w:rsid w:val="00EA09FD"/>
    <w:rsid w:val="00EA1D14"/>
    <w:rsid w:val="00EA2BE6"/>
    <w:rsid w:val="00EA333E"/>
    <w:rsid w:val="00EA401F"/>
    <w:rsid w:val="00EA4CED"/>
    <w:rsid w:val="00EA5CE0"/>
    <w:rsid w:val="00EA6439"/>
    <w:rsid w:val="00EA7D78"/>
    <w:rsid w:val="00EB0C3C"/>
    <w:rsid w:val="00EB0E63"/>
    <w:rsid w:val="00EB10F5"/>
    <w:rsid w:val="00EB12FA"/>
    <w:rsid w:val="00EB15BA"/>
    <w:rsid w:val="00EB16A4"/>
    <w:rsid w:val="00EB171D"/>
    <w:rsid w:val="00EB187D"/>
    <w:rsid w:val="00EB18FD"/>
    <w:rsid w:val="00EB1CD2"/>
    <w:rsid w:val="00EB1E8A"/>
    <w:rsid w:val="00EB307C"/>
    <w:rsid w:val="00EB3087"/>
    <w:rsid w:val="00EB3451"/>
    <w:rsid w:val="00EB3565"/>
    <w:rsid w:val="00EB3C33"/>
    <w:rsid w:val="00EB40F7"/>
    <w:rsid w:val="00EB49F1"/>
    <w:rsid w:val="00EB61AB"/>
    <w:rsid w:val="00EB64BD"/>
    <w:rsid w:val="00EB7C48"/>
    <w:rsid w:val="00EB7D6B"/>
    <w:rsid w:val="00EC0108"/>
    <w:rsid w:val="00EC033E"/>
    <w:rsid w:val="00EC053B"/>
    <w:rsid w:val="00EC0874"/>
    <w:rsid w:val="00EC0F27"/>
    <w:rsid w:val="00EC11D5"/>
    <w:rsid w:val="00EC20E7"/>
    <w:rsid w:val="00EC251A"/>
    <w:rsid w:val="00EC25FF"/>
    <w:rsid w:val="00EC2BC4"/>
    <w:rsid w:val="00EC2E3B"/>
    <w:rsid w:val="00EC3135"/>
    <w:rsid w:val="00EC32B3"/>
    <w:rsid w:val="00EC33C3"/>
    <w:rsid w:val="00EC3532"/>
    <w:rsid w:val="00EC3FEF"/>
    <w:rsid w:val="00EC4393"/>
    <w:rsid w:val="00EC44D6"/>
    <w:rsid w:val="00EC4754"/>
    <w:rsid w:val="00EC4CBD"/>
    <w:rsid w:val="00EC550C"/>
    <w:rsid w:val="00EC70D6"/>
    <w:rsid w:val="00EC727B"/>
    <w:rsid w:val="00EC7A8F"/>
    <w:rsid w:val="00ED09B9"/>
    <w:rsid w:val="00ED0A52"/>
    <w:rsid w:val="00ED1906"/>
    <w:rsid w:val="00ED198A"/>
    <w:rsid w:val="00ED1FBA"/>
    <w:rsid w:val="00ED21F4"/>
    <w:rsid w:val="00ED251F"/>
    <w:rsid w:val="00ED2914"/>
    <w:rsid w:val="00ED318E"/>
    <w:rsid w:val="00ED36B8"/>
    <w:rsid w:val="00ED3A46"/>
    <w:rsid w:val="00ED418E"/>
    <w:rsid w:val="00ED4800"/>
    <w:rsid w:val="00ED4DFD"/>
    <w:rsid w:val="00ED4EB8"/>
    <w:rsid w:val="00ED4F63"/>
    <w:rsid w:val="00ED5795"/>
    <w:rsid w:val="00ED5EBE"/>
    <w:rsid w:val="00ED6421"/>
    <w:rsid w:val="00ED66B6"/>
    <w:rsid w:val="00ED7CDB"/>
    <w:rsid w:val="00EE1A20"/>
    <w:rsid w:val="00EE246B"/>
    <w:rsid w:val="00EE2E1D"/>
    <w:rsid w:val="00EE34DE"/>
    <w:rsid w:val="00EE3B70"/>
    <w:rsid w:val="00EE5270"/>
    <w:rsid w:val="00EE7696"/>
    <w:rsid w:val="00EE7AE6"/>
    <w:rsid w:val="00EF071B"/>
    <w:rsid w:val="00EF17D5"/>
    <w:rsid w:val="00EF2BE7"/>
    <w:rsid w:val="00EF2F4C"/>
    <w:rsid w:val="00EF2FE8"/>
    <w:rsid w:val="00EF30F4"/>
    <w:rsid w:val="00EF3377"/>
    <w:rsid w:val="00EF4534"/>
    <w:rsid w:val="00EF48E1"/>
    <w:rsid w:val="00EF4B36"/>
    <w:rsid w:val="00EF5581"/>
    <w:rsid w:val="00EF590E"/>
    <w:rsid w:val="00EF5CA2"/>
    <w:rsid w:val="00EF5E20"/>
    <w:rsid w:val="00EF5F30"/>
    <w:rsid w:val="00EF747A"/>
    <w:rsid w:val="00EF7D50"/>
    <w:rsid w:val="00F000B2"/>
    <w:rsid w:val="00F024D3"/>
    <w:rsid w:val="00F027C9"/>
    <w:rsid w:val="00F02DEC"/>
    <w:rsid w:val="00F02F27"/>
    <w:rsid w:val="00F02F6F"/>
    <w:rsid w:val="00F03071"/>
    <w:rsid w:val="00F032D9"/>
    <w:rsid w:val="00F03BDB"/>
    <w:rsid w:val="00F042D0"/>
    <w:rsid w:val="00F04F6C"/>
    <w:rsid w:val="00F0509F"/>
    <w:rsid w:val="00F05428"/>
    <w:rsid w:val="00F0562A"/>
    <w:rsid w:val="00F05C7C"/>
    <w:rsid w:val="00F06CA6"/>
    <w:rsid w:val="00F073A1"/>
    <w:rsid w:val="00F07C20"/>
    <w:rsid w:val="00F07E5D"/>
    <w:rsid w:val="00F07F42"/>
    <w:rsid w:val="00F10B4F"/>
    <w:rsid w:val="00F10C83"/>
    <w:rsid w:val="00F1191D"/>
    <w:rsid w:val="00F12072"/>
    <w:rsid w:val="00F12BE9"/>
    <w:rsid w:val="00F132C0"/>
    <w:rsid w:val="00F13ED1"/>
    <w:rsid w:val="00F13FFE"/>
    <w:rsid w:val="00F14998"/>
    <w:rsid w:val="00F156D6"/>
    <w:rsid w:val="00F161CD"/>
    <w:rsid w:val="00F16EF9"/>
    <w:rsid w:val="00F1738D"/>
    <w:rsid w:val="00F179CE"/>
    <w:rsid w:val="00F21054"/>
    <w:rsid w:val="00F21BE9"/>
    <w:rsid w:val="00F21DA1"/>
    <w:rsid w:val="00F22A49"/>
    <w:rsid w:val="00F22E47"/>
    <w:rsid w:val="00F2317A"/>
    <w:rsid w:val="00F233D5"/>
    <w:rsid w:val="00F23F69"/>
    <w:rsid w:val="00F242C1"/>
    <w:rsid w:val="00F243D2"/>
    <w:rsid w:val="00F260C0"/>
    <w:rsid w:val="00F261F1"/>
    <w:rsid w:val="00F26C1E"/>
    <w:rsid w:val="00F27AF4"/>
    <w:rsid w:val="00F303F7"/>
    <w:rsid w:val="00F30D15"/>
    <w:rsid w:val="00F31913"/>
    <w:rsid w:val="00F3214A"/>
    <w:rsid w:val="00F325A6"/>
    <w:rsid w:val="00F3272E"/>
    <w:rsid w:val="00F32CCE"/>
    <w:rsid w:val="00F3348E"/>
    <w:rsid w:val="00F335E4"/>
    <w:rsid w:val="00F33650"/>
    <w:rsid w:val="00F358F7"/>
    <w:rsid w:val="00F35AA1"/>
    <w:rsid w:val="00F3638A"/>
    <w:rsid w:val="00F37A8A"/>
    <w:rsid w:val="00F37EF6"/>
    <w:rsid w:val="00F41A39"/>
    <w:rsid w:val="00F42045"/>
    <w:rsid w:val="00F4223E"/>
    <w:rsid w:val="00F42CC7"/>
    <w:rsid w:val="00F42D8B"/>
    <w:rsid w:val="00F44588"/>
    <w:rsid w:val="00F44B96"/>
    <w:rsid w:val="00F45B9B"/>
    <w:rsid w:val="00F46048"/>
    <w:rsid w:val="00F467F5"/>
    <w:rsid w:val="00F47BC5"/>
    <w:rsid w:val="00F47D1A"/>
    <w:rsid w:val="00F50F9E"/>
    <w:rsid w:val="00F51887"/>
    <w:rsid w:val="00F5250C"/>
    <w:rsid w:val="00F52711"/>
    <w:rsid w:val="00F52F68"/>
    <w:rsid w:val="00F52FB3"/>
    <w:rsid w:val="00F53475"/>
    <w:rsid w:val="00F536F1"/>
    <w:rsid w:val="00F54722"/>
    <w:rsid w:val="00F547C4"/>
    <w:rsid w:val="00F54CE0"/>
    <w:rsid w:val="00F55320"/>
    <w:rsid w:val="00F55B5D"/>
    <w:rsid w:val="00F55C40"/>
    <w:rsid w:val="00F55FDC"/>
    <w:rsid w:val="00F55FDE"/>
    <w:rsid w:val="00F56410"/>
    <w:rsid w:val="00F567BA"/>
    <w:rsid w:val="00F569A2"/>
    <w:rsid w:val="00F56BE2"/>
    <w:rsid w:val="00F57856"/>
    <w:rsid w:val="00F5795D"/>
    <w:rsid w:val="00F60170"/>
    <w:rsid w:val="00F602D9"/>
    <w:rsid w:val="00F60B34"/>
    <w:rsid w:val="00F60C9F"/>
    <w:rsid w:val="00F60D0E"/>
    <w:rsid w:val="00F62960"/>
    <w:rsid w:val="00F63C4E"/>
    <w:rsid w:val="00F63D46"/>
    <w:rsid w:val="00F64A69"/>
    <w:rsid w:val="00F64B61"/>
    <w:rsid w:val="00F65169"/>
    <w:rsid w:val="00F65659"/>
    <w:rsid w:val="00F660A1"/>
    <w:rsid w:val="00F661B3"/>
    <w:rsid w:val="00F66390"/>
    <w:rsid w:val="00F66BA2"/>
    <w:rsid w:val="00F67E61"/>
    <w:rsid w:val="00F70490"/>
    <w:rsid w:val="00F71769"/>
    <w:rsid w:val="00F72478"/>
    <w:rsid w:val="00F73CA2"/>
    <w:rsid w:val="00F742D2"/>
    <w:rsid w:val="00F748E3"/>
    <w:rsid w:val="00F7669C"/>
    <w:rsid w:val="00F76AF9"/>
    <w:rsid w:val="00F76C9D"/>
    <w:rsid w:val="00F76E5C"/>
    <w:rsid w:val="00F77323"/>
    <w:rsid w:val="00F8001E"/>
    <w:rsid w:val="00F80EBD"/>
    <w:rsid w:val="00F81881"/>
    <w:rsid w:val="00F8192C"/>
    <w:rsid w:val="00F81A11"/>
    <w:rsid w:val="00F82831"/>
    <w:rsid w:val="00F82C38"/>
    <w:rsid w:val="00F82C6B"/>
    <w:rsid w:val="00F846A1"/>
    <w:rsid w:val="00F847B1"/>
    <w:rsid w:val="00F85590"/>
    <w:rsid w:val="00F8568B"/>
    <w:rsid w:val="00F86DBB"/>
    <w:rsid w:val="00F87025"/>
    <w:rsid w:val="00F874E3"/>
    <w:rsid w:val="00F87B63"/>
    <w:rsid w:val="00F87E31"/>
    <w:rsid w:val="00F90558"/>
    <w:rsid w:val="00F90F02"/>
    <w:rsid w:val="00F91BE6"/>
    <w:rsid w:val="00F933DE"/>
    <w:rsid w:val="00F93C72"/>
    <w:rsid w:val="00F93CD2"/>
    <w:rsid w:val="00F9415D"/>
    <w:rsid w:val="00F94488"/>
    <w:rsid w:val="00F946E2"/>
    <w:rsid w:val="00F94DFF"/>
    <w:rsid w:val="00F9509F"/>
    <w:rsid w:val="00F95105"/>
    <w:rsid w:val="00F95618"/>
    <w:rsid w:val="00F97DC7"/>
    <w:rsid w:val="00FA06D3"/>
    <w:rsid w:val="00FA10C8"/>
    <w:rsid w:val="00FA1270"/>
    <w:rsid w:val="00FA20DB"/>
    <w:rsid w:val="00FA24F2"/>
    <w:rsid w:val="00FA2649"/>
    <w:rsid w:val="00FA2CA3"/>
    <w:rsid w:val="00FA31F2"/>
    <w:rsid w:val="00FA3C7A"/>
    <w:rsid w:val="00FA41D5"/>
    <w:rsid w:val="00FA48B5"/>
    <w:rsid w:val="00FA59BE"/>
    <w:rsid w:val="00FA5B3E"/>
    <w:rsid w:val="00FA684A"/>
    <w:rsid w:val="00FA6873"/>
    <w:rsid w:val="00FA691F"/>
    <w:rsid w:val="00FA6A6E"/>
    <w:rsid w:val="00FA6D7F"/>
    <w:rsid w:val="00FB0769"/>
    <w:rsid w:val="00FB09B2"/>
    <w:rsid w:val="00FB0A56"/>
    <w:rsid w:val="00FB0AEC"/>
    <w:rsid w:val="00FB17D6"/>
    <w:rsid w:val="00FB1A3A"/>
    <w:rsid w:val="00FB2634"/>
    <w:rsid w:val="00FB295B"/>
    <w:rsid w:val="00FB2F40"/>
    <w:rsid w:val="00FB34AD"/>
    <w:rsid w:val="00FB40F1"/>
    <w:rsid w:val="00FB455C"/>
    <w:rsid w:val="00FB55A0"/>
    <w:rsid w:val="00FB61CE"/>
    <w:rsid w:val="00FB71CB"/>
    <w:rsid w:val="00FC147D"/>
    <w:rsid w:val="00FC186F"/>
    <w:rsid w:val="00FC18AC"/>
    <w:rsid w:val="00FC2214"/>
    <w:rsid w:val="00FC2877"/>
    <w:rsid w:val="00FC30B9"/>
    <w:rsid w:val="00FC31AB"/>
    <w:rsid w:val="00FC3329"/>
    <w:rsid w:val="00FC4B7C"/>
    <w:rsid w:val="00FC4DD6"/>
    <w:rsid w:val="00FC5732"/>
    <w:rsid w:val="00FC672B"/>
    <w:rsid w:val="00FC7B9B"/>
    <w:rsid w:val="00FC7C1E"/>
    <w:rsid w:val="00FC7FBB"/>
    <w:rsid w:val="00FD056E"/>
    <w:rsid w:val="00FD0A73"/>
    <w:rsid w:val="00FD0B4C"/>
    <w:rsid w:val="00FD1CB3"/>
    <w:rsid w:val="00FD3F4B"/>
    <w:rsid w:val="00FD4BC4"/>
    <w:rsid w:val="00FD593A"/>
    <w:rsid w:val="00FD5BED"/>
    <w:rsid w:val="00FD6BE6"/>
    <w:rsid w:val="00FD6EC8"/>
    <w:rsid w:val="00FD6FAB"/>
    <w:rsid w:val="00FD715B"/>
    <w:rsid w:val="00FD74D0"/>
    <w:rsid w:val="00FE0682"/>
    <w:rsid w:val="00FE086F"/>
    <w:rsid w:val="00FE227A"/>
    <w:rsid w:val="00FE26FE"/>
    <w:rsid w:val="00FE2F70"/>
    <w:rsid w:val="00FE2F73"/>
    <w:rsid w:val="00FE306D"/>
    <w:rsid w:val="00FE30D3"/>
    <w:rsid w:val="00FE3EB5"/>
    <w:rsid w:val="00FE3EDC"/>
    <w:rsid w:val="00FE4135"/>
    <w:rsid w:val="00FE4582"/>
    <w:rsid w:val="00FE5350"/>
    <w:rsid w:val="00FE5DA2"/>
    <w:rsid w:val="00FE6111"/>
    <w:rsid w:val="00FE7B93"/>
    <w:rsid w:val="00FE7D6B"/>
    <w:rsid w:val="00FF05AC"/>
    <w:rsid w:val="00FF0880"/>
    <w:rsid w:val="00FF143B"/>
    <w:rsid w:val="00FF145D"/>
    <w:rsid w:val="00FF1AF8"/>
    <w:rsid w:val="00FF3150"/>
    <w:rsid w:val="00FF3BD2"/>
    <w:rsid w:val="00FF4385"/>
    <w:rsid w:val="00FF4916"/>
    <w:rsid w:val="00FF4E6E"/>
    <w:rsid w:val="00FF55DE"/>
    <w:rsid w:val="00FF5726"/>
    <w:rsid w:val="00FF5E7C"/>
    <w:rsid w:val="00FF6244"/>
    <w:rsid w:val="00FF63E2"/>
    <w:rsid w:val="00FF6D48"/>
    <w:rsid w:val="00FF79A1"/>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E56A6"/>
  <w15:docId w15:val="{A3863809-41C9-464C-A9CF-5F820BA6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F5"/>
    <w:rPr>
      <w:rFonts w:ascii="Times New Roman" w:hAnsi="Times New Roman" w:cs="Times New Roman"/>
    </w:rPr>
  </w:style>
  <w:style w:type="paragraph" w:styleId="Heading1">
    <w:name w:val="heading 1"/>
    <w:basedOn w:val="Normal"/>
    <w:next w:val="Normal"/>
    <w:link w:val="Heading1Char"/>
    <w:uiPriority w:val="9"/>
    <w:qFormat/>
    <w:rsid w:val="003F44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B27E6"/>
    <w:pPr>
      <w:keepNext/>
      <w:spacing w:before="300" w:after="140"/>
      <w:outlineLvl w:val="1"/>
    </w:pPr>
    <w:rPr>
      <w:rFonts w:ascii="Helvetica" w:eastAsia="Times New Roman" w:hAnsi="Helvetica" w:cs="Arial"/>
      <w:bCs/>
      <w:iCs/>
      <w:sz w:val="30"/>
      <w:szCs w:val="2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27E6"/>
    <w:rPr>
      <w:rFonts w:ascii="Helvetica" w:eastAsia="Times New Roman" w:hAnsi="Helvetica" w:cs="Arial"/>
      <w:bCs/>
      <w:iCs/>
      <w:sz w:val="30"/>
      <w:szCs w:val="28"/>
      <w:lang w:eastAsia="de-DE"/>
    </w:rPr>
  </w:style>
  <w:style w:type="paragraph" w:styleId="ListParagraph">
    <w:name w:val="List Paragraph"/>
    <w:basedOn w:val="Normal"/>
    <w:uiPriority w:val="34"/>
    <w:qFormat/>
    <w:rsid w:val="009A17C0"/>
    <w:pPr>
      <w:spacing w:after="200" w:line="276" w:lineRule="auto"/>
      <w:ind w:left="720"/>
      <w:contextualSpacing/>
    </w:pPr>
    <w:rPr>
      <w:rFonts w:asciiTheme="minorHAnsi" w:hAnsiTheme="minorHAnsi" w:cstheme="minorBidi"/>
      <w:sz w:val="22"/>
      <w:szCs w:val="22"/>
      <w:lang w:val="en-GB"/>
    </w:rPr>
  </w:style>
  <w:style w:type="paragraph" w:customStyle="1" w:styleId="mainabbody">
    <w:name w:val="main abbody"/>
    <w:basedOn w:val="Normal"/>
    <w:link w:val="mainabbodyChar"/>
    <w:qFormat/>
    <w:rsid w:val="004B27E6"/>
    <w:pPr>
      <w:spacing w:after="240" w:line="480" w:lineRule="auto"/>
      <w:jc w:val="both"/>
    </w:pPr>
    <w:rPr>
      <w:rFonts w:eastAsia="Calibri"/>
    </w:rPr>
  </w:style>
  <w:style w:type="character" w:customStyle="1" w:styleId="mainabbodyChar">
    <w:name w:val="main abbody Char"/>
    <w:link w:val="mainabbody"/>
    <w:rsid w:val="004B27E6"/>
    <w:rPr>
      <w:rFonts w:ascii="Times New Roman" w:eastAsia="Calibri" w:hAnsi="Times New Roman" w:cs="Times New Roman"/>
    </w:rPr>
  </w:style>
  <w:style w:type="paragraph" w:styleId="Footer">
    <w:name w:val="footer"/>
    <w:basedOn w:val="Normal"/>
    <w:link w:val="FooterChar"/>
    <w:uiPriority w:val="99"/>
    <w:unhideWhenUsed/>
    <w:rsid w:val="001B5493"/>
    <w:pPr>
      <w:tabs>
        <w:tab w:val="center" w:pos="4680"/>
        <w:tab w:val="right" w:pos="9360"/>
      </w:tabs>
    </w:pPr>
  </w:style>
  <w:style w:type="character" w:customStyle="1" w:styleId="FooterChar">
    <w:name w:val="Footer Char"/>
    <w:basedOn w:val="DefaultParagraphFont"/>
    <w:link w:val="Footer"/>
    <w:uiPriority w:val="99"/>
    <w:rsid w:val="001B5493"/>
    <w:rPr>
      <w:rFonts w:ascii="Times New Roman" w:hAnsi="Times New Roman" w:cs="Times New Roman"/>
    </w:rPr>
  </w:style>
  <w:style w:type="character" w:styleId="PageNumber">
    <w:name w:val="page number"/>
    <w:basedOn w:val="DefaultParagraphFont"/>
    <w:uiPriority w:val="99"/>
    <w:semiHidden/>
    <w:unhideWhenUsed/>
    <w:rsid w:val="001B5493"/>
  </w:style>
  <w:style w:type="paragraph" w:styleId="Header">
    <w:name w:val="header"/>
    <w:basedOn w:val="Normal"/>
    <w:link w:val="HeaderChar"/>
    <w:uiPriority w:val="99"/>
    <w:unhideWhenUsed/>
    <w:rsid w:val="001B5493"/>
    <w:pPr>
      <w:tabs>
        <w:tab w:val="center" w:pos="4680"/>
        <w:tab w:val="right" w:pos="9360"/>
      </w:tabs>
    </w:pPr>
  </w:style>
  <w:style w:type="character" w:customStyle="1" w:styleId="HeaderChar">
    <w:name w:val="Header Char"/>
    <w:basedOn w:val="DefaultParagraphFont"/>
    <w:link w:val="Header"/>
    <w:uiPriority w:val="99"/>
    <w:rsid w:val="001B5493"/>
    <w:rPr>
      <w:rFonts w:ascii="Times New Roman" w:hAnsi="Times New Roman" w:cs="Times New Roman"/>
    </w:rPr>
  </w:style>
  <w:style w:type="paragraph" w:styleId="FootnoteText">
    <w:name w:val="footnote text"/>
    <w:basedOn w:val="Normal"/>
    <w:link w:val="FootnoteTextChar"/>
    <w:uiPriority w:val="99"/>
    <w:unhideWhenUsed/>
    <w:rsid w:val="000104A4"/>
    <w:rPr>
      <w:rFonts w:eastAsiaTheme="minorEastAsia"/>
      <w:sz w:val="20"/>
      <w:szCs w:val="20"/>
    </w:rPr>
  </w:style>
  <w:style w:type="character" w:customStyle="1" w:styleId="FootnoteTextChar">
    <w:name w:val="Footnote Text Char"/>
    <w:basedOn w:val="DefaultParagraphFont"/>
    <w:link w:val="FootnoteText"/>
    <w:uiPriority w:val="99"/>
    <w:rsid w:val="000104A4"/>
    <w:rPr>
      <w:rFonts w:ascii="Times New Roman" w:eastAsiaTheme="minorEastAsia" w:hAnsi="Times New Roman" w:cs="Times New Roman"/>
      <w:sz w:val="20"/>
      <w:szCs w:val="20"/>
    </w:rPr>
  </w:style>
  <w:style w:type="character" w:styleId="FootnoteReference">
    <w:name w:val="footnote reference"/>
    <w:basedOn w:val="DefaultParagraphFont"/>
    <w:uiPriority w:val="99"/>
    <w:unhideWhenUsed/>
    <w:rsid w:val="000104A4"/>
    <w:rPr>
      <w:vertAlign w:val="superscript"/>
    </w:rPr>
  </w:style>
  <w:style w:type="table" w:styleId="TableGrid">
    <w:name w:val="Table Grid"/>
    <w:basedOn w:val="TableNormal"/>
    <w:uiPriority w:val="39"/>
    <w:rsid w:val="00010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1">
    <w:name w:val="List Table 21"/>
    <w:basedOn w:val="TableNormal"/>
    <w:uiPriority w:val="47"/>
    <w:rsid w:val="000104A4"/>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104A4"/>
    <w:rPr>
      <w:sz w:val="16"/>
      <w:szCs w:val="16"/>
    </w:rPr>
  </w:style>
  <w:style w:type="character" w:customStyle="1" w:styleId="CommentTextChar">
    <w:name w:val="Comment Text Char"/>
    <w:basedOn w:val="DefaultParagraphFont"/>
    <w:link w:val="CommentText"/>
    <w:uiPriority w:val="99"/>
    <w:rsid w:val="000104A4"/>
    <w:rPr>
      <w:rFonts w:ascii="Times New Roman" w:hAnsi="Times New Roman" w:cs="Times New Roman"/>
      <w:sz w:val="20"/>
      <w:szCs w:val="20"/>
    </w:rPr>
  </w:style>
  <w:style w:type="paragraph" w:styleId="CommentText">
    <w:name w:val="annotation text"/>
    <w:basedOn w:val="Normal"/>
    <w:link w:val="CommentTextChar"/>
    <w:uiPriority w:val="99"/>
    <w:unhideWhenUsed/>
    <w:rsid w:val="000104A4"/>
    <w:rPr>
      <w:sz w:val="20"/>
      <w:szCs w:val="20"/>
    </w:rPr>
  </w:style>
  <w:style w:type="character" w:customStyle="1" w:styleId="CommentSubjectChar">
    <w:name w:val="Comment Subject Char"/>
    <w:basedOn w:val="CommentTextChar"/>
    <w:link w:val="CommentSubject"/>
    <w:uiPriority w:val="99"/>
    <w:semiHidden/>
    <w:rsid w:val="000104A4"/>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0104A4"/>
    <w:rPr>
      <w:b/>
      <w:bCs/>
    </w:rPr>
  </w:style>
  <w:style w:type="character" w:customStyle="1" w:styleId="BalloonTextChar">
    <w:name w:val="Balloon Text Char"/>
    <w:basedOn w:val="DefaultParagraphFont"/>
    <w:link w:val="BalloonText"/>
    <w:uiPriority w:val="99"/>
    <w:semiHidden/>
    <w:rsid w:val="000104A4"/>
    <w:rPr>
      <w:rFonts w:ascii="Segoe UI" w:hAnsi="Segoe UI" w:cs="Segoe UI"/>
      <w:sz w:val="18"/>
      <w:szCs w:val="18"/>
    </w:rPr>
  </w:style>
  <w:style w:type="paragraph" w:styleId="BalloonText">
    <w:name w:val="Balloon Text"/>
    <w:basedOn w:val="Normal"/>
    <w:link w:val="BalloonTextChar"/>
    <w:uiPriority w:val="99"/>
    <w:semiHidden/>
    <w:unhideWhenUsed/>
    <w:rsid w:val="000104A4"/>
    <w:rPr>
      <w:rFonts w:ascii="Segoe UI" w:hAnsi="Segoe UI" w:cs="Segoe UI"/>
      <w:sz w:val="18"/>
      <w:szCs w:val="18"/>
    </w:rPr>
  </w:style>
  <w:style w:type="character" w:styleId="Hyperlink">
    <w:name w:val="Hyperlink"/>
    <w:basedOn w:val="DefaultParagraphFont"/>
    <w:uiPriority w:val="99"/>
    <w:unhideWhenUsed/>
    <w:rsid w:val="000104A4"/>
    <w:rPr>
      <w:color w:val="0563C1" w:themeColor="hyperlink"/>
      <w:u w:val="single"/>
    </w:rPr>
  </w:style>
  <w:style w:type="character" w:customStyle="1" w:styleId="apple-converted-space">
    <w:name w:val="apple-converted-space"/>
    <w:basedOn w:val="DefaultParagraphFont"/>
    <w:rsid w:val="000104A4"/>
  </w:style>
  <w:style w:type="character" w:customStyle="1" w:styleId="text2">
    <w:name w:val="text2"/>
    <w:basedOn w:val="DefaultParagraphFont"/>
    <w:rsid w:val="000104A4"/>
  </w:style>
  <w:style w:type="table" w:customStyle="1" w:styleId="PlainTable31">
    <w:name w:val="Plain Table 31"/>
    <w:basedOn w:val="TableNormal"/>
    <w:uiPriority w:val="43"/>
    <w:rsid w:val="00D12474"/>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3B39C1"/>
    <w:rPr>
      <w:color w:val="954F72" w:themeColor="followedHyperlink"/>
      <w:u w:val="single"/>
    </w:rPr>
  </w:style>
  <w:style w:type="character" w:customStyle="1" w:styleId="1">
    <w:name w:val="Ανεπίλυτη αναφορά1"/>
    <w:basedOn w:val="DefaultParagraphFont"/>
    <w:uiPriority w:val="99"/>
    <w:rsid w:val="00CA648B"/>
    <w:rPr>
      <w:color w:val="605E5C"/>
      <w:shd w:val="clear" w:color="auto" w:fill="E1DFDD"/>
    </w:rPr>
  </w:style>
  <w:style w:type="paragraph" w:styleId="Revision">
    <w:name w:val="Revision"/>
    <w:hidden/>
    <w:uiPriority w:val="99"/>
    <w:semiHidden/>
    <w:rsid w:val="00F81881"/>
    <w:rPr>
      <w:rFonts w:ascii="Times New Roman" w:hAnsi="Times New Roman" w:cs="Times New Roman"/>
    </w:rPr>
  </w:style>
  <w:style w:type="character" w:styleId="Emphasis">
    <w:name w:val="Emphasis"/>
    <w:basedOn w:val="DefaultParagraphFont"/>
    <w:uiPriority w:val="20"/>
    <w:qFormat/>
    <w:rsid w:val="0049355C"/>
    <w:rPr>
      <w:i/>
      <w:iCs/>
    </w:rPr>
  </w:style>
  <w:style w:type="character" w:customStyle="1" w:styleId="UnresolvedMention1">
    <w:name w:val="Unresolved Mention1"/>
    <w:basedOn w:val="DefaultParagraphFont"/>
    <w:uiPriority w:val="99"/>
    <w:rsid w:val="0049355C"/>
    <w:rPr>
      <w:color w:val="605E5C"/>
      <w:shd w:val="clear" w:color="auto" w:fill="E1DFDD"/>
    </w:rPr>
  </w:style>
  <w:style w:type="paragraph" w:styleId="NormalWeb">
    <w:name w:val="Normal (Web)"/>
    <w:basedOn w:val="Normal"/>
    <w:uiPriority w:val="99"/>
    <w:unhideWhenUsed/>
    <w:rsid w:val="004E3C9E"/>
    <w:pPr>
      <w:spacing w:before="100" w:beforeAutospacing="1" w:after="100" w:afterAutospacing="1"/>
    </w:pPr>
    <w:rPr>
      <w:rFonts w:eastAsia="Times New Roman"/>
      <w:lang w:eastAsia="en-GB"/>
    </w:rPr>
  </w:style>
  <w:style w:type="character" w:customStyle="1" w:styleId="Heading1Char">
    <w:name w:val="Heading 1 Char"/>
    <w:basedOn w:val="DefaultParagraphFont"/>
    <w:link w:val="Heading1"/>
    <w:uiPriority w:val="9"/>
    <w:rsid w:val="003F443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3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835">
      <w:bodyDiv w:val="1"/>
      <w:marLeft w:val="0"/>
      <w:marRight w:val="0"/>
      <w:marTop w:val="0"/>
      <w:marBottom w:val="0"/>
      <w:divBdr>
        <w:top w:val="none" w:sz="0" w:space="0" w:color="auto"/>
        <w:left w:val="none" w:sz="0" w:space="0" w:color="auto"/>
        <w:bottom w:val="none" w:sz="0" w:space="0" w:color="auto"/>
        <w:right w:val="none" w:sz="0" w:space="0" w:color="auto"/>
      </w:divBdr>
    </w:div>
    <w:div w:id="182672826">
      <w:bodyDiv w:val="1"/>
      <w:marLeft w:val="0"/>
      <w:marRight w:val="0"/>
      <w:marTop w:val="0"/>
      <w:marBottom w:val="0"/>
      <w:divBdr>
        <w:top w:val="none" w:sz="0" w:space="0" w:color="auto"/>
        <w:left w:val="none" w:sz="0" w:space="0" w:color="auto"/>
        <w:bottom w:val="none" w:sz="0" w:space="0" w:color="auto"/>
        <w:right w:val="none" w:sz="0" w:space="0" w:color="auto"/>
      </w:divBdr>
    </w:div>
    <w:div w:id="187835124">
      <w:bodyDiv w:val="1"/>
      <w:marLeft w:val="0"/>
      <w:marRight w:val="0"/>
      <w:marTop w:val="0"/>
      <w:marBottom w:val="0"/>
      <w:divBdr>
        <w:top w:val="none" w:sz="0" w:space="0" w:color="auto"/>
        <w:left w:val="none" w:sz="0" w:space="0" w:color="auto"/>
        <w:bottom w:val="none" w:sz="0" w:space="0" w:color="auto"/>
        <w:right w:val="none" w:sz="0" w:space="0" w:color="auto"/>
      </w:divBdr>
    </w:div>
    <w:div w:id="214589046">
      <w:bodyDiv w:val="1"/>
      <w:marLeft w:val="0"/>
      <w:marRight w:val="0"/>
      <w:marTop w:val="0"/>
      <w:marBottom w:val="0"/>
      <w:divBdr>
        <w:top w:val="none" w:sz="0" w:space="0" w:color="auto"/>
        <w:left w:val="none" w:sz="0" w:space="0" w:color="auto"/>
        <w:bottom w:val="none" w:sz="0" w:space="0" w:color="auto"/>
        <w:right w:val="none" w:sz="0" w:space="0" w:color="auto"/>
      </w:divBdr>
    </w:div>
    <w:div w:id="241451745">
      <w:bodyDiv w:val="1"/>
      <w:marLeft w:val="0"/>
      <w:marRight w:val="0"/>
      <w:marTop w:val="0"/>
      <w:marBottom w:val="0"/>
      <w:divBdr>
        <w:top w:val="none" w:sz="0" w:space="0" w:color="auto"/>
        <w:left w:val="none" w:sz="0" w:space="0" w:color="auto"/>
        <w:bottom w:val="none" w:sz="0" w:space="0" w:color="auto"/>
        <w:right w:val="none" w:sz="0" w:space="0" w:color="auto"/>
      </w:divBdr>
    </w:div>
    <w:div w:id="294916180">
      <w:bodyDiv w:val="1"/>
      <w:marLeft w:val="0"/>
      <w:marRight w:val="0"/>
      <w:marTop w:val="0"/>
      <w:marBottom w:val="0"/>
      <w:divBdr>
        <w:top w:val="none" w:sz="0" w:space="0" w:color="auto"/>
        <w:left w:val="none" w:sz="0" w:space="0" w:color="auto"/>
        <w:bottom w:val="none" w:sz="0" w:space="0" w:color="auto"/>
        <w:right w:val="none" w:sz="0" w:space="0" w:color="auto"/>
      </w:divBdr>
    </w:div>
    <w:div w:id="301471672">
      <w:bodyDiv w:val="1"/>
      <w:marLeft w:val="0"/>
      <w:marRight w:val="0"/>
      <w:marTop w:val="0"/>
      <w:marBottom w:val="0"/>
      <w:divBdr>
        <w:top w:val="none" w:sz="0" w:space="0" w:color="auto"/>
        <w:left w:val="none" w:sz="0" w:space="0" w:color="auto"/>
        <w:bottom w:val="none" w:sz="0" w:space="0" w:color="auto"/>
        <w:right w:val="none" w:sz="0" w:space="0" w:color="auto"/>
      </w:divBdr>
    </w:div>
    <w:div w:id="315643636">
      <w:bodyDiv w:val="1"/>
      <w:marLeft w:val="0"/>
      <w:marRight w:val="0"/>
      <w:marTop w:val="0"/>
      <w:marBottom w:val="0"/>
      <w:divBdr>
        <w:top w:val="none" w:sz="0" w:space="0" w:color="auto"/>
        <w:left w:val="none" w:sz="0" w:space="0" w:color="auto"/>
        <w:bottom w:val="none" w:sz="0" w:space="0" w:color="auto"/>
        <w:right w:val="none" w:sz="0" w:space="0" w:color="auto"/>
      </w:divBdr>
    </w:div>
    <w:div w:id="329331298">
      <w:bodyDiv w:val="1"/>
      <w:marLeft w:val="0"/>
      <w:marRight w:val="0"/>
      <w:marTop w:val="0"/>
      <w:marBottom w:val="0"/>
      <w:divBdr>
        <w:top w:val="none" w:sz="0" w:space="0" w:color="auto"/>
        <w:left w:val="none" w:sz="0" w:space="0" w:color="auto"/>
        <w:bottom w:val="none" w:sz="0" w:space="0" w:color="auto"/>
        <w:right w:val="none" w:sz="0" w:space="0" w:color="auto"/>
      </w:divBdr>
    </w:div>
    <w:div w:id="364331165">
      <w:bodyDiv w:val="1"/>
      <w:marLeft w:val="0"/>
      <w:marRight w:val="0"/>
      <w:marTop w:val="0"/>
      <w:marBottom w:val="0"/>
      <w:divBdr>
        <w:top w:val="none" w:sz="0" w:space="0" w:color="auto"/>
        <w:left w:val="none" w:sz="0" w:space="0" w:color="auto"/>
        <w:bottom w:val="none" w:sz="0" w:space="0" w:color="auto"/>
        <w:right w:val="none" w:sz="0" w:space="0" w:color="auto"/>
      </w:divBdr>
    </w:div>
    <w:div w:id="437871170">
      <w:bodyDiv w:val="1"/>
      <w:marLeft w:val="0"/>
      <w:marRight w:val="0"/>
      <w:marTop w:val="0"/>
      <w:marBottom w:val="0"/>
      <w:divBdr>
        <w:top w:val="none" w:sz="0" w:space="0" w:color="auto"/>
        <w:left w:val="none" w:sz="0" w:space="0" w:color="auto"/>
        <w:bottom w:val="none" w:sz="0" w:space="0" w:color="auto"/>
        <w:right w:val="none" w:sz="0" w:space="0" w:color="auto"/>
      </w:divBdr>
    </w:div>
    <w:div w:id="508326248">
      <w:bodyDiv w:val="1"/>
      <w:marLeft w:val="0"/>
      <w:marRight w:val="0"/>
      <w:marTop w:val="0"/>
      <w:marBottom w:val="0"/>
      <w:divBdr>
        <w:top w:val="none" w:sz="0" w:space="0" w:color="auto"/>
        <w:left w:val="none" w:sz="0" w:space="0" w:color="auto"/>
        <w:bottom w:val="none" w:sz="0" w:space="0" w:color="auto"/>
        <w:right w:val="none" w:sz="0" w:space="0" w:color="auto"/>
      </w:divBdr>
    </w:div>
    <w:div w:id="531110244">
      <w:bodyDiv w:val="1"/>
      <w:marLeft w:val="0"/>
      <w:marRight w:val="0"/>
      <w:marTop w:val="0"/>
      <w:marBottom w:val="0"/>
      <w:divBdr>
        <w:top w:val="none" w:sz="0" w:space="0" w:color="auto"/>
        <w:left w:val="none" w:sz="0" w:space="0" w:color="auto"/>
        <w:bottom w:val="none" w:sz="0" w:space="0" w:color="auto"/>
        <w:right w:val="none" w:sz="0" w:space="0" w:color="auto"/>
      </w:divBdr>
    </w:div>
    <w:div w:id="646937107">
      <w:bodyDiv w:val="1"/>
      <w:marLeft w:val="0"/>
      <w:marRight w:val="0"/>
      <w:marTop w:val="0"/>
      <w:marBottom w:val="0"/>
      <w:divBdr>
        <w:top w:val="none" w:sz="0" w:space="0" w:color="auto"/>
        <w:left w:val="none" w:sz="0" w:space="0" w:color="auto"/>
        <w:bottom w:val="none" w:sz="0" w:space="0" w:color="auto"/>
        <w:right w:val="none" w:sz="0" w:space="0" w:color="auto"/>
      </w:divBdr>
    </w:div>
    <w:div w:id="659163496">
      <w:bodyDiv w:val="1"/>
      <w:marLeft w:val="0"/>
      <w:marRight w:val="0"/>
      <w:marTop w:val="0"/>
      <w:marBottom w:val="0"/>
      <w:divBdr>
        <w:top w:val="none" w:sz="0" w:space="0" w:color="auto"/>
        <w:left w:val="none" w:sz="0" w:space="0" w:color="auto"/>
        <w:bottom w:val="none" w:sz="0" w:space="0" w:color="auto"/>
        <w:right w:val="none" w:sz="0" w:space="0" w:color="auto"/>
      </w:divBdr>
    </w:div>
    <w:div w:id="688725313">
      <w:bodyDiv w:val="1"/>
      <w:marLeft w:val="0"/>
      <w:marRight w:val="0"/>
      <w:marTop w:val="0"/>
      <w:marBottom w:val="0"/>
      <w:divBdr>
        <w:top w:val="none" w:sz="0" w:space="0" w:color="auto"/>
        <w:left w:val="none" w:sz="0" w:space="0" w:color="auto"/>
        <w:bottom w:val="none" w:sz="0" w:space="0" w:color="auto"/>
        <w:right w:val="none" w:sz="0" w:space="0" w:color="auto"/>
      </w:divBdr>
      <w:divsChild>
        <w:div w:id="471361938">
          <w:marLeft w:val="0"/>
          <w:marRight w:val="0"/>
          <w:marTop w:val="0"/>
          <w:marBottom w:val="0"/>
          <w:divBdr>
            <w:top w:val="none" w:sz="0" w:space="0" w:color="auto"/>
            <w:left w:val="none" w:sz="0" w:space="0" w:color="auto"/>
            <w:bottom w:val="none" w:sz="0" w:space="0" w:color="auto"/>
            <w:right w:val="none" w:sz="0" w:space="0" w:color="auto"/>
          </w:divBdr>
          <w:divsChild>
            <w:div w:id="2095393345">
              <w:marLeft w:val="0"/>
              <w:marRight w:val="0"/>
              <w:marTop w:val="0"/>
              <w:marBottom w:val="0"/>
              <w:divBdr>
                <w:top w:val="none" w:sz="0" w:space="0" w:color="auto"/>
                <w:left w:val="none" w:sz="0" w:space="0" w:color="auto"/>
                <w:bottom w:val="none" w:sz="0" w:space="0" w:color="auto"/>
                <w:right w:val="none" w:sz="0" w:space="0" w:color="auto"/>
              </w:divBdr>
              <w:divsChild>
                <w:div w:id="1910114831">
                  <w:marLeft w:val="0"/>
                  <w:marRight w:val="0"/>
                  <w:marTop w:val="0"/>
                  <w:marBottom w:val="0"/>
                  <w:divBdr>
                    <w:top w:val="none" w:sz="0" w:space="0" w:color="auto"/>
                    <w:left w:val="none" w:sz="0" w:space="0" w:color="auto"/>
                    <w:bottom w:val="none" w:sz="0" w:space="0" w:color="auto"/>
                    <w:right w:val="none" w:sz="0" w:space="0" w:color="auto"/>
                  </w:divBdr>
                  <w:divsChild>
                    <w:div w:id="11137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165422">
      <w:bodyDiv w:val="1"/>
      <w:marLeft w:val="0"/>
      <w:marRight w:val="0"/>
      <w:marTop w:val="0"/>
      <w:marBottom w:val="0"/>
      <w:divBdr>
        <w:top w:val="none" w:sz="0" w:space="0" w:color="auto"/>
        <w:left w:val="none" w:sz="0" w:space="0" w:color="auto"/>
        <w:bottom w:val="none" w:sz="0" w:space="0" w:color="auto"/>
        <w:right w:val="none" w:sz="0" w:space="0" w:color="auto"/>
      </w:divBdr>
    </w:div>
    <w:div w:id="806509950">
      <w:bodyDiv w:val="1"/>
      <w:marLeft w:val="0"/>
      <w:marRight w:val="0"/>
      <w:marTop w:val="0"/>
      <w:marBottom w:val="0"/>
      <w:divBdr>
        <w:top w:val="none" w:sz="0" w:space="0" w:color="auto"/>
        <w:left w:val="none" w:sz="0" w:space="0" w:color="auto"/>
        <w:bottom w:val="none" w:sz="0" w:space="0" w:color="auto"/>
        <w:right w:val="none" w:sz="0" w:space="0" w:color="auto"/>
      </w:divBdr>
    </w:div>
    <w:div w:id="834808019">
      <w:bodyDiv w:val="1"/>
      <w:marLeft w:val="0"/>
      <w:marRight w:val="0"/>
      <w:marTop w:val="0"/>
      <w:marBottom w:val="0"/>
      <w:divBdr>
        <w:top w:val="none" w:sz="0" w:space="0" w:color="auto"/>
        <w:left w:val="none" w:sz="0" w:space="0" w:color="auto"/>
        <w:bottom w:val="none" w:sz="0" w:space="0" w:color="auto"/>
        <w:right w:val="none" w:sz="0" w:space="0" w:color="auto"/>
      </w:divBdr>
    </w:div>
    <w:div w:id="977418034">
      <w:bodyDiv w:val="1"/>
      <w:marLeft w:val="0"/>
      <w:marRight w:val="0"/>
      <w:marTop w:val="0"/>
      <w:marBottom w:val="0"/>
      <w:divBdr>
        <w:top w:val="none" w:sz="0" w:space="0" w:color="auto"/>
        <w:left w:val="none" w:sz="0" w:space="0" w:color="auto"/>
        <w:bottom w:val="none" w:sz="0" w:space="0" w:color="auto"/>
        <w:right w:val="none" w:sz="0" w:space="0" w:color="auto"/>
      </w:divBdr>
    </w:div>
    <w:div w:id="997197908">
      <w:bodyDiv w:val="1"/>
      <w:marLeft w:val="0"/>
      <w:marRight w:val="0"/>
      <w:marTop w:val="0"/>
      <w:marBottom w:val="0"/>
      <w:divBdr>
        <w:top w:val="none" w:sz="0" w:space="0" w:color="auto"/>
        <w:left w:val="none" w:sz="0" w:space="0" w:color="auto"/>
        <w:bottom w:val="none" w:sz="0" w:space="0" w:color="auto"/>
        <w:right w:val="none" w:sz="0" w:space="0" w:color="auto"/>
      </w:divBdr>
    </w:div>
    <w:div w:id="1023552844">
      <w:bodyDiv w:val="1"/>
      <w:marLeft w:val="0"/>
      <w:marRight w:val="0"/>
      <w:marTop w:val="0"/>
      <w:marBottom w:val="0"/>
      <w:divBdr>
        <w:top w:val="none" w:sz="0" w:space="0" w:color="auto"/>
        <w:left w:val="none" w:sz="0" w:space="0" w:color="auto"/>
        <w:bottom w:val="none" w:sz="0" w:space="0" w:color="auto"/>
        <w:right w:val="none" w:sz="0" w:space="0" w:color="auto"/>
      </w:divBdr>
    </w:div>
    <w:div w:id="1042052079">
      <w:bodyDiv w:val="1"/>
      <w:marLeft w:val="0"/>
      <w:marRight w:val="0"/>
      <w:marTop w:val="0"/>
      <w:marBottom w:val="0"/>
      <w:divBdr>
        <w:top w:val="none" w:sz="0" w:space="0" w:color="auto"/>
        <w:left w:val="none" w:sz="0" w:space="0" w:color="auto"/>
        <w:bottom w:val="none" w:sz="0" w:space="0" w:color="auto"/>
        <w:right w:val="none" w:sz="0" w:space="0" w:color="auto"/>
      </w:divBdr>
    </w:div>
    <w:div w:id="1043408410">
      <w:bodyDiv w:val="1"/>
      <w:marLeft w:val="0"/>
      <w:marRight w:val="0"/>
      <w:marTop w:val="0"/>
      <w:marBottom w:val="0"/>
      <w:divBdr>
        <w:top w:val="none" w:sz="0" w:space="0" w:color="auto"/>
        <w:left w:val="none" w:sz="0" w:space="0" w:color="auto"/>
        <w:bottom w:val="none" w:sz="0" w:space="0" w:color="auto"/>
        <w:right w:val="none" w:sz="0" w:space="0" w:color="auto"/>
      </w:divBdr>
    </w:div>
    <w:div w:id="1058165789">
      <w:bodyDiv w:val="1"/>
      <w:marLeft w:val="0"/>
      <w:marRight w:val="0"/>
      <w:marTop w:val="0"/>
      <w:marBottom w:val="0"/>
      <w:divBdr>
        <w:top w:val="none" w:sz="0" w:space="0" w:color="auto"/>
        <w:left w:val="none" w:sz="0" w:space="0" w:color="auto"/>
        <w:bottom w:val="none" w:sz="0" w:space="0" w:color="auto"/>
        <w:right w:val="none" w:sz="0" w:space="0" w:color="auto"/>
      </w:divBdr>
    </w:div>
    <w:div w:id="1066104496">
      <w:bodyDiv w:val="1"/>
      <w:marLeft w:val="0"/>
      <w:marRight w:val="0"/>
      <w:marTop w:val="0"/>
      <w:marBottom w:val="0"/>
      <w:divBdr>
        <w:top w:val="none" w:sz="0" w:space="0" w:color="auto"/>
        <w:left w:val="none" w:sz="0" w:space="0" w:color="auto"/>
        <w:bottom w:val="none" w:sz="0" w:space="0" w:color="auto"/>
        <w:right w:val="none" w:sz="0" w:space="0" w:color="auto"/>
      </w:divBdr>
    </w:div>
    <w:div w:id="1078163779">
      <w:bodyDiv w:val="1"/>
      <w:marLeft w:val="0"/>
      <w:marRight w:val="0"/>
      <w:marTop w:val="0"/>
      <w:marBottom w:val="0"/>
      <w:divBdr>
        <w:top w:val="none" w:sz="0" w:space="0" w:color="auto"/>
        <w:left w:val="none" w:sz="0" w:space="0" w:color="auto"/>
        <w:bottom w:val="none" w:sz="0" w:space="0" w:color="auto"/>
        <w:right w:val="none" w:sz="0" w:space="0" w:color="auto"/>
      </w:divBdr>
    </w:div>
    <w:div w:id="1159342114">
      <w:bodyDiv w:val="1"/>
      <w:marLeft w:val="0"/>
      <w:marRight w:val="0"/>
      <w:marTop w:val="0"/>
      <w:marBottom w:val="0"/>
      <w:divBdr>
        <w:top w:val="none" w:sz="0" w:space="0" w:color="auto"/>
        <w:left w:val="none" w:sz="0" w:space="0" w:color="auto"/>
        <w:bottom w:val="none" w:sz="0" w:space="0" w:color="auto"/>
        <w:right w:val="none" w:sz="0" w:space="0" w:color="auto"/>
      </w:divBdr>
      <w:divsChild>
        <w:div w:id="763771189">
          <w:marLeft w:val="0"/>
          <w:marRight w:val="0"/>
          <w:marTop w:val="0"/>
          <w:marBottom w:val="0"/>
          <w:divBdr>
            <w:top w:val="none" w:sz="0" w:space="0" w:color="auto"/>
            <w:left w:val="none" w:sz="0" w:space="0" w:color="auto"/>
            <w:bottom w:val="none" w:sz="0" w:space="0" w:color="auto"/>
            <w:right w:val="none" w:sz="0" w:space="0" w:color="auto"/>
          </w:divBdr>
          <w:divsChild>
            <w:div w:id="1763914430">
              <w:marLeft w:val="0"/>
              <w:marRight w:val="0"/>
              <w:marTop w:val="0"/>
              <w:marBottom w:val="0"/>
              <w:divBdr>
                <w:top w:val="none" w:sz="0" w:space="0" w:color="auto"/>
                <w:left w:val="none" w:sz="0" w:space="0" w:color="auto"/>
                <w:bottom w:val="none" w:sz="0" w:space="0" w:color="auto"/>
                <w:right w:val="none" w:sz="0" w:space="0" w:color="auto"/>
              </w:divBdr>
              <w:divsChild>
                <w:div w:id="15707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1966">
      <w:bodyDiv w:val="1"/>
      <w:marLeft w:val="0"/>
      <w:marRight w:val="0"/>
      <w:marTop w:val="0"/>
      <w:marBottom w:val="0"/>
      <w:divBdr>
        <w:top w:val="none" w:sz="0" w:space="0" w:color="auto"/>
        <w:left w:val="none" w:sz="0" w:space="0" w:color="auto"/>
        <w:bottom w:val="none" w:sz="0" w:space="0" w:color="auto"/>
        <w:right w:val="none" w:sz="0" w:space="0" w:color="auto"/>
      </w:divBdr>
    </w:div>
    <w:div w:id="1233739569">
      <w:bodyDiv w:val="1"/>
      <w:marLeft w:val="0"/>
      <w:marRight w:val="0"/>
      <w:marTop w:val="0"/>
      <w:marBottom w:val="0"/>
      <w:divBdr>
        <w:top w:val="none" w:sz="0" w:space="0" w:color="auto"/>
        <w:left w:val="none" w:sz="0" w:space="0" w:color="auto"/>
        <w:bottom w:val="none" w:sz="0" w:space="0" w:color="auto"/>
        <w:right w:val="none" w:sz="0" w:space="0" w:color="auto"/>
      </w:divBdr>
    </w:div>
    <w:div w:id="1235703344">
      <w:bodyDiv w:val="1"/>
      <w:marLeft w:val="0"/>
      <w:marRight w:val="0"/>
      <w:marTop w:val="0"/>
      <w:marBottom w:val="0"/>
      <w:divBdr>
        <w:top w:val="none" w:sz="0" w:space="0" w:color="auto"/>
        <w:left w:val="none" w:sz="0" w:space="0" w:color="auto"/>
        <w:bottom w:val="none" w:sz="0" w:space="0" w:color="auto"/>
        <w:right w:val="none" w:sz="0" w:space="0" w:color="auto"/>
      </w:divBdr>
    </w:div>
    <w:div w:id="1250234180">
      <w:bodyDiv w:val="1"/>
      <w:marLeft w:val="0"/>
      <w:marRight w:val="0"/>
      <w:marTop w:val="0"/>
      <w:marBottom w:val="0"/>
      <w:divBdr>
        <w:top w:val="none" w:sz="0" w:space="0" w:color="auto"/>
        <w:left w:val="none" w:sz="0" w:space="0" w:color="auto"/>
        <w:bottom w:val="none" w:sz="0" w:space="0" w:color="auto"/>
        <w:right w:val="none" w:sz="0" w:space="0" w:color="auto"/>
      </w:divBdr>
      <w:divsChild>
        <w:div w:id="707217779">
          <w:marLeft w:val="0"/>
          <w:marRight w:val="0"/>
          <w:marTop w:val="0"/>
          <w:marBottom w:val="0"/>
          <w:divBdr>
            <w:top w:val="none" w:sz="0" w:space="0" w:color="auto"/>
            <w:left w:val="none" w:sz="0" w:space="0" w:color="auto"/>
            <w:bottom w:val="none" w:sz="0" w:space="0" w:color="auto"/>
            <w:right w:val="none" w:sz="0" w:space="0" w:color="auto"/>
          </w:divBdr>
        </w:div>
      </w:divsChild>
    </w:div>
    <w:div w:id="1250504003">
      <w:bodyDiv w:val="1"/>
      <w:marLeft w:val="0"/>
      <w:marRight w:val="0"/>
      <w:marTop w:val="0"/>
      <w:marBottom w:val="0"/>
      <w:divBdr>
        <w:top w:val="none" w:sz="0" w:space="0" w:color="auto"/>
        <w:left w:val="none" w:sz="0" w:space="0" w:color="auto"/>
        <w:bottom w:val="none" w:sz="0" w:space="0" w:color="auto"/>
        <w:right w:val="none" w:sz="0" w:space="0" w:color="auto"/>
      </w:divBdr>
      <w:divsChild>
        <w:div w:id="1628076209">
          <w:marLeft w:val="0"/>
          <w:marRight w:val="0"/>
          <w:marTop w:val="0"/>
          <w:marBottom w:val="0"/>
          <w:divBdr>
            <w:top w:val="none" w:sz="0" w:space="0" w:color="auto"/>
            <w:left w:val="none" w:sz="0" w:space="0" w:color="auto"/>
            <w:bottom w:val="none" w:sz="0" w:space="0" w:color="auto"/>
            <w:right w:val="none" w:sz="0" w:space="0" w:color="auto"/>
          </w:divBdr>
          <w:divsChild>
            <w:div w:id="1252544593">
              <w:marLeft w:val="0"/>
              <w:marRight w:val="0"/>
              <w:marTop w:val="0"/>
              <w:marBottom w:val="0"/>
              <w:divBdr>
                <w:top w:val="none" w:sz="0" w:space="0" w:color="auto"/>
                <w:left w:val="none" w:sz="0" w:space="0" w:color="auto"/>
                <w:bottom w:val="none" w:sz="0" w:space="0" w:color="auto"/>
                <w:right w:val="none" w:sz="0" w:space="0" w:color="auto"/>
              </w:divBdr>
              <w:divsChild>
                <w:div w:id="18943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90271">
      <w:bodyDiv w:val="1"/>
      <w:marLeft w:val="0"/>
      <w:marRight w:val="0"/>
      <w:marTop w:val="0"/>
      <w:marBottom w:val="0"/>
      <w:divBdr>
        <w:top w:val="none" w:sz="0" w:space="0" w:color="auto"/>
        <w:left w:val="none" w:sz="0" w:space="0" w:color="auto"/>
        <w:bottom w:val="none" w:sz="0" w:space="0" w:color="auto"/>
        <w:right w:val="none" w:sz="0" w:space="0" w:color="auto"/>
      </w:divBdr>
    </w:div>
    <w:div w:id="1306275534">
      <w:bodyDiv w:val="1"/>
      <w:marLeft w:val="0"/>
      <w:marRight w:val="0"/>
      <w:marTop w:val="0"/>
      <w:marBottom w:val="0"/>
      <w:divBdr>
        <w:top w:val="none" w:sz="0" w:space="0" w:color="auto"/>
        <w:left w:val="none" w:sz="0" w:space="0" w:color="auto"/>
        <w:bottom w:val="none" w:sz="0" w:space="0" w:color="auto"/>
        <w:right w:val="none" w:sz="0" w:space="0" w:color="auto"/>
      </w:divBdr>
      <w:divsChild>
        <w:div w:id="1583100780">
          <w:marLeft w:val="0"/>
          <w:marRight w:val="0"/>
          <w:marTop w:val="0"/>
          <w:marBottom w:val="0"/>
          <w:divBdr>
            <w:top w:val="none" w:sz="0" w:space="0" w:color="auto"/>
            <w:left w:val="none" w:sz="0" w:space="0" w:color="auto"/>
            <w:bottom w:val="none" w:sz="0" w:space="0" w:color="auto"/>
            <w:right w:val="none" w:sz="0" w:space="0" w:color="auto"/>
          </w:divBdr>
          <w:divsChild>
            <w:div w:id="775750889">
              <w:marLeft w:val="0"/>
              <w:marRight w:val="0"/>
              <w:marTop w:val="0"/>
              <w:marBottom w:val="0"/>
              <w:divBdr>
                <w:top w:val="none" w:sz="0" w:space="0" w:color="auto"/>
                <w:left w:val="none" w:sz="0" w:space="0" w:color="auto"/>
                <w:bottom w:val="none" w:sz="0" w:space="0" w:color="auto"/>
                <w:right w:val="none" w:sz="0" w:space="0" w:color="auto"/>
              </w:divBdr>
              <w:divsChild>
                <w:div w:id="297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3105">
      <w:bodyDiv w:val="1"/>
      <w:marLeft w:val="0"/>
      <w:marRight w:val="0"/>
      <w:marTop w:val="0"/>
      <w:marBottom w:val="0"/>
      <w:divBdr>
        <w:top w:val="none" w:sz="0" w:space="0" w:color="auto"/>
        <w:left w:val="none" w:sz="0" w:space="0" w:color="auto"/>
        <w:bottom w:val="none" w:sz="0" w:space="0" w:color="auto"/>
        <w:right w:val="none" w:sz="0" w:space="0" w:color="auto"/>
      </w:divBdr>
    </w:div>
    <w:div w:id="1323700967">
      <w:bodyDiv w:val="1"/>
      <w:marLeft w:val="0"/>
      <w:marRight w:val="0"/>
      <w:marTop w:val="0"/>
      <w:marBottom w:val="0"/>
      <w:divBdr>
        <w:top w:val="none" w:sz="0" w:space="0" w:color="auto"/>
        <w:left w:val="none" w:sz="0" w:space="0" w:color="auto"/>
        <w:bottom w:val="none" w:sz="0" w:space="0" w:color="auto"/>
        <w:right w:val="none" w:sz="0" w:space="0" w:color="auto"/>
      </w:divBdr>
    </w:div>
    <w:div w:id="1342271357">
      <w:bodyDiv w:val="1"/>
      <w:marLeft w:val="0"/>
      <w:marRight w:val="0"/>
      <w:marTop w:val="0"/>
      <w:marBottom w:val="0"/>
      <w:divBdr>
        <w:top w:val="none" w:sz="0" w:space="0" w:color="auto"/>
        <w:left w:val="none" w:sz="0" w:space="0" w:color="auto"/>
        <w:bottom w:val="none" w:sz="0" w:space="0" w:color="auto"/>
        <w:right w:val="none" w:sz="0" w:space="0" w:color="auto"/>
      </w:divBdr>
    </w:div>
    <w:div w:id="1344551472">
      <w:bodyDiv w:val="1"/>
      <w:marLeft w:val="0"/>
      <w:marRight w:val="0"/>
      <w:marTop w:val="0"/>
      <w:marBottom w:val="0"/>
      <w:divBdr>
        <w:top w:val="none" w:sz="0" w:space="0" w:color="auto"/>
        <w:left w:val="none" w:sz="0" w:space="0" w:color="auto"/>
        <w:bottom w:val="none" w:sz="0" w:space="0" w:color="auto"/>
        <w:right w:val="none" w:sz="0" w:space="0" w:color="auto"/>
      </w:divBdr>
    </w:div>
    <w:div w:id="1408191307">
      <w:bodyDiv w:val="1"/>
      <w:marLeft w:val="0"/>
      <w:marRight w:val="0"/>
      <w:marTop w:val="0"/>
      <w:marBottom w:val="0"/>
      <w:divBdr>
        <w:top w:val="none" w:sz="0" w:space="0" w:color="auto"/>
        <w:left w:val="none" w:sz="0" w:space="0" w:color="auto"/>
        <w:bottom w:val="none" w:sz="0" w:space="0" w:color="auto"/>
        <w:right w:val="none" w:sz="0" w:space="0" w:color="auto"/>
      </w:divBdr>
    </w:div>
    <w:div w:id="1408766213">
      <w:bodyDiv w:val="1"/>
      <w:marLeft w:val="0"/>
      <w:marRight w:val="0"/>
      <w:marTop w:val="0"/>
      <w:marBottom w:val="0"/>
      <w:divBdr>
        <w:top w:val="none" w:sz="0" w:space="0" w:color="auto"/>
        <w:left w:val="none" w:sz="0" w:space="0" w:color="auto"/>
        <w:bottom w:val="none" w:sz="0" w:space="0" w:color="auto"/>
        <w:right w:val="none" w:sz="0" w:space="0" w:color="auto"/>
      </w:divBdr>
    </w:div>
    <w:div w:id="1420518023">
      <w:bodyDiv w:val="1"/>
      <w:marLeft w:val="0"/>
      <w:marRight w:val="0"/>
      <w:marTop w:val="0"/>
      <w:marBottom w:val="0"/>
      <w:divBdr>
        <w:top w:val="none" w:sz="0" w:space="0" w:color="auto"/>
        <w:left w:val="none" w:sz="0" w:space="0" w:color="auto"/>
        <w:bottom w:val="none" w:sz="0" w:space="0" w:color="auto"/>
        <w:right w:val="none" w:sz="0" w:space="0" w:color="auto"/>
      </w:divBdr>
    </w:div>
    <w:div w:id="1466318436">
      <w:bodyDiv w:val="1"/>
      <w:marLeft w:val="0"/>
      <w:marRight w:val="0"/>
      <w:marTop w:val="0"/>
      <w:marBottom w:val="0"/>
      <w:divBdr>
        <w:top w:val="none" w:sz="0" w:space="0" w:color="auto"/>
        <w:left w:val="none" w:sz="0" w:space="0" w:color="auto"/>
        <w:bottom w:val="none" w:sz="0" w:space="0" w:color="auto"/>
        <w:right w:val="none" w:sz="0" w:space="0" w:color="auto"/>
      </w:divBdr>
    </w:div>
    <w:div w:id="1490173135">
      <w:bodyDiv w:val="1"/>
      <w:marLeft w:val="0"/>
      <w:marRight w:val="0"/>
      <w:marTop w:val="0"/>
      <w:marBottom w:val="0"/>
      <w:divBdr>
        <w:top w:val="none" w:sz="0" w:space="0" w:color="auto"/>
        <w:left w:val="none" w:sz="0" w:space="0" w:color="auto"/>
        <w:bottom w:val="none" w:sz="0" w:space="0" w:color="auto"/>
        <w:right w:val="none" w:sz="0" w:space="0" w:color="auto"/>
      </w:divBdr>
      <w:divsChild>
        <w:div w:id="124978839">
          <w:marLeft w:val="0"/>
          <w:marRight w:val="0"/>
          <w:marTop w:val="0"/>
          <w:marBottom w:val="0"/>
          <w:divBdr>
            <w:top w:val="none" w:sz="0" w:space="0" w:color="auto"/>
            <w:left w:val="none" w:sz="0" w:space="0" w:color="auto"/>
            <w:bottom w:val="none" w:sz="0" w:space="0" w:color="auto"/>
            <w:right w:val="none" w:sz="0" w:space="0" w:color="auto"/>
          </w:divBdr>
          <w:divsChild>
            <w:div w:id="1758866192">
              <w:marLeft w:val="0"/>
              <w:marRight w:val="0"/>
              <w:marTop w:val="0"/>
              <w:marBottom w:val="0"/>
              <w:divBdr>
                <w:top w:val="none" w:sz="0" w:space="0" w:color="auto"/>
                <w:left w:val="none" w:sz="0" w:space="0" w:color="auto"/>
                <w:bottom w:val="none" w:sz="0" w:space="0" w:color="auto"/>
                <w:right w:val="none" w:sz="0" w:space="0" w:color="auto"/>
              </w:divBdr>
              <w:divsChild>
                <w:div w:id="9921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289">
      <w:bodyDiv w:val="1"/>
      <w:marLeft w:val="0"/>
      <w:marRight w:val="0"/>
      <w:marTop w:val="0"/>
      <w:marBottom w:val="0"/>
      <w:divBdr>
        <w:top w:val="none" w:sz="0" w:space="0" w:color="auto"/>
        <w:left w:val="none" w:sz="0" w:space="0" w:color="auto"/>
        <w:bottom w:val="none" w:sz="0" w:space="0" w:color="auto"/>
        <w:right w:val="none" w:sz="0" w:space="0" w:color="auto"/>
      </w:divBdr>
    </w:div>
    <w:div w:id="1496917937">
      <w:bodyDiv w:val="1"/>
      <w:marLeft w:val="0"/>
      <w:marRight w:val="0"/>
      <w:marTop w:val="0"/>
      <w:marBottom w:val="0"/>
      <w:divBdr>
        <w:top w:val="none" w:sz="0" w:space="0" w:color="auto"/>
        <w:left w:val="none" w:sz="0" w:space="0" w:color="auto"/>
        <w:bottom w:val="none" w:sz="0" w:space="0" w:color="auto"/>
        <w:right w:val="none" w:sz="0" w:space="0" w:color="auto"/>
      </w:divBdr>
    </w:div>
    <w:div w:id="1565991438">
      <w:bodyDiv w:val="1"/>
      <w:marLeft w:val="0"/>
      <w:marRight w:val="0"/>
      <w:marTop w:val="0"/>
      <w:marBottom w:val="0"/>
      <w:divBdr>
        <w:top w:val="none" w:sz="0" w:space="0" w:color="auto"/>
        <w:left w:val="none" w:sz="0" w:space="0" w:color="auto"/>
        <w:bottom w:val="none" w:sz="0" w:space="0" w:color="auto"/>
        <w:right w:val="none" w:sz="0" w:space="0" w:color="auto"/>
      </w:divBdr>
    </w:div>
    <w:div w:id="1589465725">
      <w:bodyDiv w:val="1"/>
      <w:marLeft w:val="0"/>
      <w:marRight w:val="0"/>
      <w:marTop w:val="0"/>
      <w:marBottom w:val="0"/>
      <w:divBdr>
        <w:top w:val="none" w:sz="0" w:space="0" w:color="auto"/>
        <w:left w:val="none" w:sz="0" w:space="0" w:color="auto"/>
        <w:bottom w:val="none" w:sz="0" w:space="0" w:color="auto"/>
        <w:right w:val="none" w:sz="0" w:space="0" w:color="auto"/>
      </w:divBdr>
      <w:divsChild>
        <w:div w:id="257325757">
          <w:marLeft w:val="0"/>
          <w:marRight w:val="0"/>
          <w:marTop w:val="0"/>
          <w:marBottom w:val="0"/>
          <w:divBdr>
            <w:top w:val="none" w:sz="0" w:space="0" w:color="auto"/>
            <w:left w:val="none" w:sz="0" w:space="0" w:color="auto"/>
            <w:bottom w:val="none" w:sz="0" w:space="0" w:color="auto"/>
            <w:right w:val="none" w:sz="0" w:space="0" w:color="auto"/>
          </w:divBdr>
        </w:div>
      </w:divsChild>
    </w:div>
    <w:div w:id="1609040165">
      <w:bodyDiv w:val="1"/>
      <w:marLeft w:val="0"/>
      <w:marRight w:val="0"/>
      <w:marTop w:val="0"/>
      <w:marBottom w:val="0"/>
      <w:divBdr>
        <w:top w:val="none" w:sz="0" w:space="0" w:color="auto"/>
        <w:left w:val="none" w:sz="0" w:space="0" w:color="auto"/>
        <w:bottom w:val="none" w:sz="0" w:space="0" w:color="auto"/>
        <w:right w:val="none" w:sz="0" w:space="0" w:color="auto"/>
      </w:divBdr>
      <w:divsChild>
        <w:div w:id="560752325">
          <w:marLeft w:val="0"/>
          <w:marRight w:val="0"/>
          <w:marTop w:val="0"/>
          <w:marBottom w:val="0"/>
          <w:divBdr>
            <w:top w:val="none" w:sz="0" w:space="0" w:color="auto"/>
            <w:left w:val="none" w:sz="0" w:space="0" w:color="auto"/>
            <w:bottom w:val="none" w:sz="0" w:space="0" w:color="auto"/>
            <w:right w:val="none" w:sz="0" w:space="0" w:color="auto"/>
          </w:divBdr>
        </w:div>
      </w:divsChild>
    </w:div>
    <w:div w:id="1617517362">
      <w:bodyDiv w:val="1"/>
      <w:marLeft w:val="0"/>
      <w:marRight w:val="0"/>
      <w:marTop w:val="0"/>
      <w:marBottom w:val="0"/>
      <w:divBdr>
        <w:top w:val="none" w:sz="0" w:space="0" w:color="auto"/>
        <w:left w:val="none" w:sz="0" w:space="0" w:color="auto"/>
        <w:bottom w:val="none" w:sz="0" w:space="0" w:color="auto"/>
        <w:right w:val="none" w:sz="0" w:space="0" w:color="auto"/>
      </w:divBdr>
    </w:div>
    <w:div w:id="1646081649">
      <w:bodyDiv w:val="1"/>
      <w:marLeft w:val="0"/>
      <w:marRight w:val="0"/>
      <w:marTop w:val="0"/>
      <w:marBottom w:val="0"/>
      <w:divBdr>
        <w:top w:val="none" w:sz="0" w:space="0" w:color="auto"/>
        <w:left w:val="none" w:sz="0" w:space="0" w:color="auto"/>
        <w:bottom w:val="none" w:sz="0" w:space="0" w:color="auto"/>
        <w:right w:val="none" w:sz="0" w:space="0" w:color="auto"/>
      </w:divBdr>
    </w:div>
    <w:div w:id="1653873147">
      <w:bodyDiv w:val="1"/>
      <w:marLeft w:val="0"/>
      <w:marRight w:val="0"/>
      <w:marTop w:val="0"/>
      <w:marBottom w:val="0"/>
      <w:divBdr>
        <w:top w:val="none" w:sz="0" w:space="0" w:color="auto"/>
        <w:left w:val="none" w:sz="0" w:space="0" w:color="auto"/>
        <w:bottom w:val="none" w:sz="0" w:space="0" w:color="auto"/>
        <w:right w:val="none" w:sz="0" w:space="0" w:color="auto"/>
      </w:divBdr>
    </w:div>
    <w:div w:id="1668552350">
      <w:bodyDiv w:val="1"/>
      <w:marLeft w:val="0"/>
      <w:marRight w:val="0"/>
      <w:marTop w:val="0"/>
      <w:marBottom w:val="0"/>
      <w:divBdr>
        <w:top w:val="none" w:sz="0" w:space="0" w:color="auto"/>
        <w:left w:val="none" w:sz="0" w:space="0" w:color="auto"/>
        <w:bottom w:val="none" w:sz="0" w:space="0" w:color="auto"/>
        <w:right w:val="none" w:sz="0" w:space="0" w:color="auto"/>
      </w:divBdr>
    </w:div>
    <w:div w:id="1706637367">
      <w:bodyDiv w:val="1"/>
      <w:marLeft w:val="0"/>
      <w:marRight w:val="0"/>
      <w:marTop w:val="0"/>
      <w:marBottom w:val="0"/>
      <w:divBdr>
        <w:top w:val="none" w:sz="0" w:space="0" w:color="auto"/>
        <w:left w:val="none" w:sz="0" w:space="0" w:color="auto"/>
        <w:bottom w:val="none" w:sz="0" w:space="0" w:color="auto"/>
        <w:right w:val="none" w:sz="0" w:space="0" w:color="auto"/>
      </w:divBdr>
    </w:div>
    <w:div w:id="1774279137">
      <w:bodyDiv w:val="1"/>
      <w:marLeft w:val="0"/>
      <w:marRight w:val="0"/>
      <w:marTop w:val="0"/>
      <w:marBottom w:val="0"/>
      <w:divBdr>
        <w:top w:val="none" w:sz="0" w:space="0" w:color="auto"/>
        <w:left w:val="none" w:sz="0" w:space="0" w:color="auto"/>
        <w:bottom w:val="none" w:sz="0" w:space="0" w:color="auto"/>
        <w:right w:val="none" w:sz="0" w:space="0" w:color="auto"/>
      </w:divBdr>
    </w:div>
    <w:div w:id="1795057331">
      <w:bodyDiv w:val="1"/>
      <w:marLeft w:val="0"/>
      <w:marRight w:val="0"/>
      <w:marTop w:val="0"/>
      <w:marBottom w:val="0"/>
      <w:divBdr>
        <w:top w:val="none" w:sz="0" w:space="0" w:color="auto"/>
        <w:left w:val="none" w:sz="0" w:space="0" w:color="auto"/>
        <w:bottom w:val="none" w:sz="0" w:space="0" w:color="auto"/>
        <w:right w:val="none" w:sz="0" w:space="0" w:color="auto"/>
      </w:divBdr>
    </w:div>
    <w:div w:id="1839883151">
      <w:bodyDiv w:val="1"/>
      <w:marLeft w:val="0"/>
      <w:marRight w:val="0"/>
      <w:marTop w:val="0"/>
      <w:marBottom w:val="0"/>
      <w:divBdr>
        <w:top w:val="none" w:sz="0" w:space="0" w:color="auto"/>
        <w:left w:val="none" w:sz="0" w:space="0" w:color="auto"/>
        <w:bottom w:val="none" w:sz="0" w:space="0" w:color="auto"/>
        <w:right w:val="none" w:sz="0" w:space="0" w:color="auto"/>
      </w:divBdr>
    </w:div>
    <w:div w:id="1854538730">
      <w:bodyDiv w:val="1"/>
      <w:marLeft w:val="0"/>
      <w:marRight w:val="0"/>
      <w:marTop w:val="0"/>
      <w:marBottom w:val="0"/>
      <w:divBdr>
        <w:top w:val="none" w:sz="0" w:space="0" w:color="auto"/>
        <w:left w:val="none" w:sz="0" w:space="0" w:color="auto"/>
        <w:bottom w:val="none" w:sz="0" w:space="0" w:color="auto"/>
        <w:right w:val="none" w:sz="0" w:space="0" w:color="auto"/>
      </w:divBdr>
    </w:div>
    <w:div w:id="1873111106">
      <w:bodyDiv w:val="1"/>
      <w:marLeft w:val="0"/>
      <w:marRight w:val="0"/>
      <w:marTop w:val="0"/>
      <w:marBottom w:val="0"/>
      <w:divBdr>
        <w:top w:val="none" w:sz="0" w:space="0" w:color="auto"/>
        <w:left w:val="none" w:sz="0" w:space="0" w:color="auto"/>
        <w:bottom w:val="none" w:sz="0" w:space="0" w:color="auto"/>
        <w:right w:val="none" w:sz="0" w:space="0" w:color="auto"/>
      </w:divBdr>
      <w:divsChild>
        <w:div w:id="642925445">
          <w:marLeft w:val="0"/>
          <w:marRight w:val="0"/>
          <w:marTop w:val="0"/>
          <w:marBottom w:val="0"/>
          <w:divBdr>
            <w:top w:val="none" w:sz="0" w:space="0" w:color="auto"/>
            <w:left w:val="none" w:sz="0" w:space="0" w:color="auto"/>
            <w:bottom w:val="none" w:sz="0" w:space="0" w:color="auto"/>
            <w:right w:val="none" w:sz="0" w:space="0" w:color="auto"/>
          </w:divBdr>
          <w:divsChild>
            <w:div w:id="1405491259">
              <w:marLeft w:val="0"/>
              <w:marRight w:val="0"/>
              <w:marTop w:val="0"/>
              <w:marBottom w:val="0"/>
              <w:divBdr>
                <w:top w:val="none" w:sz="0" w:space="0" w:color="auto"/>
                <w:left w:val="none" w:sz="0" w:space="0" w:color="auto"/>
                <w:bottom w:val="none" w:sz="0" w:space="0" w:color="auto"/>
                <w:right w:val="none" w:sz="0" w:space="0" w:color="auto"/>
              </w:divBdr>
              <w:divsChild>
                <w:div w:id="16148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25516">
      <w:bodyDiv w:val="1"/>
      <w:marLeft w:val="0"/>
      <w:marRight w:val="0"/>
      <w:marTop w:val="0"/>
      <w:marBottom w:val="0"/>
      <w:divBdr>
        <w:top w:val="none" w:sz="0" w:space="0" w:color="auto"/>
        <w:left w:val="none" w:sz="0" w:space="0" w:color="auto"/>
        <w:bottom w:val="none" w:sz="0" w:space="0" w:color="auto"/>
        <w:right w:val="none" w:sz="0" w:space="0" w:color="auto"/>
      </w:divBdr>
    </w:div>
    <w:div w:id="1915890408">
      <w:bodyDiv w:val="1"/>
      <w:marLeft w:val="0"/>
      <w:marRight w:val="0"/>
      <w:marTop w:val="0"/>
      <w:marBottom w:val="0"/>
      <w:divBdr>
        <w:top w:val="none" w:sz="0" w:space="0" w:color="auto"/>
        <w:left w:val="none" w:sz="0" w:space="0" w:color="auto"/>
        <w:bottom w:val="none" w:sz="0" w:space="0" w:color="auto"/>
        <w:right w:val="none" w:sz="0" w:space="0" w:color="auto"/>
      </w:divBdr>
    </w:div>
    <w:div w:id="1961912017">
      <w:bodyDiv w:val="1"/>
      <w:marLeft w:val="0"/>
      <w:marRight w:val="0"/>
      <w:marTop w:val="0"/>
      <w:marBottom w:val="0"/>
      <w:divBdr>
        <w:top w:val="none" w:sz="0" w:space="0" w:color="auto"/>
        <w:left w:val="none" w:sz="0" w:space="0" w:color="auto"/>
        <w:bottom w:val="none" w:sz="0" w:space="0" w:color="auto"/>
        <w:right w:val="none" w:sz="0" w:space="0" w:color="auto"/>
      </w:divBdr>
    </w:div>
    <w:div w:id="1967002243">
      <w:bodyDiv w:val="1"/>
      <w:marLeft w:val="0"/>
      <w:marRight w:val="0"/>
      <w:marTop w:val="0"/>
      <w:marBottom w:val="0"/>
      <w:divBdr>
        <w:top w:val="none" w:sz="0" w:space="0" w:color="auto"/>
        <w:left w:val="none" w:sz="0" w:space="0" w:color="auto"/>
        <w:bottom w:val="none" w:sz="0" w:space="0" w:color="auto"/>
        <w:right w:val="none" w:sz="0" w:space="0" w:color="auto"/>
      </w:divBdr>
    </w:div>
    <w:div w:id="1980105452">
      <w:bodyDiv w:val="1"/>
      <w:marLeft w:val="0"/>
      <w:marRight w:val="0"/>
      <w:marTop w:val="0"/>
      <w:marBottom w:val="0"/>
      <w:divBdr>
        <w:top w:val="none" w:sz="0" w:space="0" w:color="auto"/>
        <w:left w:val="none" w:sz="0" w:space="0" w:color="auto"/>
        <w:bottom w:val="none" w:sz="0" w:space="0" w:color="auto"/>
        <w:right w:val="none" w:sz="0" w:space="0" w:color="auto"/>
      </w:divBdr>
    </w:div>
    <w:div w:id="2015298391">
      <w:bodyDiv w:val="1"/>
      <w:marLeft w:val="0"/>
      <w:marRight w:val="0"/>
      <w:marTop w:val="0"/>
      <w:marBottom w:val="0"/>
      <w:divBdr>
        <w:top w:val="none" w:sz="0" w:space="0" w:color="auto"/>
        <w:left w:val="none" w:sz="0" w:space="0" w:color="auto"/>
        <w:bottom w:val="none" w:sz="0" w:space="0" w:color="auto"/>
        <w:right w:val="none" w:sz="0" w:space="0" w:color="auto"/>
      </w:divBdr>
      <w:divsChild>
        <w:div w:id="1182162163">
          <w:marLeft w:val="0"/>
          <w:marRight w:val="0"/>
          <w:marTop w:val="0"/>
          <w:marBottom w:val="0"/>
          <w:divBdr>
            <w:top w:val="none" w:sz="0" w:space="0" w:color="auto"/>
            <w:left w:val="none" w:sz="0" w:space="0" w:color="auto"/>
            <w:bottom w:val="none" w:sz="0" w:space="0" w:color="auto"/>
            <w:right w:val="none" w:sz="0" w:space="0" w:color="auto"/>
          </w:divBdr>
          <w:divsChild>
            <w:div w:id="1279679263">
              <w:marLeft w:val="0"/>
              <w:marRight w:val="0"/>
              <w:marTop w:val="0"/>
              <w:marBottom w:val="0"/>
              <w:divBdr>
                <w:top w:val="none" w:sz="0" w:space="0" w:color="auto"/>
                <w:left w:val="none" w:sz="0" w:space="0" w:color="auto"/>
                <w:bottom w:val="none" w:sz="0" w:space="0" w:color="auto"/>
                <w:right w:val="none" w:sz="0" w:space="0" w:color="auto"/>
              </w:divBdr>
              <w:divsChild>
                <w:div w:id="1817411318">
                  <w:marLeft w:val="0"/>
                  <w:marRight w:val="0"/>
                  <w:marTop w:val="0"/>
                  <w:marBottom w:val="0"/>
                  <w:divBdr>
                    <w:top w:val="none" w:sz="0" w:space="0" w:color="auto"/>
                    <w:left w:val="none" w:sz="0" w:space="0" w:color="auto"/>
                    <w:bottom w:val="none" w:sz="0" w:space="0" w:color="auto"/>
                    <w:right w:val="none" w:sz="0" w:space="0" w:color="auto"/>
                  </w:divBdr>
                  <w:divsChild>
                    <w:div w:id="21170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tagoniaworks.com/press/2020/4/27/patagonia-statement-regarding-covid-19-and-our-supply-chain" TargetMode="External"/><Relationship Id="rId13" Type="http://schemas.openxmlformats.org/officeDocument/2006/relationships/hyperlink" Target="https://en.sev.org.gr/news-publications/publications/page/4/"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ecd.org/environment/tools-evaluation/PINE_database_brochure.pdf"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le.com/sites/default/files/2023-03/creating-shared-value-sustainability-report-2022-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t.com/content/44c56806-a556-11e4-ad35-00144feab7de" TargetMode="External"/><Relationship Id="rId23" Type="http://schemas.openxmlformats.org/officeDocument/2006/relationships/footer" Target="footer3.xml"/><Relationship Id="rId10" Type="http://schemas.openxmlformats.org/officeDocument/2006/relationships/hyperlink" Target="https://www.mckinsey.com/capabilities/risk-and-resilience/our-insights/somethings-coming-how-us-companies-can-build-resilience-survive-a-downturn-and-thrive-in-the-next-cycl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kearney.com/industry/consumer-retail/article/-/insights/the-kearney-cfx-2023-report-consumers-don-t-know-and-brands-don-t-act" TargetMode="External"/><Relationship Id="rId14" Type="http://schemas.openxmlformats.org/officeDocument/2006/relationships/hyperlink" Target="https://www.adweek.com/brand-marketing/these-global-brands-have-one-thing-in-common-when-it-comes-to-recession-plann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360C1-BA89-429E-94BE-C79BD79C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15403</Words>
  <Characters>87800</Characters>
  <Application>Microsoft Office Word</Application>
  <DocSecurity>0</DocSecurity>
  <Lines>731</Lines>
  <Paragraphs>205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University of York</Company>
  <LinksUpToDate>false</LinksUpToDate>
  <CharactersWithSpaces>102998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Karolos Papadas</dc:creator>
  <cp:keywords/>
  <dc:description/>
  <cp:lastModifiedBy>Karolos Papadas</cp:lastModifiedBy>
  <cp:revision>2</cp:revision>
  <cp:lastPrinted>2022-07-09T13:53:00Z</cp:lastPrinted>
  <dcterms:created xsi:type="dcterms:W3CDTF">2024-08-09T10:13:00Z</dcterms:created>
  <dcterms:modified xsi:type="dcterms:W3CDTF">2024-08-09T10:13:00Z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b86c0082-5579-3c57-90b1-4af92f9776c4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